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4D4FA1C2" w14:textId="77777777" w:rsidR="00DA0CFB" w:rsidRDefault="00DA0CFB" w:rsidP="00DA0CFB">
      <w:pPr>
        <w:pStyle w:val="WW-Standard1"/>
        <w:spacing w:line="24pt" w:lineRule="auto"/>
        <w:jc w:val="both"/>
        <w:rPr>
          <w:sz w:val="20"/>
          <w:szCs w:val="20"/>
        </w:rPr>
      </w:pPr>
      <w:r>
        <w:rPr>
          <w:rStyle w:val="Policepardfaut1"/>
          <w:rFonts w:eastAsia="TimesNewRomanPS-BoldMT" w:cs="TimesNewRomanPSMT"/>
          <w:b/>
          <w:bCs/>
          <w:color w:val="000000"/>
          <w:sz w:val="20"/>
          <w:szCs w:val="20"/>
          <w:lang w:val="en-US"/>
        </w:rPr>
        <w:t xml:space="preserve">Table 1 </w:t>
      </w:r>
      <w:r>
        <w:rPr>
          <w:rStyle w:val="Policepardfaut1"/>
          <w:rFonts w:eastAsia="TimesNewRomanPS-BoldMT" w:cs="TimesNewRomanPSMT"/>
          <w:color w:val="000000"/>
          <w:sz w:val="20"/>
          <w:szCs w:val="20"/>
          <w:lang w:val="en-US"/>
        </w:rPr>
        <w:t xml:space="preserve">  Volcanic d</w:t>
      </w:r>
      <w:r>
        <w:rPr>
          <w:rStyle w:val="Policepardfaut1"/>
          <w:rFonts w:eastAsia="Times New Roman"/>
          <w:color w:val="000000"/>
          <w:sz w:val="20"/>
          <w:szCs w:val="20"/>
          <w:lang w:val="en-US"/>
        </w:rPr>
        <w:t xml:space="preserve">ebris avalanche lithofacies related to structural units </w:t>
      </w:r>
    </w:p>
    <w:tbl>
      <w:tblPr>
        <w:tblW w:w="0pt" w:type="auto"/>
        <w:tblInd w:w="2.75pt" w:type="dxa"/>
        <w:tblLayout w:type="fixed"/>
        <w:tblCellMar>
          <w:top w:w="2.75pt" w:type="dxa"/>
          <w:start w:w="2.75pt" w:type="dxa"/>
          <w:bottom w:w="2.75pt" w:type="dxa"/>
          <w:end w:w="2.75pt" w:type="dxa"/>
        </w:tblCellMar>
        <w:tblLook w:firstRow="0" w:lastRow="0" w:firstColumn="0" w:lastColumn="0" w:noHBand="0" w:noVBand="0"/>
      </w:tblPr>
      <w:tblGrid>
        <w:gridCol w:w="1973"/>
        <w:gridCol w:w="5283"/>
        <w:gridCol w:w="3630"/>
      </w:tblGrid>
      <w:tr w:rsidR="00DA0CFB" w14:paraId="49929DDE" w14:textId="77777777" w:rsidTr="008323CB">
        <w:tc>
          <w:tcPr>
            <w:tcW w:w="98.6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2FD70F6" w14:textId="77777777" w:rsidR="00DA0CFB" w:rsidRDefault="00DA0CFB" w:rsidP="008323C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Structural units</w:t>
            </w:r>
          </w:p>
        </w:tc>
        <w:tc>
          <w:tcPr>
            <w:tcW w:w="264.1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4FE34CE8" w14:textId="77777777" w:rsidR="00DA0CFB" w:rsidRDefault="00DA0CFB" w:rsidP="008323CB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Descriptions</w:t>
            </w:r>
          </w:p>
        </w:tc>
        <w:tc>
          <w:tcPr>
            <w:tcW w:w="181.50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5E0A3B52" w14:textId="77777777" w:rsidR="00DA0CFB" w:rsidRDefault="00DA0CFB" w:rsidP="008323CB">
            <w:pPr>
              <w:pStyle w:val="TableContents"/>
            </w:pPr>
            <w:r>
              <w:rPr>
                <w:sz w:val="20"/>
                <w:szCs w:val="20"/>
              </w:rPr>
              <w:t>Volcanic debris avalanche lithofacies</w:t>
            </w:r>
          </w:p>
        </w:tc>
      </w:tr>
      <w:tr w:rsidR="00DA0CFB" w14:paraId="141AE3C4" w14:textId="77777777" w:rsidTr="008323CB">
        <w:trPr>
          <w:trHeight w:val="2738"/>
        </w:trPr>
        <w:tc>
          <w:tcPr>
            <w:tcW w:w="98.6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8BF28C4" w14:textId="77777777" w:rsidR="00DA0CFB" w:rsidRDefault="00DA0CFB" w:rsidP="008323CB">
            <w:pPr>
              <w:pStyle w:val="TableContents"/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Tutupaca ridges in Peru</w:t>
            </w:r>
          </w:p>
        </w:tc>
        <w:tc>
          <w:tcPr>
            <w:tcW w:w="264.1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788B95E1" w14:textId="77777777" w:rsidR="00DA0CFB" w:rsidRDefault="00DA0CFB" w:rsidP="008323CB">
            <w:pPr>
              <w:pStyle w:val="BodyText"/>
              <w:tabs>
                <w:tab w:val="start" w:pos="456.30pt"/>
              </w:tabs>
              <w:jc w:val="both"/>
            </w:pP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US"/>
              </w:rPr>
              <w:t xml:space="preserve">The undulating contact between the interstratified pyroclastic units and the avalanche breccias, showing </w:t>
            </w: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GB"/>
              </w:rPr>
              <w:t>granular segregation and fingering instabilities along c</w:t>
            </w: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US"/>
              </w:rPr>
              <w:t>ross-sections within the Tutupaca ridge</w:t>
            </w:r>
          </w:p>
        </w:tc>
        <w:tc>
          <w:tcPr>
            <w:tcW w:w="181.50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1E01DF29" w14:textId="4CA48697" w:rsidR="00DA0CFB" w:rsidRDefault="00DA0CFB" w:rsidP="008323CB">
            <w:pPr>
              <w:pStyle w:val="BodyText"/>
              <w:tabs>
                <w:tab w:val="start" w:pos="456.30pt"/>
              </w:tabs>
              <w:jc w:val="both"/>
              <w:rPr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allowOverlap="1" wp14:anchorId="0995D691" wp14:editId="32EF9AB9">
                  <wp:simplePos x="0" y="0"/>
                  <wp:positionH relativeFrom="column">
                    <wp:posOffset>322580</wp:posOffset>
                  </wp:positionH>
                  <wp:positionV relativeFrom="paragraph">
                    <wp:posOffset>17780</wp:posOffset>
                  </wp:positionV>
                  <wp:extent cx="1310005" cy="1066800"/>
                  <wp:effectExtent l="0" t="0" r="4445" b="0"/>
                  <wp:wrapTopAndBottom/>
                  <wp:docPr id="302494370" name="Picture 6" descr="A collage of different types of rocks&#10;&#10;Description automatically generated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302494370" name="Picture 6" descr="A collage of different types of rock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.229%" r="55.165%" b="49.858%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005" cy="106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0%</wp14:pctWidth>
                  </wp14:sizeRelH>
                  <wp14:sizeRelV relativeFrom="page">
                    <wp14:pctHeight>0%</wp14:pctHeight>
                  </wp14:sizeRelV>
                </wp:anchor>
              </w:drawing>
            </w:r>
          </w:p>
          <w:p w14:paraId="48DAFCA3" w14:textId="77777777" w:rsidR="00DA0CFB" w:rsidRDefault="00DA0CFB" w:rsidP="008323CB">
            <w:pPr>
              <w:pStyle w:val="BodyText"/>
              <w:tabs>
                <w:tab w:val="start" w:pos="456.30pt"/>
              </w:tabs>
              <w:jc w:val="both"/>
              <w:rPr>
                <w:sz w:val="20"/>
                <w:szCs w:val="20"/>
              </w:rPr>
            </w:pPr>
          </w:p>
        </w:tc>
      </w:tr>
      <w:tr w:rsidR="00DA0CFB" w14:paraId="3FC7E91A" w14:textId="77777777" w:rsidTr="008323CB">
        <w:tc>
          <w:tcPr>
            <w:tcW w:w="98.6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6A094EB" w14:textId="77777777" w:rsidR="00DA0CFB" w:rsidRDefault="00DA0CFB" w:rsidP="008323CB">
            <w:pPr>
              <w:pStyle w:val="TableContents"/>
            </w:pPr>
            <w:r>
              <w:rPr>
                <w:sz w:val="20"/>
                <w:szCs w:val="20"/>
              </w:rPr>
              <w:t>T</w:t>
            </w: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GB"/>
              </w:rPr>
              <w:t>he basal backthrust along l</w:t>
            </w:r>
            <w:r>
              <w:rPr>
                <w:sz w:val="20"/>
                <w:szCs w:val="20"/>
              </w:rPr>
              <w:t xml:space="preserve">ateral levee </w:t>
            </w: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GB"/>
              </w:rPr>
              <w:t>in the French Massif Central</w:t>
            </w:r>
          </w:p>
        </w:tc>
        <w:tc>
          <w:tcPr>
            <w:tcW w:w="264.1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397DD67C" w14:textId="77777777" w:rsidR="00DA0CFB" w:rsidRDefault="00DA0CFB" w:rsidP="008323CB">
            <w:pPr>
              <w:pStyle w:val="BodyText"/>
              <w:tabs>
                <w:tab w:val="start" w:pos="456.30pt"/>
              </w:tabs>
              <w:jc w:val="both"/>
            </w:pPr>
          </w:p>
          <w:p w14:paraId="2B9A2818" w14:textId="77777777" w:rsidR="00DA0CFB" w:rsidRDefault="00DA0CFB" w:rsidP="008323CB">
            <w:pPr>
              <w:pStyle w:val="BodyText"/>
              <w:tabs>
                <w:tab w:val="start" w:pos="456.30pt"/>
              </w:tabs>
              <w:jc w:val="both"/>
            </w:pP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GB"/>
              </w:rPr>
              <w:t>The cataclastic shear bands with granular segregations are observed  in matrix breccias</w:t>
            </w:r>
          </w:p>
        </w:tc>
        <w:tc>
          <w:tcPr>
            <w:tcW w:w="181.50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5400DA6A" w14:textId="2384EE0C" w:rsidR="00DA0CFB" w:rsidRDefault="00DA0CFB" w:rsidP="008323CB">
            <w:pPr>
              <w:pStyle w:val="BodyText"/>
              <w:tabs>
                <w:tab w:val="start" w:pos="456.30pt"/>
              </w:tabs>
              <w:jc w:val="both"/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allowOverlap="1" wp14:anchorId="5455307F" wp14:editId="558A3A68">
                  <wp:simplePos x="0" y="0"/>
                  <wp:positionH relativeFrom="column">
                    <wp:posOffset>215265</wp:posOffset>
                  </wp:positionH>
                  <wp:positionV relativeFrom="paragraph">
                    <wp:posOffset>12065</wp:posOffset>
                  </wp:positionV>
                  <wp:extent cx="1155700" cy="934720"/>
                  <wp:effectExtent l="0" t="0" r="6350" b="0"/>
                  <wp:wrapTopAndBottom/>
                  <wp:docPr id="1888443084" name="Picture 5" descr="A collage of different types of rocks&#10;&#10;Description automatically generated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1888443084" name="Picture 5" descr="A collage of different types of rock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.165%" b="49.858%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5700" cy="934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0%</wp14:pctWidth>
                  </wp14:sizeRelH>
                  <wp14:sizeRelV relativeFrom="page">
                    <wp14:pctHeight>0%</wp14:pctHeight>
                  </wp14:sizeRelV>
                </wp:anchor>
              </w:drawing>
            </w:r>
          </w:p>
        </w:tc>
      </w:tr>
      <w:tr w:rsidR="00DA0CFB" w14:paraId="274E7AB4" w14:textId="77777777" w:rsidTr="008323CB">
        <w:tc>
          <w:tcPr>
            <w:tcW w:w="98.6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346670E" w14:textId="77777777" w:rsidR="00DA0CFB" w:rsidRDefault="00DA0CFB" w:rsidP="008323CB">
            <w:pPr>
              <w:pStyle w:val="TableContents"/>
            </w:pPr>
            <w:r>
              <w:rPr>
                <w:sz w:val="20"/>
                <w:szCs w:val="20"/>
              </w:rPr>
              <w:t xml:space="preserve">Distal graben structures </w:t>
            </w: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US"/>
              </w:rPr>
              <w:t xml:space="preserve"> from the Pichu Pichu volcanic complex in Peru</w:t>
            </w:r>
          </w:p>
        </w:tc>
        <w:tc>
          <w:tcPr>
            <w:tcW w:w="264.1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6EEC7167" w14:textId="77777777" w:rsidR="00DA0CFB" w:rsidRDefault="00DA0CFB" w:rsidP="008323CB">
            <w:pPr>
              <w:pStyle w:val="BodyText"/>
              <w:tabs>
                <w:tab w:val="start" w:pos="456.30pt"/>
              </w:tabs>
              <w:jc w:val="both"/>
            </w:pPr>
          </w:p>
          <w:p w14:paraId="7FC77D37" w14:textId="77777777" w:rsidR="00DA0CFB" w:rsidRDefault="00DA0CFB" w:rsidP="008323CB">
            <w:pPr>
              <w:pStyle w:val="BodyText"/>
              <w:tabs>
                <w:tab w:val="start" w:pos="456.30pt"/>
              </w:tabs>
              <w:jc w:val="both"/>
            </w:pP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US"/>
              </w:rPr>
              <w:t>Graben structures are filled by the mixed matrix overlain by coarse- to medium-grained debris-flow deposits. Hyperconcentrated flow deposits are preserved</w:t>
            </w: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US"/>
              </w:rPr>
              <w:t>in backward frontal thrusts</w:t>
            </w:r>
          </w:p>
          <w:p w14:paraId="231BB07A" w14:textId="77777777" w:rsidR="00DA0CFB" w:rsidRDefault="00DA0CFB" w:rsidP="008323CB">
            <w:pPr>
              <w:pStyle w:val="BodyText"/>
              <w:tabs>
                <w:tab w:val="start" w:pos="456.30pt"/>
              </w:tabs>
              <w:jc w:val="both"/>
            </w:pPr>
          </w:p>
          <w:p w14:paraId="784DF7C8" w14:textId="77777777" w:rsidR="00DA0CFB" w:rsidRDefault="00DA0CFB" w:rsidP="008323CB">
            <w:pPr>
              <w:pStyle w:val="BodyText"/>
              <w:tabs>
                <w:tab w:val="start" w:pos="456.30pt"/>
              </w:tabs>
              <w:jc w:val="end"/>
            </w:pP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US"/>
              </w:rPr>
              <w:t>Coarse- to medium-grained debris-flow deposits  ==&gt;</w:t>
            </w:r>
          </w:p>
        </w:tc>
        <w:tc>
          <w:tcPr>
            <w:tcW w:w="181.50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6227AE16" w14:textId="7B4FDD26" w:rsidR="00DA0CFB" w:rsidRDefault="00DA0CFB" w:rsidP="008323CB">
            <w:pPr>
              <w:pStyle w:val="BodyText"/>
              <w:tabs>
                <w:tab w:val="start" w:pos="456.30pt"/>
              </w:tabs>
              <w:spacing w:line="24pt" w:lineRule="auto"/>
              <w:jc w:val="both"/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allowOverlap="1" wp14:anchorId="63325E56" wp14:editId="15897640">
                  <wp:simplePos x="0" y="0"/>
                  <wp:positionH relativeFrom="column">
                    <wp:posOffset>147320</wp:posOffset>
                  </wp:positionH>
                  <wp:positionV relativeFrom="paragraph">
                    <wp:posOffset>106045</wp:posOffset>
                  </wp:positionV>
                  <wp:extent cx="1687830" cy="1187450"/>
                  <wp:effectExtent l="0" t="0" r="7620" b="0"/>
                  <wp:wrapTopAndBottom/>
                  <wp:docPr id="1911662123" name="Picture 4" descr="A collage of different types of rocks&#10;&#10;Description automatically generated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1911662123" name="Picture 4" descr="A collage of different types of rock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9.833%" r="55.165%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7830" cy="1187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0%</wp14:pctWidth>
                  </wp14:sizeRelH>
                  <wp14:sizeRelV relativeFrom="page">
                    <wp14:pctHeight>0%</wp14:pctHeight>
                  </wp14:sizeRelV>
                </wp:anchor>
              </w:drawing>
            </w:r>
          </w:p>
        </w:tc>
      </w:tr>
      <w:tr w:rsidR="00DA0CFB" w14:paraId="463A969E" w14:textId="77777777" w:rsidTr="008323CB">
        <w:tc>
          <w:tcPr>
            <w:tcW w:w="98.6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8C616C6" w14:textId="77777777" w:rsidR="00DA0CFB" w:rsidRDefault="00DA0CFB" w:rsidP="008323CB">
            <w:pPr>
              <w:pStyle w:val="BodyText"/>
              <w:tabs>
                <w:tab w:val="start" w:pos="456.30pt"/>
              </w:tabs>
              <w:spacing w:line="24pt" w:lineRule="auto"/>
              <w:jc w:val="both"/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US"/>
              </w:rPr>
              <w:t xml:space="preserve">Along the frontal thrust lobe and in upstream diluted tail </w:t>
            </w:r>
          </w:p>
        </w:tc>
        <w:tc>
          <w:tcPr>
            <w:tcW w:w="264.1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32645311" w14:textId="77777777" w:rsidR="00DA0CFB" w:rsidRDefault="00DA0CFB" w:rsidP="008323CB">
            <w:pPr>
              <w:pStyle w:val="BodyText"/>
              <w:tabs>
                <w:tab w:val="start" w:pos="456.30pt"/>
              </w:tabs>
              <w:jc w:val="both"/>
            </w:pP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GB"/>
              </w:rPr>
              <w:t>S</w:t>
            </w: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US"/>
              </w:rPr>
              <w:t xml:space="preserve">tructural gradation of matrix breccias are observed with reverse grading in lithofacies assemblage </w:t>
            </w: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GB"/>
              </w:rPr>
              <w:t>The matrix transformation into debris flow at the confluence of the distal thrust lobe is associated with the</w:t>
            </w: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US"/>
              </w:rPr>
              <w:t xml:space="preserve"> impact wave and frontal surge in downstream areas (Meager </w:t>
            </w:r>
            <w:r>
              <w:rPr>
                <w:rStyle w:val="Policepardfaut1"/>
                <w:rFonts w:eastAsia="TimesNewRomanPS-BoldMT" w:cs="Times New Roman"/>
                <w:color w:val="000000"/>
                <w:sz w:val="20"/>
                <w:szCs w:val="20"/>
                <w:lang w:val="en-GB"/>
              </w:rPr>
              <w:t>in British Columbia and in the French Massif Central).</w:t>
            </w:r>
          </w:p>
        </w:tc>
        <w:tc>
          <w:tcPr>
            <w:tcW w:w="181.50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4DD3824D" w14:textId="19BD56AB" w:rsidR="00DA0CFB" w:rsidRDefault="00DA0CFB" w:rsidP="008323CB">
            <w:pPr>
              <w:pStyle w:val="BodyText"/>
              <w:tabs>
                <w:tab w:val="start" w:pos="456.30pt"/>
              </w:tabs>
              <w:spacing w:line="24pt" w:lineRule="auto"/>
              <w:jc w:val="both"/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allowOverlap="1" wp14:anchorId="1E5A0028" wp14:editId="5F352997">
                  <wp:simplePos x="0" y="0"/>
                  <wp:positionH relativeFrom="column">
                    <wp:posOffset>769620</wp:posOffset>
                  </wp:positionH>
                  <wp:positionV relativeFrom="paragraph">
                    <wp:posOffset>116840</wp:posOffset>
                  </wp:positionV>
                  <wp:extent cx="1214755" cy="993775"/>
                  <wp:effectExtent l="0" t="0" r="4445" b="0"/>
                  <wp:wrapTopAndBottom/>
                  <wp:docPr id="793013535" name="Picture 3" descr="A collage of different types of rocks&#10;&#10;Description automatically generated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793013535" name="Picture 3" descr="A collage of different types of rock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.165%" t="49.858%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755" cy="9937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0%</wp14:pctWidth>
                  </wp14:sizeRelH>
                  <wp14:sizeRelV relativeFrom="page">
                    <wp14:pctHeight>0%</wp14:pctHeight>
                  </wp14:sizeRelV>
                </wp:anchor>
              </w:drawing>
            </w:r>
          </w:p>
        </w:tc>
      </w:tr>
      <w:tr w:rsidR="00DA0CFB" w14:paraId="5A8BB78C" w14:textId="77777777" w:rsidTr="008323CB">
        <w:tc>
          <w:tcPr>
            <w:tcW w:w="98.6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0B112A6" w14:textId="77777777" w:rsidR="00DA0CFB" w:rsidRDefault="00DA0CFB" w:rsidP="008323CB">
            <w:pPr>
              <w:pStyle w:val="TableContents"/>
              <w:rPr>
                <w:sz w:val="20"/>
                <w:szCs w:val="20"/>
              </w:rPr>
            </w:pPr>
          </w:p>
          <w:p w14:paraId="34254FAF" w14:textId="77777777" w:rsidR="00DA0CFB" w:rsidRDefault="00DA0CFB" w:rsidP="008323CB">
            <w:pPr>
              <w:pStyle w:val="WW-Standard1"/>
              <w:spacing w:line="24pt" w:lineRule="auto"/>
              <w:jc w:val="both"/>
              <w:rPr>
                <w:rStyle w:val="Policepardfaut1"/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Style w:val="Policepardfaut1"/>
                <w:rFonts w:eastAsia="Times New Roman"/>
                <w:color w:val="000000"/>
                <w:sz w:val="20"/>
                <w:szCs w:val="20"/>
                <w:lang w:val="en-US"/>
              </w:rPr>
              <w:t>Upper sheared contact of rock-avalanche debris flow</w:t>
            </w:r>
          </w:p>
        </w:tc>
        <w:tc>
          <w:tcPr>
            <w:tcW w:w="264.1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166EBD33" w14:textId="77777777" w:rsidR="00DA0CFB" w:rsidRDefault="00DA0CFB" w:rsidP="008323CB">
            <w:pPr>
              <w:pStyle w:val="WW-Standard1"/>
              <w:jc w:val="both"/>
            </w:pPr>
            <w:r>
              <w:rPr>
                <w:rStyle w:val="Policepardfaut1"/>
                <w:rFonts w:eastAsia="Times New Roman"/>
                <w:color w:val="000000"/>
                <w:sz w:val="20"/>
                <w:szCs w:val="20"/>
                <w:lang w:val="en-US"/>
              </w:rPr>
              <w:t>Coating matrix, showing lava clasts with the rim and reverse grading (Meager in British Columbia)</w:t>
            </w:r>
            <w:r>
              <w:rPr>
                <w:rStyle w:val="Policepardfaut1"/>
                <w:rFonts w:eastAsia="Arial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Style w:val="Policepardfaut1"/>
                <w:rFonts w:eastAsia="TimesNewRomanPS-BoldMT" w:cs="TimesNewRomanPSMT"/>
                <w:color w:val="000000"/>
                <w:sz w:val="20"/>
                <w:szCs w:val="20"/>
                <w:lang w:val="en-GB"/>
              </w:rPr>
              <w:t xml:space="preserve"> changes the initial granular distributions by increasing the clast size and aggregating the finer clayey fraction. The finer grain-size fraction disappears into the coating matrix. T</w:t>
            </w:r>
            <w:r>
              <w:rPr>
                <w:rStyle w:val="Policepardfaut37"/>
                <w:rFonts w:eastAsia="TimesNewRomanPS-BoldMT" w:cs="Arial"/>
                <w:color w:val="000000"/>
                <w:sz w:val="20"/>
                <w:szCs w:val="20"/>
                <w:lang w:val="en-US"/>
              </w:rPr>
              <w:t>he proximal rock avalanche is transformed into a highly mobile debris flow (Bernard</w:t>
            </w:r>
            <w:r>
              <w:rPr>
                <w:rStyle w:val="Policepardfaut37"/>
                <w:rFonts w:eastAsia="TimesNewRomanPS-BoldMT" w:cs="Arial"/>
                <w:color w:val="0000FF"/>
                <w:sz w:val="20"/>
                <w:szCs w:val="20"/>
                <w:lang w:val="en-US"/>
              </w:rPr>
              <w:t xml:space="preserve"> 2020</w:t>
            </w:r>
            <w:r>
              <w:rPr>
                <w:rStyle w:val="Policepardfaut37"/>
                <w:rFonts w:eastAsia="TimesNewRomanPS-BoldMT" w:cs="Arial"/>
                <w:color w:val="000000"/>
                <w:sz w:val="20"/>
                <w:szCs w:val="20"/>
                <w:lang w:val="en-US"/>
              </w:rPr>
              <w:t>).</w:t>
            </w:r>
            <w:r>
              <w:rPr>
                <w:rStyle w:val="Policepardfaut37"/>
                <w:rFonts w:eastAsia="TimesNewRomanPS-BoldMT" w:cs="Arial"/>
                <w:color w:val="0000FF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81.50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315D1217" w14:textId="4B774668" w:rsidR="00DA0CFB" w:rsidRDefault="00DA0CFB" w:rsidP="008323CB">
            <w:pPr>
              <w:pStyle w:val="TableContents"/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allowOverlap="1" wp14:anchorId="7DC4BC1E" wp14:editId="3058F17E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1358900" cy="1097280"/>
                  <wp:effectExtent l="0" t="0" r="0" b="7620"/>
                  <wp:wrapSquare wrapText="bothSides"/>
                  <wp:docPr id="1632078770" name="Picture 2" descr="A close-up of a rock&#10;&#10;Description automatically generated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1632078770" name="Picture 2" descr="A close-up of a rock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.017%" r="50.154%" b="14.992%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8900" cy="1097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0%</wp14:pctWidth>
                  </wp14:sizeRelH>
                  <wp14:sizeRelV relativeFrom="page">
                    <wp14:pctHeight>0%</wp14:pctHeight>
                  </wp14:sizeRelV>
                </wp:anchor>
              </w:drawing>
            </w:r>
          </w:p>
        </w:tc>
      </w:tr>
      <w:tr w:rsidR="00DA0CFB" w14:paraId="47F43599" w14:textId="77777777" w:rsidTr="008323CB">
        <w:tc>
          <w:tcPr>
            <w:tcW w:w="98.6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D0D62BB" w14:textId="77777777" w:rsidR="00DA0CFB" w:rsidRDefault="00DA0CFB" w:rsidP="008323CB">
            <w:pPr>
              <w:pStyle w:val="WW-Standard1"/>
              <w:jc w:val="both"/>
              <w:rPr>
                <w:rStyle w:val="Policepardfaut1"/>
                <w:rFonts w:eastAsia="Arial"/>
                <w:color w:val="000000"/>
                <w:sz w:val="20"/>
                <w:szCs w:val="20"/>
                <w:lang w:val="en-US"/>
              </w:rPr>
            </w:pPr>
            <w:r>
              <w:rPr>
                <w:rStyle w:val="Policepardfaut1"/>
                <w:rFonts w:eastAsia="Times New Roman"/>
                <w:color w:val="000000"/>
                <w:sz w:val="20"/>
                <w:szCs w:val="20"/>
                <w:lang w:val="en-US"/>
              </w:rPr>
              <w:lastRenderedPageBreak/>
              <w:t xml:space="preserve">Basal contact of the distal matrix-rich debris avalanche </w:t>
            </w:r>
            <w:r>
              <w:rPr>
                <w:rStyle w:val="Policepardfaut1"/>
                <w:rFonts w:eastAsia="Arial"/>
                <w:color w:val="000000"/>
                <w:sz w:val="20"/>
                <w:szCs w:val="20"/>
                <w:lang w:val="en-US"/>
              </w:rPr>
              <w:t xml:space="preserve">in the French Massif Central </w:t>
            </w:r>
          </w:p>
        </w:tc>
        <w:tc>
          <w:tcPr>
            <w:tcW w:w="264.15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459176DA" w14:textId="77777777" w:rsidR="00DA0CFB" w:rsidRDefault="00DA0CFB" w:rsidP="008323CB">
            <w:pPr>
              <w:jc w:val="both"/>
            </w:pPr>
            <w:r>
              <w:rPr>
                <w:rStyle w:val="Policepardfaut1"/>
                <w:rFonts w:eastAsia="Arial" w:cs="Times New Roman"/>
                <w:color w:val="000000"/>
                <w:sz w:val="20"/>
                <w:szCs w:val="20"/>
                <w:lang w:val="en-US"/>
              </w:rPr>
              <w:t>A</w:t>
            </w:r>
            <w:r>
              <w:rPr>
                <w:rStyle w:val="Policepardfaut1"/>
                <w:rFonts w:eastAsia="Arial" w:cs="Times New Roman"/>
                <w:color w:val="000000"/>
                <w:sz w:val="20"/>
                <w:szCs w:val="20"/>
                <w:lang w:val="en-GB"/>
              </w:rPr>
              <w:t>n assemblage of sub-rounded phenocrysts of quartz and feldspar in brown matrix are observed</w:t>
            </w:r>
            <w:r>
              <w:rPr>
                <w:rStyle w:val="Policepardfaut1"/>
                <w:rFonts w:eastAsia="Arial" w:cs="Times New Roman"/>
                <w:color w:val="000000"/>
                <w:sz w:val="20"/>
                <w:szCs w:val="20"/>
                <w:lang w:val="en-US"/>
              </w:rPr>
              <w:t xml:space="preserve">. </w:t>
            </w:r>
            <w:r>
              <w:rPr>
                <w:rStyle w:val="Policepardfaut37"/>
                <w:rFonts w:eastAsia="TimesNewRomanPS-BoldMT"/>
                <w:color w:val="000000"/>
                <w:sz w:val="20"/>
                <w:szCs w:val="20"/>
                <w:lang w:val="en-US"/>
              </w:rPr>
              <w:t>Crush, comminution and frictional melting contribute to different matrix up to the distal transformations (Bernard and van Wyk de Vries</w:t>
            </w:r>
            <w:r>
              <w:rPr>
                <w:rStyle w:val="Policepardfaut37"/>
                <w:rFonts w:eastAsia="TimesNewRomanPS-BoldMT"/>
                <w:color w:val="0000FF"/>
                <w:sz w:val="20"/>
                <w:szCs w:val="20"/>
                <w:lang w:val="en-US"/>
              </w:rPr>
              <w:t xml:space="preserve"> 2017</w:t>
            </w:r>
            <w:r>
              <w:rPr>
                <w:rStyle w:val="Policepardfaut37"/>
                <w:rFonts w:eastAsia="TimesNewRomanPS-BoldMT"/>
                <w:color w:val="000000"/>
                <w:sz w:val="20"/>
                <w:szCs w:val="20"/>
                <w:lang w:val="en-US"/>
              </w:rPr>
              <w:t>).</w:t>
            </w:r>
          </w:p>
        </w:tc>
        <w:tc>
          <w:tcPr>
            <w:tcW w:w="181.50pt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788957A4" w14:textId="06DE6F52" w:rsidR="00DA0CFB" w:rsidRDefault="00DA0CFB" w:rsidP="008323CB">
            <w:pPr>
              <w:pStyle w:val="TableContents"/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allowOverlap="1" wp14:anchorId="7F71D6F0" wp14:editId="78E2D02B">
                  <wp:simplePos x="0" y="0"/>
                  <wp:positionH relativeFrom="column">
                    <wp:align>center</wp:align>
                  </wp:positionH>
                  <wp:positionV relativeFrom="paragraph">
                    <wp:posOffset>0</wp:posOffset>
                  </wp:positionV>
                  <wp:extent cx="1725930" cy="1330960"/>
                  <wp:effectExtent l="0" t="0" r="7620" b="2540"/>
                  <wp:wrapTopAndBottom/>
                  <wp:docPr id="1386775229" name="Picture 1" descr="A close-up of a rock&#10;&#10;Description automatically generated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1386775229" name="Picture 1" descr="A close-up of a rock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.171%" t="4.997%" b="14.992%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5930" cy="1330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0%</wp14:pctWidth>
                  </wp14:sizeRelH>
                  <wp14:sizeRelV relativeFrom="page">
                    <wp14:pctHeight>0%</wp14:pctHeight>
                  </wp14:sizeRelV>
                </wp:anchor>
              </w:drawing>
            </w:r>
          </w:p>
        </w:tc>
      </w:tr>
    </w:tbl>
    <w:p w14:paraId="2766BD9A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TimesNewRomanPS-BoldMT">
    <w:altName w:val="'Times"/>
    <w:charset w:characterSet="iso-8859-1"/>
    <w:family w:val="auto"/>
    <w:pitch w:val="default"/>
  </w:font>
  <w:font w:name="TimesNewRomanPSMT">
    <w:altName w:val="Times New Roman"/>
    <w:charset w:characterSet="iso-8859-1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CFB"/>
    <w:rsid w:val="00151C7D"/>
    <w:rsid w:val="002A5090"/>
    <w:rsid w:val="003F36CB"/>
    <w:rsid w:val="005C6F5D"/>
    <w:rsid w:val="008C374B"/>
    <w:rsid w:val="00954821"/>
    <w:rsid w:val="00AF416B"/>
    <w:rsid w:val="00DA0CF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997FAC"/>
  <w15:chartTrackingRefBased/>
  <w15:docId w15:val="{74FA86D8-FB4A-4FDA-8425-0CCF72914E39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CFB"/>
    <w:pPr>
      <w:widowControl w:val="0"/>
      <w:suppressAutoHyphens/>
      <w:spacing w:after="0pt" w:line="5pt" w:lineRule="atLeast"/>
      <w:textAlignment w:val="baseline"/>
    </w:pPr>
    <w:rPr>
      <w:rFonts w:ascii="Times New Roman" w:eastAsia="SimSun" w:hAnsi="Times New Roman" w:cs="Arial"/>
      <w:kern w:val="1"/>
      <w:sz w:val="24"/>
      <w:szCs w:val="24"/>
      <w:lang w:val="fr-FR" w:eastAsia="hi-I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0CFB"/>
    <w:pPr>
      <w:keepNext/>
      <w:keepLines/>
      <w:widowControl/>
      <w:suppressAutoHyphens w:val="0"/>
      <w:spacing w:before="18pt" w:after="4pt" w:line="12.95pt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0CFB"/>
    <w:pPr>
      <w:keepNext/>
      <w:keepLines/>
      <w:widowControl/>
      <w:suppressAutoHyphens w:val="0"/>
      <w:spacing w:before="8pt" w:after="4pt" w:line="12.95pt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0CFB"/>
    <w:pPr>
      <w:keepNext/>
      <w:keepLines/>
      <w:widowControl/>
      <w:suppressAutoHyphens w:val="0"/>
      <w:spacing w:before="8pt" w:after="4pt" w:line="12.95pt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0CFB"/>
    <w:pPr>
      <w:keepNext/>
      <w:keepLines/>
      <w:widowControl/>
      <w:suppressAutoHyphens w:val="0"/>
      <w:spacing w:before="4pt" w:after="2pt" w:line="12.95pt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0CFB"/>
    <w:pPr>
      <w:keepNext/>
      <w:keepLines/>
      <w:widowControl/>
      <w:suppressAutoHyphens w:val="0"/>
      <w:spacing w:before="4pt" w:after="2pt" w:line="12.95pt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0CFB"/>
    <w:pPr>
      <w:keepNext/>
      <w:keepLines/>
      <w:widowControl/>
      <w:suppressAutoHyphens w:val="0"/>
      <w:spacing w:before="2pt" w:line="12.95pt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0CFB"/>
    <w:pPr>
      <w:keepNext/>
      <w:keepLines/>
      <w:widowControl/>
      <w:suppressAutoHyphens w:val="0"/>
      <w:spacing w:before="2pt" w:line="12.95pt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0CFB"/>
    <w:pPr>
      <w:keepNext/>
      <w:keepLines/>
      <w:widowControl/>
      <w:suppressAutoHyphens w:val="0"/>
      <w:spacing w:line="12.95pt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0CFB"/>
    <w:pPr>
      <w:keepNext/>
      <w:keepLines/>
      <w:widowControl/>
      <w:suppressAutoHyphens w:val="0"/>
      <w:spacing w:line="12.95pt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0C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0C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0C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0C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0C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0C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0C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0C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0C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0CFB"/>
    <w:pPr>
      <w:widowControl/>
      <w:suppressAutoHyphens w:val="0"/>
      <w:spacing w:after="4pt" w:line="12pt" w:lineRule="auto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A0C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0CFB"/>
    <w:pPr>
      <w:widowControl/>
      <w:numPr>
        <w:ilvl w:val="1"/>
      </w:numPr>
      <w:suppressAutoHyphens w:val="0"/>
      <w:spacing w:after="8pt" w:line="12.95pt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A0C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0CFB"/>
    <w:pPr>
      <w:widowControl/>
      <w:suppressAutoHyphens w:val="0"/>
      <w:spacing w:before="8pt" w:after="8pt" w:line="12.95pt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A0C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0CFB"/>
    <w:pPr>
      <w:widowControl/>
      <w:suppressAutoHyphens w:val="0"/>
      <w:spacing w:after="8pt" w:line="12.95pt" w:lineRule="auto"/>
      <w:ind w:start="36pt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A0C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0CF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18pt" w:after="18pt" w:line="12.95pt" w:lineRule="auto"/>
      <w:ind w:start="43.20pt" w:end="43.20pt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0C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0CFB"/>
    <w:rPr>
      <w:b/>
      <w:bCs/>
      <w:smallCaps/>
      <w:color w:val="0F4761" w:themeColor="accent1" w:themeShade="BF"/>
      <w:spacing w:val="5"/>
    </w:rPr>
  </w:style>
  <w:style w:type="character" w:customStyle="1" w:styleId="Policepardfaut1">
    <w:name w:val="Police par défaut1"/>
    <w:rsid w:val="00DA0CFB"/>
  </w:style>
  <w:style w:type="character" w:customStyle="1" w:styleId="Policepardfaut37">
    <w:name w:val="Police par défaut37"/>
    <w:rsid w:val="00DA0CFB"/>
  </w:style>
  <w:style w:type="paragraph" w:styleId="BodyText">
    <w:name w:val="Body Text"/>
    <w:basedOn w:val="Normal"/>
    <w:link w:val="BodyTextChar"/>
    <w:rsid w:val="00DA0CFB"/>
    <w:pPr>
      <w:spacing w:after="6pt"/>
    </w:pPr>
  </w:style>
  <w:style w:type="character" w:customStyle="1" w:styleId="BodyTextChar">
    <w:name w:val="Body Text Char"/>
    <w:basedOn w:val="DefaultParagraphFont"/>
    <w:link w:val="BodyText"/>
    <w:rsid w:val="00DA0CFB"/>
    <w:rPr>
      <w:rFonts w:ascii="Times New Roman" w:eastAsia="SimSun" w:hAnsi="Times New Roman" w:cs="Arial"/>
      <w:kern w:val="1"/>
      <w:sz w:val="24"/>
      <w:szCs w:val="24"/>
      <w:lang w:val="fr-FR" w:eastAsia="hi-IN" w:bidi="hi-IN"/>
      <w14:ligatures w14:val="none"/>
    </w:rPr>
  </w:style>
  <w:style w:type="paragraph" w:customStyle="1" w:styleId="WW-Standard1">
    <w:name w:val="WW-Standard1"/>
    <w:rsid w:val="00DA0CFB"/>
    <w:pPr>
      <w:widowControl w:val="0"/>
      <w:suppressAutoHyphens/>
      <w:spacing w:after="0pt" w:line="5pt" w:lineRule="atLeast"/>
      <w:textAlignment w:val="baseline"/>
    </w:pPr>
    <w:rPr>
      <w:rFonts w:ascii="Times New Roman" w:eastAsia="SimSun" w:hAnsi="Times New Roman" w:cs="Times New Roman"/>
      <w:kern w:val="1"/>
      <w:sz w:val="24"/>
      <w:szCs w:val="24"/>
      <w:lang w:val="fr-FR" w:eastAsia="hi-IN" w:bidi="hi-IN"/>
      <w14:ligatures w14:val="none"/>
    </w:rPr>
  </w:style>
  <w:style w:type="paragraph" w:customStyle="1" w:styleId="TableContents">
    <w:name w:val="Table Contents"/>
    <w:basedOn w:val="Normal"/>
    <w:rsid w:val="00DA0CFB"/>
    <w:pPr>
      <w:suppressLineNumbers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image" Target="media/image5.jpeg"/><Relationship Id="rId3" Type="http://purl.oclc.org/ooxml/officeDocument/relationships/webSettings" Target="webSettings.xml"/><Relationship Id="rId7" Type="http://purl.oclc.org/ooxml/officeDocument/relationships/image" Target="media/image4.jpeg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3.jpeg"/><Relationship Id="rId11" Type="http://purl.oclc.org/ooxml/officeDocument/relationships/theme" Target="theme/theme1.xml"/><Relationship Id="rId5" Type="http://purl.oclc.org/ooxml/officeDocument/relationships/image" Target="media/image2.jpeg"/><Relationship Id="rId10" Type="http://purl.oclc.org/ooxml/officeDocument/relationships/fontTable" Target="fontTable.xml"/><Relationship Id="rId4" Type="http://purl.oclc.org/ooxml/officeDocument/relationships/image" Target="media/image1.jpeg"/><Relationship Id="rId9" Type="http://purl.oclc.org/ooxml/officeDocument/relationships/image" Target="media/image6.jpe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2</Pages>
  <Words>297</Words>
  <Characters>1695</Characters>
  <Application>Microsoft Office Word</Application>
  <DocSecurity>0</DocSecurity>
  <Lines>14</Lines>
  <Paragraphs>3</Paragraphs>
  <ScaleCrop>false</ScaleCrop>
  <Company>Springer Nature</Company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2024-09-27T05:45:00Z</dcterms:created>
  <dcterms:modified xsi:type="dcterms:W3CDTF">2024-09-27T05:45:00Z</dcterms:modified>
</cp:coreProperties>
</file>