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6A53D8" w14:textId="392EACB9" w:rsidR="0028106E" w:rsidRPr="0028106E" w:rsidRDefault="0028106E" w:rsidP="0028106E">
      <w:pPr>
        <w:rPr>
          <w:b/>
          <w:bCs/>
          <w:lang w:val="en-US"/>
        </w:rPr>
      </w:pPr>
      <w:r w:rsidRPr="0028106E">
        <w:rPr>
          <w:b/>
          <w:bCs/>
          <w:lang w:val="en-US"/>
        </w:rPr>
        <w:t xml:space="preserve">Supplement material – Descriptive of </w:t>
      </w:r>
      <w:proofErr w:type="spellStart"/>
      <w:r w:rsidRPr="0028106E">
        <w:rPr>
          <w:b/>
          <w:bCs/>
          <w:lang w:val="en-US"/>
        </w:rPr>
        <w:t>Erasme</w:t>
      </w:r>
      <w:proofErr w:type="spellEnd"/>
      <w:r w:rsidRPr="0028106E">
        <w:rPr>
          <w:b/>
          <w:bCs/>
          <w:lang w:val="en-US"/>
        </w:rPr>
        <w:t xml:space="preserve"> ICU follow-up </w:t>
      </w:r>
      <w:r>
        <w:rPr>
          <w:b/>
          <w:bCs/>
          <w:lang w:val="en-US"/>
        </w:rPr>
        <w:t>program</w:t>
      </w:r>
    </w:p>
    <w:p w14:paraId="1FF17372" w14:textId="2C9E1846" w:rsidR="0028106E" w:rsidRDefault="0028106E" w:rsidP="0028106E">
      <w:pPr>
        <w:ind w:firstLine="708"/>
        <w:rPr>
          <w:lang w:val="en-US"/>
        </w:rPr>
      </w:pPr>
      <w:r>
        <w:rPr>
          <w:noProof/>
          <w:lang w:eastAsia="fr-BE"/>
        </w:rPr>
        <mc:AlternateContent>
          <mc:Choice Requires="wps">
            <w:drawing>
              <wp:anchor distT="0" distB="0" distL="114300" distR="114300" simplePos="0" relativeHeight="251659264" behindDoc="0" locked="0" layoutInCell="1" allowOverlap="1" wp14:anchorId="0E137756" wp14:editId="798EDB2D">
                <wp:simplePos x="0" y="0"/>
                <wp:positionH relativeFrom="column">
                  <wp:posOffset>-108642</wp:posOffset>
                </wp:positionH>
                <wp:positionV relativeFrom="paragraph">
                  <wp:posOffset>1767067</wp:posOffset>
                </wp:positionV>
                <wp:extent cx="5929668" cy="4109720"/>
                <wp:effectExtent l="0" t="0" r="13970" b="17780"/>
                <wp:wrapNone/>
                <wp:docPr id="1" name="Retângulo Arredondado 1"/>
                <wp:cNvGraphicFramePr/>
                <a:graphic xmlns:a="http://schemas.openxmlformats.org/drawingml/2006/main">
                  <a:graphicData uri="http://schemas.microsoft.com/office/word/2010/wordprocessingShape">
                    <wps:wsp>
                      <wps:cNvSpPr/>
                      <wps:spPr>
                        <a:xfrm>
                          <a:off x="0" y="0"/>
                          <a:ext cx="5929668" cy="4109720"/>
                        </a:xfrm>
                        <a:prstGeom prst="roundRect">
                          <a:avLst>
                            <a:gd name="adj" fmla="val 1907"/>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996D07E" id="Retângulo Arredondado 1" o:spid="_x0000_s1026" style="position:absolute;margin-left:-8.55pt;margin-top:139.15pt;width:466.9pt;height:323.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2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" filled="f" strokecolor="black [3213]" strokeweight=".5pt">
                <v:stroke joinstyle="miter"/>
              </v:roundrect>
            </w:pict>
          </mc:Fallback>
        </mc:AlternateContent>
      </w:r>
      <w:proofErr w:type="spellStart"/>
      <w:r w:rsidRPr="000E2D0C">
        <w:rPr>
          <w:lang w:val="en-US"/>
        </w:rPr>
        <w:t>Erasme</w:t>
      </w:r>
      <w:proofErr w:type="spellEnd"/>
      <w:r w:rsidRPr="000E2D0C">
        <w:rPr>
          <w:lang w:val="en-US"/>
        </w:rPr>
        <w:t xml:space="preserve"> University Hospital, </w:t>
      </w:r>
      <w:r>
        <w:rPr>
          <w:lang w:val="en-US"/>
        </w:rPr>
        <w:t xml:space="preserve">an </w:t>
      </w:r>
      <w:r w:rsidRPr="000E2D0C">
        <w:rPr>
          <w:lang w:val="en-US"/>
        </w:rPr>
        <w:t xml:space="preserve">858-bed tertiary </w:t>
      </w:r>
      <w:r>
        <w:rPr>
          <w:lang w:val="en-US"/>
        </w:rPr>
        <w:t>hospital</w:t>
      </w:r>
      <w:r w:rsidRPr="000E2D0C">
        <w:rPr>
          <w:lang w:val="en-US"/>
        </w:rPr>
        <w:t xml:space="preserve">, launched a </w:t>
      </w:r>
      <w:r>
        <w:rPr>
          <w:lang w:val="en-US"/>
        </w:rPr>
        <w:t>multidisciplinary I</w:t>
      </w:r>
      <w:r w:rsidRPr="000E2D0C">
        <w:rPr>
          <w:lang w:val="en-US"/>
        </w:rPr>
        <w:t>CU follow-up program in November 2017</w:t>
      </w:r>
      <w:r w:rsidRPr="00313334">
        <w:rPr>
          <w:lang w:val="en-US"/>
        </w:rPr>
        <w:t>. A</w:t>
      </w:r>
      <w:r>
        <w:rPr>
          <w:lang w:val="en-US"/>
        </w:rPr>
        <w:t xml:space="preserve"> multidisciplinary model provides a direct interaction of all stakeholders with the ICU survivors. However, communication among stakeholders can be fragile and there is no active participation from the patient in the </w:t>
      </w:r>
      <w:r w:rsidRPr="00D42377">
        <w:rPr>
          <w:lang w:val="en-US"/>
        </w:rPr>
        <w:t xml:space="preserve">system </w:t>
      </w:r>
      <w:r w:rsidRPr="0028106E">
        <w:rPr>
          <w:lang w:val="en-US"/>
        </w:rPr>
        <w:t>(</w:t>
      </w:r>
      <w:r w:rsidRPr="0028106E">
        <w:rPr>
          <w:rFonts w:ascii="Arial Unicode MS" w:eastAsia="Arial Unicode MS" w:hAnsi="Arial Unicode MS" w:cs="Arial Unicode MS" w:hint="eastAsia"/>
          <w:sz w:val="20"/>
          <w:lang w:val="en-US" w:eastAsia="pt-BR"/>
        </w:rPr>
        <w:t>F</w:t>
      </w:r>
      <w:r w:rsidRPr="0028106E">
        <w:rPr>
          <w:rFonts w:ascii="Arial Unicode MS" w:eastAsia="Arial Unicode MS" w:hAnsi="Arial Unicode MS" w:cs="Arial Unicode MS"/>
          <w:sz w:val="20"/>
          <w:lang w:val="en-US" w:eastAsia="pt-BR"/>
        </w:rPr>
        <w:t>ig.1</w:t>
      </w:r>
      <w:r w:rsidRPr="0028106E">
        <w:rPr>
          <w:lang w:val="en-US"/>
        </w:rPr>
        <w:t xml:space="preserve">). </w:t>
      </w:r>
      <w:r>
        <w:rPr>
          <w:lang w:val="en-US"/>
        </w:rPr>
        <w:t xml:space="preserve">Time is necessary for each part of the team to assess the patient to complete the circle and the dynamic of this model. </w:t>
      </w:r>
    </w:p>
    <w:p w14:paraId="0CE6B2E2" w14:textId="77777777" w:rsidR="0028106E" w:rsidRDefault="0028106E" w:rsidP="0028106E">
      <w:pPr>
        <w:keepNext/>
        <w:jc w:val="center"/>
      </w:pPr>
      <w:r>
        <w:rPr>
          <w:noProof/>
          <w:lang w:eastAsia="fr-BE"/>
        </w:rPr>
        <w:drawing>
          <wp:inline distT="0" distB="0" distL="0" distR="0" wp14:anchorId="7251D5A6" wp14:editId="487E43E8">
            <wp:extent cx="3899140" cy="3557868"/>
            <wp:effectExtent l="0" t="0" r="0" b="0"/>
            <wp:docPr id="19" name="Imagem 19" descr="Diagrama, Esquemát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9" descr="Diagrama, Esquemático&#10;&#10;Descrição gerad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02484" cy="3560920"/>
                    </a:xfrm>
                    <a:prstGeom prst="rect">
                      <a:avLst/>
                    </a:prstGeom>
                  </pic:spPr>
                </pic:pic>
              </a:graphicData>
            </a:graphic>
          </wp:inline>
        </w:drawing>
      </w:r>
    </w:p>
    <w:p w14:paraId="0969531C" w14:textId="1A31A946" w:rsidR="0028106E" w:rsidRPr="00F77B54" w:rsidRDefault="0028106E" w:rsidP="0028106E">
      <w:pPr>
        <w:pStyle w:val="Legenda"/>
        <w:rPr>
          <w:lang w:val="en-US"/>
        </w:rPr>
      </w:pPr>
      <w:r>
        <w:rPr>
          <w:rFonts w:ascii="Arial Unicode MS" w:eastAsia="Arial Unicode MS" w:hAnsi="Arial Unicode MS" w:cs="Arial Unicode MS" w:hint="eastAsia"/>
          <w:color w:val="327FC4"/>
          <w:sz w:val="16"/>
          <w:szCs w:val="15"/>
          <w:lang w:val="en-US" w:eastAsia="pt-BR"/>
          <w14:textFill>
            <w14:solidFill>
              <w14:srgbClr w14:val="327FC4">
                <w14:lumMod w14:val="75000"/>
              </w14:srgbClr>
            </w14:solidFill>
          </w14:textFill>
        </w:rPr>
        <w:t>F</w:t>
      </w:r>
      <w:r>
        <w:rPr>
          <w:rFonts w:ascii="Arial Unicode MS" w:eastAsia="Arial Unicode MS" w:hAnsi="Arial Unicode MS" w:cs="Arial Unicode MS"/>
          <w:color w:val="327FC4"/>
          <w:sz w:val="16"/>
          <w:szCs w:val="15"/>
          <w:lang w:val="en-US" w:eastAsia="pt-BR"/>
          <w14:textFill>
            <w14:solidFill>
              <w14:srgbClr w14:val="327FC4">
                <w14:lumMod w14:val="75000"/>
              </w14:srgbClr>
            </w14:solidFill>
          </w14:textFill>
        </w:rPr>
        <w:t>IG.1</w:t>
      </w:r>
      <w:r w:rsidRPr="00011911">
        <w:rPr>
          <w:color w:val="0070C0"/>
          <w:lang w:val="en-US"/>
          <w14:textFill>
            <w14:solidFill>
              <w14:srgbClr w14:val="0070C0">
                <w14:lumMod w14:val="75000"/>
              </w14:srgbClr>
            </w14:solidFill>
          </w14:textFill>
        </w:rPr>
        <w:t>.</w:t>
      </w:r>
      <w:r>
        <w:rPr>
          <w:color w:val="0070C0"/>
          <w:lang w:val="en-US"/>
          <w14:textFill>
            <w14:solidFill>
              <w14:srgbClr w14:val="0070C0">
                <w14:lumMod w14:val="75000"/>
              </w14:srgbClr>
            </w14:solidFill>
          </w14:textFill>
        </w:rPr>
        <w:t xml:space="preserve"> </w:t>
      </w:r>
      <w:r>
        <w:rPr>
          <w:lang w:val="en-US"/>
        </w:rPr>
        <w:t>MULTIDISCIPLINARY MODEL</w:t>
      </w:r>
    </w:p>
    <w:p w14:paraId="043A79C0" w14:textId="34E09E11" w:rsidR="0028106E" w:rsidRDefault="0028106E" w:rsidP="0028106E">
      <w:pPr>
        <w:rPr>
          <w:sz w:val="18"/>
          <w:szCs w:val="18"/>
          <w:lang w:val="en-US"/>
        </w:rPr>
      </w:pPr>
      <w:r w:rsidRPr="0030092E">
        <w:rPr>
          <w:sz w:val="18"/>
          <w:szCs w:val="18"/>
          <w:lang w:val="en-US"/>
        </w:rPr>
        <w:t>MD medical doctor; PT physiotherapist; PSY psychologist; ICU intensive care unit</w:t>
      </w:r>
    </w:p>
    <w:p w14:paraId="281CC81F" w14:textId="73360DD9" w:rsidR="0028106E" w:rsidRDefault="0028106E" w:rsidP="0028106E">
      <w:pPr>
        <w:rPr>
          <w:sz w:val="18"/>
          <w:szCs w:val="18"/>
          <w:lang w:val="en-US"/>
        </w:rPr>
      </w:pPr>
    </w:p>
    <w:p w14:paraId="7BBE2DB2" w14:textId="77777777" w:rsidR="0028106E" w:rsidRPr="0028106E" w:rsidRDefault="0028106E" w:rsidP="0028106E">
      <w:pPr>
        <w:rPr>
          <w:sz w:val="18"/>
          <w:szCs w:val="18"/>
          <w:lang w:val="en-US"/>
        </w:rPr>
      </w:pPr>
    </w:p>
    <w:p w14:paraId="525D6529" w14:textId="77777777" w:rsidR="0028106E" w:rsidRDefault="0028106E" w:rsidP="0028106E">
      <w:pPr>
        <w:ind w:firstLine="708"/>
        <w:rPr>
          <w:lang w:val="en-US"/>
        </w:rPr>
      </w:pPr>
      <w:r>
        <w:rPr>
          <w:lang w:val="en-US"/>
        </w:rPr>
        <w:t xml:space="preserve">The organization phase of the project started in September 2016. </w:t>
      </w:r>
      <w:r w:rsidRPr="000E2D0C">
        <w:rPr>
          <w:lang w:val="en-US"/>
        </w:rPr>
        <w:t xml:space="preserve">The ICU has 32-beds and admits surgical and medical patients. This polyvalent ICU has around 2700 admissions per year, with a mean </w:t>
      </w:r>
      <w:r>
        <w:rPr>
          <w:lang w:val="en-US"/>
        </w:rPr>
        <w:t>patient</w:t>
      </w:r>
      <w:r w:rsidRPr="000E2D0C">
        <w:rPr>
          <w:lang w:val="en-US"/>
        </w:rPr>
        <w:t xml:space="preserve"> length of stay (LOS) of 3.8 days. The ICU follow-up program </w:t>
      </w:r>
      <w:r>
        <w:rPr>
          <w:lang w:val="en-US"/>
        </w:rPr>
        <w:t>aimed</w:t>
      </w:r>
      <w:r w:rsidRPr="000E2D0C">
        <w:rPr>
          <w:lang w:val="en-US"/>
        </w:rPr>
        <w:t xml:space="preserve"> to offer specific and adapted care to</w:t>
      </w:r>
      <w:r>
        <w:rPr>
          <w:lang w:val="en-US"/>
        </w:rPr>
        <w:t xml:space="preserve"> post-ICU discharge</w:t>
      </w:r>
      <w:r w:rsidRPr="000E2D0C">
        <w:rPr>
          <w:lang w:val="en-US"/>
        </w:rPr>
        <w:t xml:space="preserve"> patients, improve ICU practice, and consequently </w:t>
      </w:r>
      <w:r>
        <w:rPr>
          <w:lang w:val="en-US"/>
        </w:rPr>
        <w:t xml:space="preserve">to </w:t>
      </w:r>
      <w:r w:rsidRPr="000E2D0C">
        <w:rPr>
          <w:lang w:val="en-US"/>
        </w:rPr>
        <w:t>increase the</w:t>
      </w:r>
      <w:r>
        <w:rPr>
          <w:lang w:val="en-US"/>
        </w:rPr>
        <w:t xml:space="preserve"> overall</w:t>
      </w:r>
      <w:r w:rsidRPr="000E2D0C">
        <w:rPr>
          <w:lang w:val="en-US"/>
        </w:rPr>
        <w:t xml:space="preserve"> quality of care. </w:t>
      </w:r>
    </w:p>
    <w:p w14:paraId="282ED667" w14:textId="48160F6B" w:rsidR="0028106E" w:rsidRPr="0028106E" w:rsidRDefault="0028106E" w:rsidP="0028106E">
      <w:pPr>
        <w:ind w:firstLine="708"/>
        <w:rPr>
          <w:lang w:val="en-US"/>
        </w:rPr>
      </w:pPr>
      <w:r w:rsidRPr="00A63751">
        <w:rPr>
          <w:lang w:val="en-US"/>
        </w:rPr>
        <w:lastRenderedPageBreak/>
        <w:t xml:space="preserve">Patients (≥ 18 years) who spent at least five days in the ICU were invited to participate </w:t>
      </w:r>
      <w:r>
        <w:rPr>
          <w:lang w:val="en-US"/>
        </w:rPr>
        <w:t>to</w:t>
      </w:r>
      <w:r w:rsidRPr="00A63751">
        <w:rPr>
          <w:lang w:val="en-US"/>
        </w:rPr>
        <w:t xml:space="preserve"> the program. </w:t>
      </w:r>
      <w:r w:rsidRPr="00A63751">
        <w:rPr>
          <w:noProof/>
          <w:lang w:val="en-US"/>
        </w:rPr>
        <w:t>Exclusion criteria were presence of a language</w:t>
      </w:r>
      <w:r w:rsidRPr="00A63751">
        <w:rPr>
          <w:lang w:val="en-US"/>
        </w:rPr>
        <w:t xml:space="preserve"> barrier</w:t>
      </w:r>
      <w:r w:rsidRPr="00A63751">
        <w:rPr>
          <w:noProof/>
          <w:lang w:val="en-US"/>
        </w:rPr>
        <w:t>, transfer</w:t>
      </w:r>
      <w:r w:rsidRPr="00A63751">
        <w:rPr>
          <w:lang w:val="en-US"/>
        </w:rPr>
        <w:t xml:space="preserve"> to another </w:t>
      </w:r>
      <w:r w:rsidRPr="00A63751">
        <w:rPr>
          <w:noProof/>
          <w:lang w:val="en-US"/>
        </w:rPr>
        <w:t xml:space="preserve">institution, neurological sequelae, social problems, and </w:t>
      </w:r>
      <w:r w:rsidRPr="00A63751">
        <w:rPr>
          <w:lang w:val="en-US"/>
        </w:rPr>
        <w:t>pregnancy. The follow-up evaluation consisted of four time points: ICU discharge, hospital discharge, and 3 and 6 months after ICU discharge</w:t>
      </w:r>
      <w:r>
        <w:rPr>
          <w:lang w:val="en-US"/>
        </w:rPr>
        <w:t>.</w:t>
      </w:r>
      <w:bookmarkStart w:id="0" w:name="_Toc52804517"/>
    </w:p>
    <w:p w14:paraId="27E3F92C" w14:textId="115A5B7C" w:rsidR="0028106E" w:rsidRPr="00A63751" w:rsidRDefault="0028106E" w:rsidP="0028106E">
      <w:pPr>
        <w:ind w:firstLine="708"/>
        <w:rPr>
          <w:lang w:val="en-US"/>
        </w:rPr>
      </w:pPr>
      <w:r w:rsidRPr="00A63751">
        <w:rPr>
          <w:lang w:val="en-US"/>
        </w:rPr>
        <w:t xml:space="preserve">Within one week of ICU discharge, patients were visited on the ward by a member of the follow-up team to maintain contact with the </w:t>
      </w:r>
      <w:r w:rsidRPr="00A63751">
        <w:rPr>
          <w:noProof/>
          <w:lang w:val="en-US"/>
        </w:rPr>
        <w:t>patient</w:t>
      </w:r>
      <w:r w:rsidRPr="00A63751">
        <w:rPr>
          <w:lang w:val="en-US"/>
        </w:rPr>
        <w:t>. Before hospital discharge, the nurse and the physiotherapist from the ICU follow-up team visited the patient to evaluate their status</w:t>
      </w:r>
      <w:r w:rsidR="00CC5264">
        <w:rPr>
          <w:lang w:val="en-US"/>
        </w:rPr>
        <w:t>,</w:t>
      </w:r>
      <w:r w:rsidRPr="00A63751">
        <w:rPr>
          <w:lang w:val="en-US"/>
        </w:rPr>
        <w:t xml:space="preserve"> complete the second assessment</w:t>
      </w:r>
      <w:r w:rsidR="00CC5264">
        <w:rPr>
          <w:lang w:val="en-US"/>
        </w:rPr>
        <w:t xml:space="preserve"> and give an appointment for the 3-month follow up</w:t>
      </w:r>
      <w:r w:rsidRPr="00A63751">
        <w:rPr>
          <w:lang w:val="en-US"/>
        </w:rPr>
        <w:t>.</w:t>
      </w:r>
    </w:p>
    <w:p w14:paraId="6FDAD8F6" w14:textId="25EC2540" w:rsidR="0028106E" w:rsidRPr="00A63751" w:rsidRDefault="0028106E" w:rsidP="0028106E">
      <w:pPr>
        <w:ind w:firstLine="708"/>
        <w:rPr>
          <w:lang w:val="en-US"/>
        </w:rPr>
      </w:pPr>
      <w:r w:rsidRPr="00A63751">
        <w:rPr>
          <w:lang w:val="en-US"/>
        </w:rPr>
        <w:t>After hospital discharge, a nurse responsible for keeping track of the patients telephoned them at two different time points: one week before the 3-month consultation and the day before the consultation. The objectives of those calls were to confirm the patient’s attendance, to offer to postpone the consultation if necessary, and to help with any urgent question about their health. The 3- and 6-month consults were conducted outside the ICU with the multidisciplinary team. During these consults, the follow-up team proactively offered patients and relatives an ICU visit, and those who were interested were taken to see the team and visit the unit. The 3- and 6-month consultations were done in two parts: physiotherapy assessment and medical-nurse assessment. The physiotherapy assessment ha</w:t>
      </w:r>
      <w:r w:rsidR="00CC5264">
        <w:rPr>
          <w:lang w:val="en-US"/>
        </w:rPr>
        <w:t>s</w:t>
      </w:r>
      <w:r w:rsidRPr="00A63751">
        <w:rPr>
          <w:lang w:val="en-US"/>
        </w:rPr>
        <w:t xml:space="preserve"> the goal to evaluate </w:t>
      </w:r>
      <w:r w:rsidR="00CC5264">
        <w:rPr>
          <w:lang w:val="en-US"/>
        </w:rPr>
        <w:t xml:space="preserve">the </w:t>
      </w:r>
      <w:r w:rsidRPr="00A63751">
        <w:rPr>
          <w:lang w:val="en-US"/>
        </w:rPr>
        <w:t>physical status of the patients</w:t>
      </w:r>
      <w:r w:rsidR="00CC5264">
        <w:rPr>
          <w:lang w:val="en-US"/>
        </w:rPr>
        <w:t>,</w:t>
      </w:r>
      <w:r w:rsidRPr="00A63751">
        <w:rPr>
          <w:lang w:val="en-US"/>
        </w:rPr>
        <w:t xml:space="preserve"> analyzing their strength, functionality, balance, pulmonary capacity, and percentage of non-fat mass. The medical-nurse assessment is conducted by a doctor, a nurse and a psychologist with the goal of evaluat</w:t>
      </w:r>
      <w:r w:rsidR="00CC5264">
        <w:rPr>
          <w:lang w:val="en-US"/>
        </w:rPr>
        <w:t>ing</w:t>
      </w:r>
      <w:r w:rsidRPr="00A63751">
        <w:rPr>
          <w:lang w:val="en-US"/>
        </w:rPr>
        <w:t xml:space="preserve"> the patient</w:t>
      </w:r>
      <w:r w:rsidR="00CC5264">
        <w:rPr>
          <w:lang w:val="en-US"/>
        </w:rPr>
        <w:t>’</w:t>
      </w:r>
      <w:r w:rsidRPr="00A63751">
        <w:rPr>
          <w:lang w:val="en-US"/>
        </w:rPr>
        <w:t xml:space="preserve">s quality of life, anxiety and depression, post-traumatic stress disorder (PTSD), food intake and independence in activities of daily </w:t>
      </w:r>
      <w:r w:rsidRPr="0028106E">
        <w:rPr>
          <w:lang w:val="en-US"/>
        </w:rPr>
        <w:t>living (</w:t>
      </w:r>
      <w:r w:rsidRPr="0028106E">
        <w:rPr>
          <w:rFonts w:ascii="Arial Unicode MS" w:eastAsia="Arial Unicode MS" w:hAnsi="Arial Unicode MS" w:cs="Arial Unicode MS" w:hint="eastAsia"/>
          <w:sz w:val="20"/>
          <w:lang w:val="en-US" w:eastAsia="pt-BR"/>
        </w:rPr>
        <w:t>T</w:t>
      </w:r>
      <w:r w:rsidRPr="0028106E">
        <w:rPr>
          <w:rFonts w:ascii="Arial Unicode MS" w:eastAsia="Arial Unicode MS" w:hAnsi="Arial Unicode MS" w:cs="Arial Unicode MS"/>
          <w:sz w:val="20"/>
          <w:lang w:val="en-US" w:eastAsia="pt-BR"/>
        </w:rPr>
        <w:t>able 1</w:t>
      </w:r>
      <w:r w:rsidRPr="0028106E">
        <w:rPr>
          <w:lang w:val="en-US"/>
        </w:rPr>
        <w:t>).</w:t>
      </w:r>
    </w:p>
    <w:p w14:paraId="39C23640" w14:textId="77777777" w:rsidR="0028106E" w:rsidRDefault="0028106E" w:rsidP="0028106E">
      <w:pPr>
        <w:pStyle w:val="Legenda"/>
        <w:rPr>
          <w:b/>
          <w:bCs w:val="0"/>
          <w:color w:val="0067B3"/>
          <w:lang w:val="en-US"/>
        </w:rPr>
      </w:pPr>
    </w:p>
    <w:p w14:paraId="6AA809D7" w14:textId="77777777" w:rsidR="0028106E" w:rsidRDefault="0028106E" w:rsidP="0028106E">
      <w:pPr>
        <w:rPr>
          <w:lang w:val="en-US"/>
        </w:rPr>
      </w:pPr>
    </w:p>
    <w:p w14:paraId="4B8E8014" w14:textId="77777777" w:rsidR="0028106E" w:rsidRDefault="0028106E" w:rsidP="0028106E">
      <w:pPr>
        <w:rPr>
          <w:lang w:val="en-US"/>
        </w:rPr>
      </w:pPr>
    </w:p>
    <w:p w14:paraId="34D46C96" w14:textId="77777777" w:rsidR="0028106E" w:rsidRDefault="0028106E" w:rsidP="0028106E">
      <w:pPr>
        <w:rPr>
          <w:lang w:val="en-US"/>
        </w:rPr>
      </w:pPr>
    </w:p>
    <w:p w14:paraId="1E89CC40" w14:textId="77777777" w:rsidR="0028106E" w:rsidRDefault="0028106E" w:rsidP="0028106E">
      <w:pPr>
        <w:pStyle w:val="Legenda"/>
        <w:rPr>
          <w:rFonts w:ascii="Arial Unicode MS" w:eastAsia="Arial Unicode MS" w:hAnsi="Arial Unicode MS" w:cs="Arial Unicode MS"/>
          <w:color w:val="327FC4"/>
          <w:sz w:val="16"/>
          <w:szCs w:val="15"/>
          <w:lang w:val="en-US" w:eastAsia="pt-BR"/>
        </w:rPr>
      </w:pPr>
    </w:p>
    <w:p w14:paraId="2D0FD40B" w14:textId="37143D8B" w:rsidR="0028106E" w:rsidRPr="00233551" w:rsidRDefault="0028106E" w:rsidP="0028106E">
      <w:pPr>
        <w:pStyle w:val="SemEspaamento"/>
        <w:rPr>
          <w:sz w:val="20"/>
          <w:lang w:val="en-US"/>
        </w:rPr>
      </w:pPr>
      <w:r w:rsidRPr="0028106E">
        <w:rPr>
          <w:rFonts w:ascii="Arial Unicode MS" w:eastAsia="Arial Unicode MS" w:hAnsi="Arial Unicode MS" w:cs="Arial Unicode MS" w:hint="eastAsia"/>
          <w:sz w:val="20"/>
          <w:lang w:val="en-US" w:eastAsia="pt-BR"/>
        </w:rPr>
        <w:lastRenderedPageBreak/>
        <w:t>◆</w:t>
      </w:r>
      <w:r w:rsidRPr="00233551">
        <w:rPr>
          <w:sz w:val="20"/>
          <w:lang w:val="en-US"/>
        </w:rPr>
        <w:t xml:space="preserve">Table </w:t>
      </w:r>
      <w:r w:rsidRPr="0028106E">
        <w:rPr>
          <w:sz w:val="20"/>
          <w:lang w:val="en-US"/>
        </w:rPr>
        <w:t xml:space="preserve">1. </w:t>
      </w:r>
      <w:r w:rsidRPr="00233551">
        <w:rPr>
          <w:sz w:val="20"/>
          <w:lang w:val="en-US"/>
        </w:rPr>
        <w:t xml:space="preserve"> Assessments at the different follow-up appointments</w:t>
      </w:r>
      <w:bookmarkEnd w:id="0"/>
    </w:p>
    <w:tbl>
      <w:tblPr>
        <w:tblStyle w:val="TabelaSimples2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7F6"/>
        <w:tblLook w:val="04A0" w:firstRow="1" w:lastRow="0" w:firstColumn="1" w:lastColumn="0" w:noHBand="0" w:noVBand="1"/>
      </w:tblPr>
      <w:tblGrid>
        <w:gridCol w:w="1887"/>
        <w:gridCol w:w="1453"/>
        <w:gridCol w:w="2710"/>
        <w:gridCol w:w="3192"/>
      </w:tblGrid>
      <w:tr w:rsidR="0028106E" w:rsidRPr="003C4755" w14:paraId="27049BBF" w14:textId="77777777" w:rsidTr="009601B8">
        <w:trPr>
          <w:cnfStyle w:val="100000000000" w:firstRow="1" w:lastRow="0" w:firstColumn="0" w:lastColumn="0" w:oddVBand="0" w:evenVBand="0" w:oddHBand="0" w:evenHBand="0" w:firstRowFirstColumn="0" w:firstRowLastColumn="0" w:lastRowFirstColumn="0" w:lastRowLastColumn="0"/>
          <w:trHeight w:val="850"/>
          <w:jc w:val="center"/>
        </w:trPr>
        <w:tc>
          <w:tcPr>
            <w:cnfStyle w:val="001000000000" w:firstRow="0" w:lastRow="0" w:firstColumn="1" w:lastColumn="0" w:oddVBand="0" w:evenVBand="0" w:oddHBand="0" w:evenHBand="0" w:firstRowFirstColumn="0" w:firstRowLastColumn="0" w:lastRowFirstColumn="0" w:lastRowLastColumn="0"/>
            <w:tcW w:w="1021" w:type="pct"/>
            <w:tcBorders>
              <w:bottom w:val="none" w:sz="0" w:space="0" w:color="auto"/>
            </w:tcBorders>
            <w:shd w:val="clear" w:color="auto" w:fill="BCCBEB"/>
            <w:vAlign w:val="center"/>
            <w:hideMark/>
          </w:tcPr>
          <w:p w14:paraId="534671A0" w14:textId="77777777" w:rsidR="0028106E" w:rsidRPr="00B81759" w:rsidRDefault="0028106E" w:rsidP="00E856B1">
            <w:pPr>
              <w:jc w:val="center"/>
              <w:rPr>
                <w:lang w:val="en-GB"/>
              </w:rPr>
            </w:pPr>
          </w:p>
        </w:tc>
        <w:tc>
          <w:tcPr>
            <w:tcW w:w="786" w:type="pct"/>
            <w:tcBorders>
              <w:bottom w:val="none" w:sz="0" w:space="0" w:color="auto"/>
            </w:tcBorders>
            <w:shd w:val="clear" w:color="auto" w:fill="BCCBEB"/>
            <w:vAlign w:val="center"/>
            <w:hideMark/>
          </w:tcPr>
          <w:p w14:paraId="5081F9D7" w14:textId="77777777" w:rsidR="0028106E" w:rsidRPr="00B81759" w:rsidRDefault="0028106E" w:rsidP="00E856B1">
            <w:pPr>
              <w:pStyle w:val="SemEspaamento"/>
              <w:jc w:val="center"/>
              <w:cnfStyle w:val="100000000000" w:firstRow="1" w:lastRow="0" w:firstColumn="0" w:lastColumn="0" w:oddVBand="0" w:evenVBand="0" w:oddHBand="0" w:evenHBand="0" w:firstRowFirstColumn="0" w:firstRowLastColumn="0" w:lastRowFirstColumn="0" w:lastRowLastColumn="0"/>
              <w:rPr>
                <w:color w:val="1F63B2"/>
                <w:sz w:val="22"/>
                <w:szCs w:val="22"/>
                <w:lang w:val="en-GB"/>
              </w:rPr>
            </w:pPr>
            <w:r w:rsidRPr="00B81759">
              <w:rPr>
                <w:color w:val="1F63B2"/>
                <w:sz w:val="22"/>
                <w:szCs w:val="22"/>
                <w:lang w:val="en-GB"/>
              </w:rPr>
              <w:t>ICU discharge</w:t>
            </w:r>
          </w:p>
        </w:tc>
        <w:tc>
          <w:tcPr>
            <w:tcW w:w="1466" w:type="pct"/>
            <w:tcBorders>
              <w:bottom w:val="none" w:sz="0" w:space="0" w:color="auto"/>
            </w:tcBorders>
            <w:shd w:val="clear" w:color="auto" w:fill="BCCBEA"/>
            <w:vAlign w:val="center"/>
            <w:hideMark/>
          </w:tcPr>
          <w:p w14:paraId="255A8A78" w14:textId="77777777" w:rsidR="0028106E" w:rsidRPr="00B81759" w:rsidRDefault="0028106E" w:rsidP="00E856B1">
            <w:pPr>
              <w:pStyle w:val="SemEspaamento"/>
              <w:jc w:val="center"/>
              <w:cnfStyle w:val="100000000000" w:firstRow="1" w:lastRow="0" w:firstColumn="0" w:lastColumn="0" w:oddVBand="0" w:evenVBand="0" w:oddHBand="0" w:evenHBand="0" w:firstRowFirstColumn="0" w:firstRowLastColumn="0" w:lastRowFirstColumn="0" w:lastRowLastColumn="0"/>
              <w:rPr>
                <w:color w:val="1F63B2"/>
                <w:sz w:val="22"/>
                <w:szCs w:val="22"/>
                <w:lang w:val="en-GB"/>
              </w:rPr>
            </w:pPr>
            <w:r w:rsidRPr="00B81759">
              <w:rPr>
                <w:color w:val="1F63B2"/>
                <w:sz w:val="22"/>
                <w:szCs w:val="22"/>
                <w:lang w:val="en-GB"/>
              </w:rPr>
              <w:t>Hospital discharge</w:t>
            </w:r>
          </w:p>
        </w:tc>
        <w:tc>
          <w:tcPr>
            <w:tcW w:w="1728" w:type="pct"/>
            <w:tcBorders>
              <w:bottom w:val="none" w:sz="0" w:space="0" w:color="auto"/>
            </w:tcBorders>
            <w:shd w:val="clear" w:color="auto" w:fill="BCCBEB"/>
            <w:vAlign w:val="center"/>
            <w:hideMark/>
          </w:tcPr>
          <w:p w14:paraId="1D7EDD83" w14:textId="77777777" w:rsidR="0028106E" w:rsidRPr="00B81759" w:rsidRDefault="0028106E" w:rsidP="00E856B1">
            <w:pPr>
              <w:pStyle w:val="SemEspaamento"/>
              <w:jc w:val="center"/>
              <w:cnfStyle w:val="100000000000" w:firstRow="1" w:lastRow="0" w:firstColumn="0" w:lastColumn="0" w:oddVBand="0" w:evenVBand="0" w:oddHBand="0" w:evenHBand="0" w:firstRowFirstColumn="0" w:firstRowLastColumn="0" w:lastRowFirstColumn="0" w:lastRowLastColumn="0"/>
              <w:rPr>
                <w:color w:val="1F63B2"/>
                <w:sz w:val="22"/>
                <w:szCs w:val="22"/>
                <w:lang w:val="en-GB"/>
              </w:rPr>
            </w:pPr>
            <w:r w:rsidRPr="00B81759">
              <w:rPr>
                <w:color w:val="1F63B2"/>
                <w:sz w:val="22"/>
                <w:szCs w:val="22"/>
                <w:lang w:val="en-GB"/>
              </w:rPr>
              <w:t>3-m and 6-m consultations</w:t>
            </w:r>
          </w:p>
        </w:tc>
      </w:tr>
      <w:tr w:rsidR="0028106E" w:rsidRPr="003C4755" w14:paraId="739DEBC2" w14:textId="77777777" w:rsidTr="009601B8">
        <w:trPr>
          <w:cnfStyle w:val="000000100000" w:firstRow="0" w:lastRow="0" w:firstColumn="0" w:lastColumn="0" w:oddVBand="0" w:evenVBand="0" w:oddHBand="1" w:evenHBand="0" w:firstRowFirstColumn="0" w:firstRowLastColumn="0" w:lastRowFirstColumn="0" w:lastRowLastColumn="0"/>
          <w:trHeight w:val="2767"/>
          <w:jc w:val="center"/>
        </w:trPr>
        <w:tc>
          <w:tcPr>
            <w:cnfStyle w:val="001000000000" w:firstRow="0" w:lastRow="0" w:firstColumn="1" w:lastColumn="0" w:oddVBand="0" w:evenVBand="0" w:oddHBand="0" w:evenHBand="0" w:firstRowFirstColumn="0" w:firstRowLastColumn="0" w:lastRowFirstColumn="0" w:lastRowLastColumn="0"/>
            <w:tcW w:w="1021" w:type="pct"/>
            <w:tcBorders>
              <w:top w:val="none" w:sz="0" w:space="0" w:color="auto"/>
              <w:bottom w:val="none" w:sz="0" w:space="0" w:color="auto"/>
            </w:tcBorders>
            <w:shd w:val="clear" w:color="auto" w:fill="DEE7F6"/>
            <w:vAlign w:val="center"/>
            <w:hideMark/>
          </w:tcPr>
          <w:p w14:paraId="76D7A7DB" w14:textId="77777777" w:rsidR="0028106E" w:rsidRPr="003C4755" w:rsidRDefault="0028106E" w:rsidP="00E856B1">
            <w:pPr>
              <w:pStyle w:val="SemEspaamento"/>
              <w:jc w:val="center"/>
              <w:rPr>
                <w:color w:val="1F63B2"/>
                <w:sz w:val="20"/>
                <w:lang w:val="en-GB"/>
              </w:rPr>
            </w:pPr>
            <w:r w:rsidRPr="003C4755">
              <w:rPr>
                <w:color w:val="1F63B2"/>
                <w:sz w:val="20"/>
                <w:lang w:val="en-GB"/>
              </w:rPr>
              <w:t>MRC Score</w:t>
            </w:r>
          </w:p>
          <w:p w14:paraId="4A4F629C" w14:textId="77777777" w:rsidR="0028106E" w:rsidRPr="003C4755" w:rsidRDefault="0028106E" w:rsidP="00E856B1">
            <w:pPr>
              <w:pStyle w:val="SemEspaamento"/>
              <w:jc w:val="center"/>
              <w:rPr>
                <w:color w:val="1F63B2"/>
                <w:sz w:val="20"/>
                <w:lang w:val="en-GB"/>
              </w:rPr>
            </w:pPr>
            <w:r w:rsidRPr="003C4755">
              <w:rPr>
                <w:color w:val="1F63B2"/>
                <w:sz w:val="20"/>
                <w:lang w:val="en-GB"/>
              </w:rPr>
              <w:t>Handgrip</w:t>
            </w:r>
          </w:p>
          <w:p w14:paraId="6286E3CB" w14:textId="77777777" w:rsidR="0028106E" w:rsidRPr="003C4755" w:rsidRDefault="0028106E" w:rsidP="00E856B1">
            <w:pPr>
              <w:pStyle w:val="SemEspaamento"/>
              <w:jc w:val="center"/>
              <w:rPr>
                <w:color w:val="1F63B2"/>
                <w:sz w:val="20"/>
                <w:lang w:val="en-GB"/>
              </w:rPr>
            </w:pPr>
            <w:r w:rsidRPr="003C4755">
              <w:rPr>
                <w:color w:val="1F63B2"/>
                <w:sz w:val="20"/>
                <w:lang w:val="en-GB"/>
              </w:rPr>
              <w:t>Sit-to-stand test</w:t>
            </w:r>
          </w:p>
          <w:p w14:paraId="6BDDDCE0" w14:textId="77777777" w:rsidR="0028106E" w:rsidRPr="003C4755" w:rsidRDefault="0028106E" w:rsidP="00E856B1">
            <w:pPr>
              <w:pStyle w:val="SemEspaamento"/>
              <w:jc w:val="center"/>
              <w:rPr>
                <w:color w:val="1F63B2"/>
                <w:sz w:val="20"/>
                <w:lang w:val="en-GB"/>
              </w:rPr>
            </w:pPr>
            <w:r w:rsidRPr="003C4755">
              <w:rPr>
                <w:color w:val="1F63B2"/>
                <w:sz w:val="20"/>
                <w:lang w:val="en-GB"/>
              </w:rPr>
              <w:t>Psychological and functional sequelae</w:t>
            </w:r>
          </w:p>
          <w:p w14:paraId="396F806D" w14:textId="77777777" w:rsidR="0028106E" w:rsidRPr="003C4755" w:rsidRDefault="0028106E" w:rsidP="00E856B1">
            <w:pPr>
              <w:pStyle w:val="SemEspaamento"/>
              <w:jc w:val="center"/>
              <w:rPr>
                <w:color w:val="1F63B2"/>
                <w:sz w:val="20"/>
                <w:lang w:val="en-GB"/>
              </w:rPr>
            </w:pPr>
            <w:r w:rsidRPr="003C4755">
              <w:rPr>
                <w:color w:val="1F63B2"/>
                <w:sz w:val="20"/>
                <w:lang w:val="en-GB"/>
              </w:rPr>
              <w:t>6MWT</w:t>
            </w:r>
          </w:p>
          <w:p w14:paraId="059EA39A" w14:textId="77777777" w:rsidR="0028106E" w:rsidRPr="003C4755" w:rsidRDefault="0028106E" w:rsidP="00E856B1">
            <w:pPr>
              <w:pStyle w:val="SemEspaamento"/>
              <w:jc w:val="center"/>
              <w:rPr>
                <w:color w:val="1F63B2"/>
                <w:sz w:val="20"/>
                <w:lang w:val="en-GB"/>
              </w:rPr>
            </w:pPr>
            <w:r w:rsidRPr="003C4755">
              <w:rPr>
                <w:color w:val="1F63B2"/>
                <w:sz w:val="20"/>
                <w:lang w:val="en-GB"/>
              </w:rPr>
              <w:t>CAS-ICU</w:t>
            </w:r>
          </w:p>
          <w:p w14:paraId="31F701CB" w14:textId="77777777" w:rsidR="0028106E" w:rsidRPr="003C4755" w:rsidRDefault="0028106E" w:rsidP="00E856B1">
            <w:pPr>
              <w:pStyle w:val="SemEspaamento"/>
              <w:jc w:val="center"/>
              <w:rPr>
                <w:color w:val="1F63B2"/>
                <w:sz w:val="20"/>
                <w:lang w:val="en-GB"/>
              </w:rPr>
            </w:pPr>
            <w:r w:rsidRPr="003C4755">
              <w:rPr>
                <w:color w:val="1F63B2"/>
                <w:sz w:val="20"/>
                <w:lang w:val="en-GB"/>
              </w:rPr>
              <w:t>Katz index</w:t>
            </w:r>
          </w:p>
        </w:tc>
        <w:tc>
          <w:tcPr>
            <w:tcW w:w="786" w:type="pct"/>
            <w:tcBorders>
              <w:top w:val="none" w:sz="0" w:space="0" w:color="auto"/>
              <w:bottom w:val="none" w:sz="0" w:space="0" w:color="auto"/>
            </w:tcBorders>
            <w:shd w:val="clear" w:color="auto" w:fill="DEE7F6"/>
            <w:vAlign w:val="center"/>
            <w:hideMark/>
          </w:tcPr>
          <w:p w14:paraId="6C0CA116"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3B8CA8C0"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1E32ACFC"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19231438"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71CB658F"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p>
          <w:p w14:paraId="23040827"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p>
          <w:p w14:paraId="6CB9748A"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c>
          <w:tcPr>
            <w:tcW w:w="1466" w:type="pct"/>
            <w:tcBorders>
              <w:top w:val="none" w:sz="0" w:space="0" w:color="auto"/>
              <w:bottom w:val="none" w:sz="0" w:space="0" w:color="auto"/>
            </w:tcBorders>
            <w:shd w:val="clear" w:color="auto" w:fill="DEE7F6"/>
            <w:vAlign w:val="center"/>
            <w:hideMark/>
          </w:tcPr>
          <w:p w14:paraId="21B8D110"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4A392143"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0CBDE800"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6C7A079D"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2082F40B"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p>
          <w:p w14:paraId="5AD913F3"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54DF35D5"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 if abnormal</w:t>
            </w:r>
            <w:r>
              <w:rPr>
                <w:sz w:val="20"/>
                <w:lang w:val="en-GB"/>
              </w:rPr>
              <w:t xml:space="preserve"> at ICU discharge</w:t>
            </w:r>
          </w:p>
          <w:p w14:paraId="1220FD14"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c>
          <w:tcPr>
            <w:tcW w:w="1728" w:type="pct"/>
            <w:tcBorders>
              <w:top w:val="none" w:sz="0" w:space="0" w:color="auto"/>
              <w:bottom w:val="none" w:sz="0" w:space="0" w:color="auto"/>
            </w:tcBorders>
            <w:shd w:val="clear" w:color="auto" w:fill="DEE7F6"/>
            <w:vAlign w:val="center"/>
            <w:hideMark/>
          </w:tcPr>
          <w:p w14:paraId="1699B3CC"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2193502F"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2B77E1F5"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31244766"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57D3F443"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p>
          <w:p w14:paraId="794E90DE"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56188F61"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 if abnormal</w:t>
            </w:r>
            <w:r>
              <w:rPr>
                <w:sz w:val="20"/>
                <w:lang w:val="en-GB"/>
              </w:rPr>
              <w:t xml:space="preserve"> at hospital discharge</w:t>
            </w:r>
          </w:p>
          <w:p w14:paraId="07416A76" w14:textId="77777777" w:rsidR="0028106E" w:rsidRPr="003C4755" w:rsidRDefault="0028106E" w:rsidP="00E856B1">
            <w:pPr>
              <w:pStyle w:val="SemEspaamento"/>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r>
      <w:tr w:rsidR="0028106E" w:rsidRPr="003C4755" w14:paraId="68E12A69" w14:textId="77777777" w:rsidTr="009601B8">
        <w:trPr>
          <w:trHeight w:val="850"/>
          <w:jc w:val="center"/>
        </w:trPr>
        <w:tc>
          <w:tcPr>
            <w:cnfStyle w:val="001000000000" w:firstRow="0" w:lastRow="0" w:firstColumn="1" w:lastColumn="0" w:oddVBand="0" w:evenVBand="0" w:oddHBand="0" w:evenHBand="0" w:firstRowFirstColumn="0" w:firstRowLastColumn="0" w:lastRowFirstColumn="0" w:lastRowLastColumn="0"/>
            <w:tcW w:w="1021" w:type="pct"/>
            <w:shd w:val="clear" w:color="auto" w:fill="DEE7F6"/>
            <w:vAlign w:val="center"/>
            <w:hideMark/>
          </w:tcPr>
          <w:p w14:paraId="0C6A68D7" w14:textId="77777777" w:rsidR="0028106E" w:rsidRPr="003C4755" w:rsidRDefault="0028106E" w:rsidP="00E856B1">
            <w:pPr>
              <w:jc w:val="center"/>
              <w:rPr>
                <w:color w:val="1F63B2"/>
                <w:sz w:val="20"/>
                <w:lang w:val="en-GB"/>
              </w:rPr>
            </w:pPr>
            <w:r w:rsidRPr="003C4755">
              <w:rPr>
                <w:color w:val="1F63B2"/>
                <w:sz w:val="20"/>
                <w:lang w:val="en-GB"/>
              </w:rPr>
              <w:t>Spirometry (optional)</w:t>
            </w:r>
          </w:p>
        </w:tc>
        <w:tc>
          <w:tcPr>
            <w:tcW w:w="786" w:type="pct"/>
            <w:shd w:val="clear" w:color="auto" w:fill="DEE7F6"/>
            <w:vAlign w:val="center"/>
            <w:hideMark/>
          </w:tcPr>
          <w:p w14:paraId="6944C137"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c>
          <w:tcPr>
            <w:tcW w:w="1466" w:type="pct"/>
            <w:shd w:val="clear" w:color="auto" w:fill="DEE7F6"/>
            <w:vAlign w:val="center"/>
            <w:hideMark/>
          </w:tcPr>
          <w:p w14:paraId="0DB55544"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c>
          <w:tcPr>
            <w:tcW w:w="1728" w:type="pct"/>
            <w:shd w:val="clear" w:color="auto" w:fill="DEE7F6"/>
            <w:vAlign w:val="center"/>
            <w:hideMark/>
          </w:tcPr>
          <w:p w14:paraId="0094D5F8"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r>
      <w:tr w:rsidR="0028106E" w:rsidRPr="00233551" w14:paraId="075EA5C2" w14:textId="77777777" w:rsidTr="009601B8">
        <w:trPr>
          <w:cnfStyle w:val="000000100000" w:firstRow="0" w:lastRow="0" w:firstColumn="0" w:lastColumn="0" w:oddVBand="0" w:evenVBand="0" w:oddHBand="1" w:evenHBand="0" w:firstRowFirstColumn="0" w:firstRowLastColumn="0" w:lastRowFirstColumn="0" w:lastRowLastColumn="0"/>
          <w:trHeight w:val="1605"/>
          <w:jc w:val="center"/>
        </w:trPr>
        <w:tc>
          <w:tcPr>
            <w:cnfStyle w:val="001000000000" w:firstRow="0" w:lastRow="0" w:firstColumn="1" w:lastColumn="0" w:oddVBand="0" w:evenVBand="0" w:oddHBand="0" w:evenHBand="0" w:firstRowFirstColumn="0" w:firstRowLastColumn="0" w:lastRowFirstColumn="0" w:lastRowLastColumn="0"/>
            <w:tcW w:w="1021" w:type="pct"/>
            <w:tcBorders>
              <w:top w:val="none" w:sz="0" w:space="0" w:color="auto"/>
              <w:bottom w:val="none" w:sz="0" w:space="0" w:color="auto"/>
            </w:tcBorders>
            <w:shd w:val="clear" w:color="auto" w:fill="DEE7F6"/>
            <w:vAlign w:val="center"/>
            <w:hideMark/>
          </w:tcPr>
          <w:p w14:paraId="2124FB81" w14:textId="77777777" w:rsidR="0028106E" w:rsidRPr="003C4755" w:rsidRDefault="0028106E" w:rsidP="00E856B1">
            <w:pPr>
              <w:jc w:val="center"/>
              <w:rPr>
                <w:color w:val="1F63B2"/>
                <w:sz w:val="20"/>
                <w:lang w:val="en-GB"/>
              </w:rPr>
            </w:pPr>
            <w:r w:rsidRPr="003C4755">
              <w:rPr>
                <w:color w:val="1F63B2"/>
                <w:sz w:val="20"/>
                <w:lang w:val="en-GB"/>
              </w:rPr>
              <w:t>MOCA</w:t>
            </w:r>
          </w:p>
        </w:tc>
        <w:tc>
          <w:tcPr>
            <w:tcW w:w="786" w:type="pct"/>
            <w:tcBorders>
              <w:top w:val="none" w:sz="0" w:space="0" w:color="auto"/>
              <w:bottom w:val="none" w:sz="0" w:space="0" w:color="auto"/>
            </w:tcBorders>
            <w:shd w:val="clear" w:color="auto" w:fill="DEE7F6"/>
            <w:vAlign w:val="center"/>
            <w:hideMark/>
          </w:tcPr>
          <w:p w14:paraId="22D13E62"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Pr>
                <w:sz w:val="20"/>
                <w:lang w:val="en-GB"/>
              </w:rPr>
              <w:t>X</w:t>
            </w:r>
          </w:p>
        </w:tc>
        <w:tc>
          <w:tcPr>
            <w:tcW w:w="1466" w:type="pct"/>
            <w:tcBorders>
              <w:top w:val="none" w:sz="0" w:space="0" w:color="auto"/>
              <w:bottom w:val="none" w:sz="0" w:space="0" w:color="auto"/>
            </w:tcBorders>
            <w:shd w:val="clear" w:color="auto" w:fill="DEE7F6"/>
            <w:vAlign w:val="center"/>
            <w:hideMark/>
          </w:tcPr>
          <w:p w14:paraId="50530A1F" w14:textId="77777777" w:rsidR="0028106E"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p>
          <w:p w14:paraId="1CB81CE8"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 if abnormal</w:t>
            </w:r>
            <w:r>
              <w:rPr>
                <w:sz w:val="20"/>
                <w:lang w:val="en-GB"/>
              </w:rPr>
              <w:t xml:space="preserve"> at ICU discharge</w:t>
            </w:r>
          </w:p>
          <w:p w14:paraId="5E39BB5C"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p>
        </w:tc>
        <w:tc>
          <w:tcPr>
            <w:tcW w:w="1728" w:type="pct"/>
            <w:tcBorders>
              <w:top w:val="none" w:sz="0" w:space="0" w:color="auto"/>
              <w:bottom w:val="none" w:sz="0" w:space="0" w:color="auto"/>
            </w:tcBorders>
            <w:shd w:val="clear" w:color="auto" w:fill="DEE7F6"/>
            <w:vAlign w:val="center"/>
            <w:hideMark/>
          </w:tcPr>
          <w:p w14:paraId="67D59269"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 if abnormal</w:t>
            </w:r>
            <w:r>
              <w:rPr>
                <w:sz w:val="20"/>
                <w:lang w:val="en-GB"/>
              </w:rPr>
              <w:t xml:space="preserve"> at hospital discharge</w:t>
            </w:r>
          </w:p>
        </w:tc>
      </w:tr>
      <w:tr w:rsidR="0028106E" w:rsidRPr="003C4755" w14:paraId="55EA2D5E" w14:textId="77777777" w:rsidTr="009601B8">
        <w:trPr>
          <w:trHeight w:val="2503"/>
          <w:jc w:val="center"/>
        </w:trPr>
        <w:tc>
          <w:tcPr>
            <w:cnfStyle w:val="001000000000" w:firstRow="0" w:lastRow="0" w:firstColumn="1" w:lastColumn="0" w:oddVBand="0" w:evenVBand="0" w:oddHBand="0" w:evenHBand="0" w:firstRowFirstColumn="0" w:firstRowLastColumn="0" w:lastRowFirstColumn="0" w:lastRowLastColumn="0"/>
            <w:tcW w:w="1021" w:type="pct"/>
            <w:shd w:val="clear" w:color="auto" w:fill="DEE7F6"/>
            <w:vAlign w:val="center"/>
            <w:hideMark/>
          </w:tcPr>
          <w:p w14:paraId="5509AE42" w14:textId="77777777" w:rsidR="0028106E" w:rsidRPr="003C4755" w:rsidRDefault="0028106E" w:rsidP="00E856B1">
            <w:pPr>
              <w:jc w:val="center"/>
              <w:rPr>
                <w:color w:val="1F63B2"/>
                <w:sz w:val="20"/>
                <w:lang w:val="en-GB"/>
              </w:rPr>
            </w:pPr>
            <w:r w:rsidRPr="003C4755">
              <w:rPr>
                <w:color w:val="1F63B2"/>
                <w:sz w:val="20"/>
                <w:lang w:val="en-GB"/>
              </w:rPr>
              <w:t>IPREA</w:t>
            </w:r>
          </w:p>
          <w:p w14:paraId="6F6F0F50" w14:textId="77777777" w:rsidR="0028106E" w:rsidRPr="003C4755" w:rsidRDefault="0028106E" w:rsidP="00E856B1">
            <w:pPr>
              <w:jc w:val="center"/>
              <w:rPr>
                <w:color w:val="1F63B2"/>
                <w:sz w:val="20"/>
                <w:lang w:val="en-GB"/>
              </w:rPr>
            </w:pPr>
            <w:r w:rsidRPr="003C4755">
              <w:rPr>
                <w:color w:val="1F63B2"/>
                <w:sz w:val="20"/>
                <w:lang w:val="en-GB"/>
              </w:rPr>
              <w:t>ICU memory tool</w:t>
            </w:r>
          </w:p>
          <w:p w14:paraId="12AB5B23" w14:textId="77777777" w:rsidR="0028106E" w:rsidRPr="003C4755" w:rsidRDefault="0028106E" w:rsidP="00E856B1">
            <w:pPr>
              <w:jc w:val="center"/>
              <w:rPr>
                <w:color w:val="1F63B2"/>
                <w:sz w:val="20"/>
                <w:lang w:val="en-GB"/>
              </w:rPr>
            </w:pPr>
            <w:r w:rsidRPr="003C4755">
              <w:rPr>
                <w:color w:val="1F63B2"/>
                <w:sz w:val="20"/>
                <w:lang w:val="en-GB"/>
              </w:rPr>
              <w:t>HADS</w:t>
            </w:r>
          </w:p>
          <w:p w14:paraId="52D416EB" w14:textId="77777777" w:rsidR="0028106E" w:rsidRPr="003C4755" w:rsidRDefault="0028106E" w:rsidP="00E856B1">
            <w:pPr>
              <w:jc w:val="center"/>
              <w:rPr>
                <w:color w:val="1F63B2"/>
                <w:sz w:val="20"/>
                <w:lang w:val="en-GB"/>
              </w:rPr>
            </w:pPr>
            <w:r w:rsidRPr="003C4755">
              <w:rPr>
                <w:color w:val="1F63B2"/>
                <w:sz w:val="20"/>
                <w:lang w:val="en-GB"/>
              </w:rPr>
              <w:t>IES-R</w:t>
            </w:r>
          </w:p>
          <w:p w14:paraId="2D8020F8" w14:textId="77777777" w:rsidR="0028106E" w:rsidRPr="003C4755" w:rsidRDefault="0028106E" w:rsidP="00E856B1">
            <w:pPr>
              <w:jc w:val="center"/>
              <w:rPr>
                <w:color w:val="1F63B2"/>
                <w:sz w:val="20"/>
                <w:lang w:val="en-GB"/>
              </w:rPr>
            </w:pPr>
            <w:r w:rsidRPr="003C4755">
              <w:rPr>
                <w:color w:val="1F63B2"/>
                <w:sz w:val="20"/>
                <w:lang w:val="en-GB"/>
              </w:rPr>
              <w:t>SF-36</w:t>
            </w:r>
          </w:p>
          <w:p w14:paraId="277D9DA4" w14:textId="77777777" w:rsidR="0028106E" w:rsidRPr="003C4755" w:rsidRDefault="0028106E" w:rsidP="00E856B1">
            <w:pPr>
              <w:jc w:val="center"/>
              <w:rPr>
                <w:color w:val="1F63B2"/>
                <w:sz w:val="20"/>
                <w:lang w:val="en-GB"/>
              </w:rPr>
            </w:pPr>
            <w:r w:rsidRPr="003C4755">
              <w:rPr>
                <w:color w:val="1F63B2"/>
                <w:sz w:val="20"/>
                <w:lang w:val="en-GB"/>
              </w:rPr>
              <w:t>BIA</w:t>
            </w:r>
          </w:p>
        </w:tc>
        <w:tc>
          <w:tcPr>
            <w:tcW w:w="786" w:type="pct"/>
            <w:shd w:val="clear" w:color="auto" w:fill="DEE7F6"/>
            <w:vAlign w:val="center"/>
            <w:hideMark/>
          </w:tcPr>
          <w:p w14:paraId="1915645D"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64B7F7B5"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00A6D63D"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1B75A2D3"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0AF44921"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58A6391C"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c>
          <w:tcPr>
            <w:tcW w:w="1466" w:type="pct"/>
            <w:shd w:val="clear" w:color="auto" w:fill="DEE7F6"/>
            <w:vAlign w:val="center"/>
            <w:hideMark/>
          </w:tcPr>
          <w:p w14:paraId="7BE9DF9E"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56349CE5"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3B73D7A1"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66241E8B"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12B49949"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35693061"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c>
          <w:tcPr>
            <w:tcW w:w="1728" w:type="pct"/>
            <w:shd w:val="clear" w:color="auto" w:fill="DEE7F6"/>
            <w:vAlign w:val="center"/>
            <w:hideMark/>
          </w:tcPr>
          <w:p w14:paraId="1F71CF2F"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p>
          <w:p w14:paraId="6C25FEA9"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08A78944"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1E49B086"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0C05CEB6"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p w14:paraId="55D7E146" w14:textId="77777777" w:rsidR="0028106E" w:rsidRPr="003C4755" w:rsidRDefault="0028106E" w:rsidP="00E856B1">
            <w:pPr>
              <w:jc w:val="center"/>
              <w:cnfStyle w:val="000000000000" w:firstRow="0" w:lastRow="0" w:firstColumn="0" w:lastColumn="0" w:oddVBand="0" w:evenVBand="0" w:oddHBand="0" w:evenHBand="0" w:firstRowFirstColumn="0" w:firstRowLastColumn="0" w:lastRowFirstColumn="0" w:lastRowLastColumn="0"/>
              <w:rPr>
                <w:sz w:val="20"/>
                <w:lang w:val="en-GB"/>
              </w:rPr>
            </w:pPr>
            <w:r w:rsidRPr="003C4755">
              <w:rPr>
                <w:sz w:val="20"/>
                <w:lang w:val="en-GB"/>
              </w:rPr>
              <w:t>X</w:t>
            </w:r>
          </w:p>
        </w:tc>
      </w:tr>
      <w:tr w:rsidR="0028106E" w:rsidRPr="003C4755" w14:paraId="79CAC5A0" w14:textId="77777777" w:rsidTr="009601B8">
        <w:trPr>
          <w:cnfStyle w:val="000000100000" w:firstRow="0" w:lastRow="0" w:firstColumn="0" w:lastColumn="0" w:oddVBand="0" w:evenVBand="0" w:oddHBand="1" w:evenHBand="0" w:firstRowFirstColumn="0" w:firstRowLastColumn="0" w:lastRowFirstColumn="0" w:lastRowLastColumn="0"/>
          <w:trHeight w:val="947"/>
          <w:jc w:val="center"/>
        </w:trPr>
        <w:tc>
          <w:tcPr>
            <w:cnfStyle w:val="001000000000" w:firstRow="0" w:lastRow="0" w:firstColumn="1" w:lastColumn="0" w:oddVBand="0" w:evenVBand="0" w:oddHBand="0" w:evenHBand="0" w:firstRowFirstColumn="0" w:firstRowLastColumn="0" w:lastRowFirstColumn="0" w:lastRowLastColumn="0"/>
            <w:tcW w:w="1021" w:type="pct"/>
            <w:tcBorders>
              <w:top w:val="none" w:sz="0" w:space="0" w:color="auto"/>
              <w:bottom w:val="none" w:sz="0" w:space="0" w:color="auto"/>
            </w:tcBorders>
            <w:shd w:val="clear" w:color="auto" w:fill="DEE7F6"/>
            <w:vAlign w:val="center"/>
            <w:hideMark/>
          </w:tcPr>
          <w:p w14:paraId="13DB616B" w14:textId="77777777" w:rsidR="0028106E" w:rsidRPr="003C4755" w:rsidRDefault="0028106E" w:rsidP="00E856B1">
            <w:pPr>
              <w:jc w:val="center"/>
              <w:rPr>
                <w:color w:val="1F63B2"/>
                <w:sz w:val="20"/>
                <w:lang w:val="en-GB"/>
              </w:rPr>
            </w:pPr>
            <w:r w:rsidRPr="003C4755">
              <w:rPr>
                <w:color w:val="1F63B2"/>
                <w:sz w:val="20"/>
                <w:lang w:val="en-GB"/>
              </w:rPr>
              <w:t>Food intake*</w:t>
            </w:r>
          </w:p>
          <w:p w14:paraId="6234F96C" w14:textId="77777777" w:rsidR="0028106E" w:rsidRPr="003C4755" w:rsidRDefault="0028106E" w:rsidP="00E856B1">
            <w:pPr>
              <w:jc w:val="center"/>
              <w:rPr>
                <w:color w:val="1F63B2"/>
                <w:sz w:val="20"/>
                <w:lang w:val="en-GB"/>
              </w:rPr>
            </w:pPr>
            <w:r w:rsidRPr="003C4755">
              <w:rPr>
                <w:color w:val="1F63B2"/>
                <w:sz w:val="20"/>
                <w:lang w:val="en-GB"/>
              </w:rPr>
              <w:t>Weight/ BMI</w:t>
            </w:r>
          </w:p>
        </w:tc>
        <w:tc>
          <w:tcPr>
            <w:tcW w:w="786" w:type="pct"/>
            <w:tcBorders>
              <w:top w:val="none" w:sz="0" w:space="0" w:color="auto"/>
              <w:bottom w:val="none" w:sz="0" w:space="0" w:color="auto"/>
            </w:tcBorders>
            <w:shd w:val="clear" w:color="auto" w:fill="DEE7F6"/>
            <w:vAlign w:val="center"/>
            <w:hideMark/>
          </w:tcPr>
          <w:p w14:paraId="25517CE0"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423072A5"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c>
          <w:tcPr>
            <w:tcW w:w="1466" w:type="pct"/>
            <w:tcBorders>
              <w:top w:val="none" w:sz="0" w:space="0" w:color="auto"/>
              <w:bottom w:val="none" w:sz="0" w:space="0" w:color="auto"/>
            </w:tcBorders>
            <w:shd w:val="clear" w:color="auto" w:fill="DEE7F6"/>
            <w:vAlign w:val="center"/>
            <w:hideMark/>
          </w:tcPr>
          <w:p w14:paraId="57AAF28A"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542786BA"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c>
          <w:tcPr>
            <w:tcW w:w="1728" w:type="pct"/>
            <w:tcBorders>
              <w:top w:val="none" w:sz="0" w:space="0" w:color="auto"/>
              <w:bottom w:val="none" w:sz="0" w:space="0" w:color="auto"/>
            </w:tcBorders>
            <w:shd w:val="clear" w:color="auto" w:fill="DEE7F6"/>
            <w:vAlign w:val="center"/>
            <w:hideMark/>
          </w:tcPr>
          <w:p w14:paraId="0B686B4F"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p w14:paraId="3FE97217" w14:textId="77777777" w:rsidR="0028106E" w:rsidRPr="003C4755" w:rsidRDefault="0028106E" w:rsidP="00E856B1">
            <w:pPr>
              <w:jc w:val="center"/>
              <w:cnfStyle w:val="000000100000" w:firstRow="0" w:lastRow="0" w:firstColumn="0" w:lastColumn="0" w:oddVBand="0" w:evenVBand="0" w:oddHBand="1" w:evenHBand="0" w:firstRowFirstColumn="0" w:firstRowLastColumn="0" w:lastRowFirstColumn="0" w:lastRowLastColumn="0"/>
              <w:rPr>
                <w:sz w:val="20"/>
                <w:lang w:val="en-GB"/>
              </w:rPr>
            </w:pPr>
            <w:r w:rsidRPr="003C4755">
              <w:rPr>
                <w:sz w:val="20"/>
                <w:lang w:val="en-GB"/>
              </w:rPr>
              <w:t>X</w:t>
            </w:r>
          </w:p>
        </w:tc>
      </w:tr>
      <w:tr w:rsidR="0028106E" w:rsidRPr="0028106E" w14:paraId="345F99EA" w14:textId="77777777" w:rsidTr="009601B8">
        <w:trPr>
          <w:trHeight w:val="850"/>
          <w:jc w:val="center"/>
        </w:trPr>
        <w:tc>
          <w:tcPr>
            <w:cnfStyle w:val="001000000000" w:firstRow="0" w:lastRow="0" w:firstColumn="1" w:lastColumn="0" w:oddVBand="0" w:evenVBand="0" w:oddHBand="0" w:evenHBand="0" w:firstRowFirstColumn="0" w:firstRowLastColumn="0" w:lastRowFirstColumn="0" w:lastRowLastColumn="0"/>
            <w:tcW w:w="1021" w:type="pct"/>
            <w:shd w:val="clear" w:color="auto" w:fill="DEE7F6"/>
            <w:vAlign w:val="center"/>
            <w:hideMark/>
          </w:tcPr>
          <w:p w14:paraId="730C9331" w14:textId="77777777" w:rsidR="0028106E" w:rsidRPr="0028106E" w:rsidRDefault="0028106E" w:rsidP="00E856B1">
            <w:pPr>
              <w:pStyle w:val="SemEspaamento"/>
              <w:jc w:val="center"/>
              <w:rPr>
                <w:sz w:val="18"/>
                <w:szCs w:val="13"/>
              </w:rPr>
            </w:pPr>
            <w:r w:rsidRPr="0028106E">
              <w:rPr>
                <w:color w:val="0070C0"/>
                <w:sz w:val="18"/>
                <w:szCs w:val="13"/>
              </w:rPr>
              <w:t>Report sent to GP</w:t>
            </w:r>
          </w:p>
        </w:tc>
        <w:tc>
          <w:tcPr>
            <w:tcW w:w="786" w:type="pct"/>
            <w:shd w:val="clear" w:color="auto" w:fill="DEE7F6"/>
            <w:vAlign w:val="center"/>
            <w:hideMark/>
          </w:tcPr>
          <w:p w14:paraId="4477B99C" w14:textId="77777777" w:rsidR="0028106E" w:rsidRPr="0028106E" w:rsidRDefault="0028106E" w:rsidP="00E856B1">
            <w:pPr>
              <w:pStyle w:val="SemEspaamento"/>
              <w:jc w:val="center"/>
              <w:cnfStyle w:val="000000000000" w:firstRow="0" w:lastRow="0" w:firstColumn="0" w:lastColumn="0" w:oddVBand="0" w:evenVBand="0" w:oddHBand="0" w:evenHBand="0" w:firstRowFirstColumn="0" w:firstRowLastColumn="0" w:lastRowFirstColumn="0" w:lastRowLastColumn="0"/>
              <w:rPr>
                <w:sz w:val="18"/>
                <w:szCs w:val="13"/>
              </w:rPr>
            </w:pPr>
          </w:p>
        </w:tc>
        <w:tc>
          <w:tcPr>
            <w:tcW w:w="1466" w:type="pct"/>
            <w:shd w:val="clear" w:color="auto" w:fill="DEE7F6"/>
            <w:vAlign w:val="center"/>
            <w:hideMark/>
          </w:tcPr>
          <w:p w14:paraId="4018646C" w14:textId="77777777" w:rsidR="0028106E" w:rsidRPr="0028106E" w:rsidRDefault="0028106E" w:rsidP="00E856B1">
            <w:pPr>
              <w:pStyle w:val="SemEspaamento"/>
              <w:jc w:val="center"/>
              <w:cnfStyle w:val="000000000000" w:firstRow="0" w:lastRow="0" w:firstColumn="0" w:lastColumn="0" w:oddVBand="0" w:evenVBand="0" w:oddHBand="0" w:evenHBand="0" w:firstRowFirstColumn="0" w:firstRowLastColumn="0" w:lastRowFirstColumn="0" w:lastRowLastColumn="0"/>
              <w:rPr>
                <w:sz w:val="18"/>
                <w:szCs w:val="13"/>
              </w:rPr>
            </w:pPr>
            <w:r w:rsidRPr="0028106E">
              <w:rPr>
                <w:sz w:val="18"/>
                <w:szCs w:val="13"/>
              </w:rPr>
              <w:t>X</w:t>
            </w:r>
          </w:p>
        </w:tc>
        <w:tc>
          <w:tcPr>
            <w:tcW w:w="1728" w:type="pct"/>
            <w:shd w:val="clear" w:color="auto" w:fill="DEE7F6"/>
            <w:vAlign w:val="center"/>
            <w:hideMark/>
          </w:tcPr>
          <w:p w14:paraId="02D15968" w14:textId="77777777" w:rsidR="0028106E" w:rsidRPr="0028106E" w:rsidRDefault="0028106E" w:rsidP="00E856B1">
            <w:pPr>
              <w:pStyle w:val="SemEspaamento"/>
              <w:jc w:val="center"/>
              <w:cnfStyle w:val="000000000000" w:firstRow="0" w:lastRow="0" w:firstColumn="0" w:lastColumn="0" w:oddVBand="0" w:evenVBand="0" w:oddHBand="0" w:evenHBand="0" w:firstRowFirstColumn="0" w:firstRowLastColumn="0" w:lastRowFirstColumn="0" w:lastRowLastColumn="0"/>
              <w:rPr>
                <w:sz w:val="18"/>
                <w:szCs w:val="13"/>
              </w:rPr>
            </w:pPr>
            <w:r w:rsidRPr="0028106E">
              <w:rPr>
                <w:sz w:val="18"/>
                <w:szCs w:val="13"/>
              </w:rPr>
              <w:t>X</w:t>
            </w:r>
          </w:p>
        </w:tc>
      </w:tr>
    </w:tbl>
    <w:p w14:paraId="6CDA6DF6" w14:textId="77777777" w:rsidR="0028106E" w:rsidRPr="00233551" w:rsidRDefault="0028106E" w:rsidP="0028106E">
      <w:pPr>
        <w:pStyle w:val="SemEspaamento"/>
        <w:rPr>
          <w:sz w:val="18"/>
          <w:szCs w:val="13"/>
          <w:lang w:val="en-US"/>
        </w:rPr>
      </w:pPr>
      <w:r w:rsidRPr="00233551">
        <w:rPr>
          <w:sz w:val="18"/>
          <w:szCs w:val="13"/>
          <w:lang w:val="en-US"/>
        </w:rPr>
        <w:t xml:space="preserve">ICU intensive care unit; MRC Score Medical Research Council Score; 6MWT six-minute walk test; CAS-ICU functional assessment of swallowing; Katz index of Independence in Activities of daily living; MOCA Montreal cognitive assessment; IPREA </w:t>
      </w:r>
      <w:proofErr w:type="spellStart"/>
      <w:r w:rsidRPr="00233551">
        <w:rPr>
          <w:sz w:val="18"/>
          <w:szCs w:val="13"/>
          <w:lang w:val="en-US"/>
        </w:rPr>
        <w:t>Inconforts</w:t>
      </w:r>
      <w:proofErr w:type="spellEnd"/>
      <w:r w:rsidRPr="00233551">
        <w:rPr>
          <w:sz w:val="18"/>
          <w:szCs w:val="13"/>
          <w:lang w:val="en-US"/>
        </w:rPr>
        <w:t xml:space="preserve"> </w:t>
      </w:r>
      <w:proofErr w:type="spellStart"/>
      <w:r w:rsidRPr="00233551">
        <w:rPr>
          <w:sz w:val="18"/>
          <w:szCs w:val="13"/>
          <w:lang w:val="en-US"/>
        </w:rPr>
        <w:t>Perçus</w:t>
      </w:r>
      <w:proofErr w:type="spellEnd"/>
      <w:r w:rsidRPr="00233551">
        <w:rPr>
          <w:sz w:val="18"/>
          <w:szCs w:val="13"/>
          <w:lang w:val="en-US"/>
        </w:rPr>
        <w:t xml:space="preserve"> par les patients de </w:t>
      </w:r>
      <w:proofErr w:type="spellStart"/>
      <w:r w:rsidRPr="00233551">
        <w:rPr>
          <w:sz w:val="18"/>
          <w:szCs w:val="13"/>
          <w:lang w:val="en-US"/>
        </w:rPr>
        <w:t>REAnimation</w:t>
      </w:r>
      <w:proofErr w:type="spellEnd"/>
      <w:r w:rsidRPr="00233551">
        <w:rPr>
          <w:sz w:val="18"/>
          <w:szCs w:val="13"/>
          <w:lang w:val="en-US"/>
        </w:rPr>
        <w:t xml:space="preserve"> (Discomfort perceived by ICU patients); HADS Hospital Anxiety Depression Scale; IES-R Impact of event scale-revised; SF-36 36 item Short From Survey; BIA bioimpedance; BMI body mass index; GP general practitioner </w:t>
      </w:r>
    </w:p>
    <w:p w14:paraId="746D9717" w14:textId="4F3E9B6F" w:rsidR="0070167A" w:rsidRPr="00233551" w:rsidRDefault="0028106E" w:rsidP="0028106E">
      <w:pPr>
        <w:pStyle w:val="SemEspaamento"/>
        <w:rPr>
          <w:sz w:val="18"/>
          <w:szCs w:val="13"/>
          <w:lang w:val="en-US"/>
        </w:rPr>
      </w:pPr>
      <w:r w:rsidRPr="00233551">
        <w:rPr>
          <w:sz w:val="18"/>
          <w:szCs w:val="13"/>
          <w:lang w:val="en-US"/>
        </w:rPr>
        <w:t xml:space="preserve">*evaluated using the Nutrition Day Worldwide Questionnaire </w:t>
      </w:r>
      <w:proofErr w:type="gramStart"/>
      <w:r w:rsidRPr="00233551">
        <w:rPr>
          <w:sz w:val="18"/>
          <w:szCs w:val="13"/>
          <w:lang w:val="en-US"/>
        </w:rPr>
        <w:t>v.2010</w:t>
      </w:r>
      <w:proofErr w:type="gramEnd"/>
    </w:p>
    <w:sectPr w:rsidR="0070167A" w:rsidRPr="002335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6E"/>
    <w:rsid w:val="00233551"/>
    <w:rsid w:val="0028106E"/>
    <w:rsid w:val="003C6FD9"/>
    <w:rsid w:val="004C62C8"/>
    <w:rsid w:val="005E2E6A"/>
    <w:rsid w:val="0070167A"/>
    <w:rsid w:val="008B6A76"/>
    <w:rsid w:val="009601B8"/>
    <w:rsid w:val="009F3640"/>
    <w:rsid w:val="00B75F2D"/>
    <w:rsid w:val="00CC5264"/>
    <w:rsid w:val="00E856B1"/>
    <w:rsid w:val="00EF11E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AE8F8"/>
  <w15:docId w15:val="{90FF0688-1650-E243-9E74-C6407BF7A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06E"/>
    <w:pPr>
      <w:spacing w:after="200" w:line="360" w:lineRule="auto"/>
      <w:jc w:val="both"/>
    </w:pPr>
    <w:rPr>
      <w:rFonts w:asciiTheme="majorHAnsi" w:eastAsiaTheme="minorEastAsia" w:hAnsiTheme="majorHAns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link w:val="LegendaChar"/>
    <w:autoRedefine/>
    <w:uiPriority w:val="35"/>
    <w:unhideWhenUsed/>
    <w:qFormat/>
    <w:rsid w:val="004C62C8"/>
    <w:rPr>
      <w:bCs/>
      <w:caps/>
      <w:sz w:val="18"/>
      <w:szCs w:val="18"/>
    </w:rPr>
  </w:style>
  <w:style w:type="table" w:customStyle="1" w:styleId="TabelaSimples21">
    <w:name w:val="Tabela Simples 21"/>
    <w:basedOn w:val="Tabelanormal"/>
    <w:uiPriority w:val="42"/>
    <w:rsid w:val="0028106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egendaChar">
    <w:name w:val="Legenda Char"/>
    <w:basedOn w:val="Fontepargpadro"/>
    <w:link w:val="Legenda"/>
    <w:uiPriority w:val="35"/>
    <w:rsid w:val="0028106E"/>
    <w:rPr>
      <w:rFonts w:asciiTheme="majorHAnsi" w:eastAsiaTheme="minorEastAsia" w:hAnsiTheme="majorHAnsi"/>
      <w:bCs/>
      <w:caps/>
      <w:sz w:val="18"/>
      <w:szCs w:val="18"/>
    </w:rPr>
  </w:style>
  <w:style w:type="paragraph" w:styleId="SemEspaamento">
    <w:name w:val="No Spacing"/>
    <w:uiPriority w:val="1"/>
    <w:qFormat/>
    <w:rsid w:val="0028106E"/>
    <w:pPr>
      <w:jc w:val="both"/>
    </w:pPr>
    <w:rPr>
      <w:rFonts w:asciiTheme="majorHAnsi" w:eastAsiaTheme="minorEastAsia" w:hAnsiTheme="majorHAnsi"/>
      <w:szCs w:val="20"/>
    </w:rPr>
  </w:style>
  <w:style w:type="paragraph" w:styleId="Textodebalo">
    <w:name w:val="Balloon Text"/>
    <w:basedOn w:val="Normal"/>
    <w:link w:val="TextodebaloChar"/>
    <w:uiPriority w:val="99"/>
    <w:semiHidden/>
    <w:unhideWhenUsed/>
    <w:rsid w:val="0023355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3551"/>
    <w:rPr>
      <w:rFonts w:ascii="Tahoma" w:eastAsiaTheme="minorEastAsia" w:hAnsi="Tahoma" w:cs="Tahoma"/>
      <w:sz w:val="16"/>
      <w:szCs w:val="16"/>
    </w:rPr>
  </w:style>
  <w:style w:type="character" w:styleId="Refdecomentrio">
    <w:name w:val="annotation reference"/>
    <w:basedOn w:val="Fontepargpadro"/>
    <w:uiPriority w:val="99"/>
    <w:semiHidden/>
    <w:unhideWhenUsed/>
    <w:rsid w:val="008B6A76"/>
    <w:rPr>
      <w:sz w:val="16"/>
      <w:szCs w:val="16"/>
    </w:rPr>
  </w:style>
  <w:style w:type="paragraph" w:styleId="Textodecomentrio">
    <w:name w:val="annotation text"/>
    <w:basedOn w:val="Normal"/>
    <w:link w:val="TextodecomentrioChar"/>
    <w:uiPriority w:val="99"/>
    <w:semiHidden/>
    <w:unhideWhenUsed/>
    <w:rsid w:val="008B6A76"/>
    <w:pPr>
      <w:spacing w:line="240" w:lineRule="auto"/>
    </w:pPr>
    <w:rPr>
      <w:sz w:val="20"/>
    </w:rPr>
  </w:style>
  <w:style w:type="character" w:customStyle="1" w:styleId="TextodecomentrioChar">
    <w:name w:val="Texto de comentário Char"/>
    <w:basedOn w:val="Fontepargpadro"/>
    <w:link w:val="Textodecomentrio"/>
    <w:uiPriority w:val="99"/>
    <w:semiHidden/>
    <w:rsid w:val="008B6A76"/>
    <w:rPr>
      <w:rFonts w:asciiTheme="majorHAnsi" w:eastAsiaTheme="minorEastAsia" w:hAnsiTheme="majorHAnsi"/>
      <w:sz w:val="20"/>
      <w:szCs w:val="20"/>
    </w:rPr>
  </w:style>
  <w:style w:type="paragraph" w:styleId="Assuntodocomentrio">
    <w:name w:val="annotation subject"/>
    <w:basedOn w:val="Textodecomentrio"/>
    <w:next w:val="Textodecomentrio"/>
    <w:link w:val="AssuntodocomentrioChar"/>
    <w:uiPriority w:val="99"/>
    <w:semiHidden/>
    <w:unhideWhenUsed/>
    <w:rsid w:val="008B6A76"/>
    <w:rPr>
      <w:b/>
      <w:bCs/>
    </w:rPr>
  </w:style>
  <w:style w:type="character" w:customStyle="1" w:styleId="AssuntodocomentrioChar">
    <w:name w:val="Assunto do comentário Char"/>
    <w:basedOn w:val="TextodecomentrioChar"/>
    <w:link w:val="Assuntodocomentrio"/>
    <w:uiPriority w:val="99"/>
    <w:semiHidden/>
    <w:rsid w:val="008B6A76"/>
    <w:rPr>
      <w:rFonts w:asciiTheme="majorHAnsi" w:eastAsiaTheme="minorEastAsia" w:hAnsiTheme="maj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3B17C-FE95-364F-A468-6E784111A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655</Words>
  <Characters>3541</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 Prevedello</dc:creator>
  <cp:lastModifiedBy>Danielle Prevedello</cp:lastModifiedBy>
  <cp:revision>7</cp:revision>
  <dcterms:created xsi:type="dcterms:W3CDTF">2021-03-17T16:34:00Z</dcterms:created>
  <dcterms:modified xsi:type="dcterms:W3CDTF">2021-03-22T10:38:00Z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http://www.zotero.org/styles/intensive-care-medicine</vt:lpwstr>
  </property>
  <property fmtid="{D5CDD505-2E9C-101B-9397-08002B2CF9AE}" pid="17" name="Mendeley Recent Style Name 7_1">
    <vt:lpwstr>Intensive Care Medicine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