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E0018" w14:textId="69AF9D9D" w:rsidR="0004183E" w:rsidRPr="000F3ED1" w:rsidRDefault="0004183E">
      <w:pPr>
        <w:rPr>
          <w:rFonts w:ascii="Helvetica" w:hAnsi="Helvetica"/>
          <w:lang w:val="en-US"/>
        </w:rPr>
      </w:pPr>
    </w:p>
    <w:p w14:paraId="78557595" w14:textId="113E6E60" w:rsidR="00907833" w:rsidRPr="000F3ED1" w:rsidRDefault="00907833">
      <w:pPr>
        <w:rPr>
          <w:rFonts w:ascii="Helvetica" w:hAnsi="Helvetica"/>
          <w:lang w:val="en-US"/>
        </w:rPr>
      </w:pPr>
    </w:p>
    <w:p w14:paraId="2AA0DF31" w14:textId="77777777" w:rsidR="004E6F74" w:rsidRPr="000F3ED1" w:rsidRDefault="004E6F74" w:rsidP="004E6F74">
      <w:pPr>
        <w:jc w:val="center"/>
        <w:rPr>
          <w:rFonts w:ascii="Helvetica" w:hAnsi="Helvetica"/>
        </w:rPr>
      </w:pPr>
      <w:r w:rsidRPr="000F3ED1">
        <w:rPr>
          <w:rFonts w:ascii="Helvetica" w:hAnsi="Helvetica"/>
        </w:rPr>
        <w:t>Supplementary Materials for</w:t>
      </w:r>
    </w:p>
    <w:p w14:paraId="789F1923" w14:textId="77777777" w:rsidR="004E6F74" w:rsidRPr="000F3ED1" w:rsidRDefault="004E6F74" w:rsidP="004E6F74">
      <w:pPr>
        <w:spacing w:line="360" w:lineRule="auto"/>
        <w:rPr>
          <w:rFonts w:ascii="Helvetica" w:eastAsia="Arial Unicode MS" w:hAnsi="Helvetica"/>
          <w:bCs/>
          <w:color w:val="000000" w:themeColor="text1"/>
        </w:rPr>
      </w:pPr>
    </w:p>
    <w:p w14:paraId="6B333BFB" w14:textId="77777777" w:rsidR="001E79B4" w:rsidRPr="0017089E" w:rsidRDefault="001E79B4" w:rsidP="001E79B4">
      <w:pPr>
        <w:widowControl w:val="0"/>
        <w:spacing w:after="100" w:afterAutospacing="1" w:line="360" w:lineRule="auto"/>
        <w:rPr>
          <w:rFonts w:ascii="Helvetica" w:eastAsia="SimSun" w:hAnsi="Helvetica"/>
          <w:color w:val="000000" w:themeColor="text1"/>
          <w:kern w:val="2"/>
          <w:lang w:val="en-US"/>
        </w:rPr>
      </w:pPr>
      <w:r w:rsidRPr="0017089E">
        <w:rPr>
          <w:rFonts w:ascii="Helvetica" w:hAnsi="Helvetica"/>
          <w:b/>
          <w:bCs/>
          <w:color w:val="000000" w:themeColor="text1"/>
          <w:kern w:val="36"/>
        </w:rPr>
        <w:t xml:space="preserve">Ubiquitination of </w:t>
      </w:r>
      <w:r w:rsidRPr="0017089E">
        <w:rPr>
          <w:rFonts w:ascii="Helvetica" w:eastAsia="SimSun" w:hAnsi="Helvetica"/>
          <w:b/>
          <w:bCs/>
          <w:color w:val="000000" w:themeColor="text1"/>
        </w:rPr>
        <w:t xml:space="preserve">gasdermin D </w:t>
      </w:r>
      <w:r w:rsidRPr="0017089E">
        <w:rPr>
          <w:rFonts w:ascii="Helvetica" w:hAnsi="Helvetica"/>
          <w:b/>
          <w:bCs/>
          <w:color w:val="000000" w:themeColor="text1"/>
          <w:kern w:val="36"/>
        </w:rPr>
        <w:t xml:space="preserve">N-terminal </w:t>
      </w:r>
      <w:r w:rsidRPr="0017089E">
        <w:rPr>
          <w:rFonts w:ascii="Helvetica" w:eastAsia="SimSun" w:hAnsi="Helvetica"/>
          <w:b/>
          <w:bCs/>
          <w:color w:val="000000" w:themeColor="text1"/>
        </w:rPr>
        <w:t>domain</w:t>
      </w:r>
      <w:r w:rsidRPr="0017089E">
        <w:rPr>
          <w:rFonts w:ascii="Helvetica" w:hAnsi="Helvetica"/>
          <w:b/>
          <w:bCs/>
          <w:color w:val="000000" w:themeColor="text1"/>
          <w:kern w:val="36"/>
        </w:rPr>
        <w:t xml:space="preserve"> directs its membrane translocation and pore formation during pyroptosis</w:t>
      </w:r>
      <w:r w:rsidRPr="0017089E">
        <w:rPr>
          <w:rFonts w:ascii="Helvetica" w:hAnsi="Helvetica"/>
          <w:color w:val="000000" w:themeColor="text1"/>
          <w:kern w:val="36"/>
        </w:rPr>
        <w:t xml:space="preserve"> </w:t>
      </w:r>
    </w:p>
    <w:p w14:paraId="2790F516" w14:textId="77777777" w:rsidR="001E79B4" w:rsidRPr="0017089E" w:rsidRDefault="001E79B4" w:rsidP="001E79B4">
      <w:pPr>
        <w:pStyle w:val="NormalWeb"/>
        <w:spacing w:line="360" w:lineRule="auto"/>
        <w:rPr>
          <w:rFonts w:ascii="Helvetica" w:hAnsi="Helvetica"/>
        </w:rPr>
      </w:pPr>
      <w:r w:rsidRPr="0017089E">
        <w:rPr>
          <w:rFonts w:ascii="Helvetica" w:eastAsia="Arial Unicode MS" w:hAnsi="Helvetica"/>
          <w:color w:val="000000" w:themeColor="text1"/>
        </w:rPr>
        <w:t>Xiufeng Chu</w:t>
      </w:r>
      <w:r w:rsidRPr="0017089E">
        <w:rPr>
          <w:rFonts w:ascii="Helvetica" w:eastAsia="Arial Unicode MS" w:hAnsi="Helvetica"/>
          <w:color w:val="000000" w:themeColor="text1"/>
          <w:vertAlign w:val="superscript"/>
        </w:rPr>
        <w:t>1,</w:t>
      </w:r>
      <w:r>
        <w:rPr>
          <w:rFonts w:ascii="Helvetica" w:eastAsia="Arial Unicode MS" w:hAnsi="Helvetica"/>
          <w:color w:val="000000" w:themeColor="text1"/>
          <w:vertAlign w:val="superscript"/>
          <w:lang w:val="en-US"/>
        </w:rPr>
        <w:t>2</w:t>
      </w:r>
      <w:r w:rsidRPr="0017089E">
        <w:rPr>
          <w:rFonts w:ascii="Helvetica" w:eastAsia="Arial Unicode MS" w:hAnsi="Helvetica"/>
          <w:color w:val="000000" w:themeColor="text1"/>
        </w:rPr>
        <w:t xml:space="preserve">* </w:t>
      </w:r>
      <w:proofErr w:type="spellStart"/>
      <w:r>
        <w:rPr>
          <w:rFonts w:ascii="Helvetica" w:hAnsi="Helvetica"/>
          <w:lang w:val="en-US"/>
        </w:rPr>
        <w:t>Pengyuan</w:t>
      </w:r>
      <w:proofErr w:type="spellEnd"/>
      <w:r>
        <w:rPr>
          <w:rFonts w:ascii="Helvetica" w:hAnsi="Helvetica"/>
          <w:lang w:val="en-US"/>
        </w:rPr>
        <w:t xml:space="preserve"> Zheng</w:t>
      </w:r>
      <w:r>
        <w:rPr>
          <w:rFonts w:ascii="Helvetica" w:eastAsia="Arial Unicode MS" w:hAnsi="Helvetica"/>
          <w:vertAlign w:val="superscript"/>
          <w:lang w:val="en-US"/>
        </w:rPr>
        <w:t>2</w:t>
      </w:r>
      <w:r>
        <w:rPr>
          <w:rFonts w:ascii="Helvetica" w:hAnsi="Helvetica"/>
          <w:lang w:val="en-US"/>
        </w:rPr>
        <w:t xml:space="preserve">, </w:t>
      </w:r>
      <w:r w:rsidRPr="0017089E">
        <w:rPr>
          <w:rFonts w:ascii="Helvetica" w:eastAsia="SimSun" w:hAnsi="Helvetica"/>
        </w:rPr>
        <w:t>Ihtisham Bukhari</w:t>
      </w:r>
      <w:r>
        <w:rPr>
          <w:rFonts w:ascii="Helvetica" w:eastAsia="Arial Unicode MS" w:hAnsi="Helvetica"/>
          <w:color w:val="000000" w:themeColor="text1"/>
          <w:vertAlign w:val="superscript"/>
          <w:lang w:val="en-US"/>
        </w:rPr>
        <w:t>2</w:t>
      </w:r>
      <w:r w:rsidRPr="0017089E">
        <w:rPr>
          <w:rFonts w:ascii="Helvetica" w:eastAsia="Arial Unicode MS" w:hAnsi="Helvetica"/>
          <w:color w:val="000000" w:themeColor="text1"/>
          <w:vertAlign w:val="superscript"/>
          <w:lang w:val="en-US"/>
        </w:rPr>
        <w:t>*</w:t>
      </w:r>
    </w:p>
    <w:p w14:paraId="7F170BDA" w14:textId="77777777" w:rsidR="001E79B4" w:rsidRDefault="001E79B4" w:rsidP="001E79B4">
      <w:pPr>
        <w:spacing w:line="360" w:lineRule="auto"/>
        <w:rPr>
          <w:rFonts w:ascii="Helvetica" w:eastAsia="Arial Unicode MS" w:hAnsi="Helvetica"/>
        </w:rPr>
      </w:pPr>
      <w:r w:rsidRPr="0017089E">
        <w:rPr>
          <w:rFonts w:ascii="Helvetica" w:eastAsia="Arial Unicode MS" w:hAnsi="Helvetica"/>
          <w:vertAlign w:val="superscript"/>
        </w:rPr>
        <w:t>1</w:t>
      </w:r>
      <w:r w:rsidRPr="0017089E">
        <w:rPr>
          <w:rFonts w:ascii="Helvetica" w:eastAsia="Arial Unicode MS" w:hAnsi="Helvetica"/>
        </w:rPr>
        <w:t>Department of Oncology, The Fifth Affiliated Hospital of Zhengzhou University, Zhengzhou, China.</w:t>
      </w:r>
    </w:p>
    <w:p w14:paraId="322EB99C" w14:textId="77777777" w:rsidR="001E79B4" w:rsidRPr="0017089E" w:rsidRDefault="001E79B4" w:rsidP="001E79B4">
      <w:pPr>
        <w:spacing w:line="360" w:lineRule="auto"/>
        <w:rPr>
          <w:rFonts w:ascii="Helvetica" w:eastAsia="Arial Unicode MS" w:hAnsi="Helvetica"/>
        </w:rPr>
      </w:pPr>
      <w:r>
        <w:rPr>
          <w:rFonts w:ascii="Helvetica" w:eastAsia="Arial Unicode MS" w:hAnsi="Helvetica"/>
          <w:vertAlign w:val="superscript"/>
          <w:lang w:val="en-US"/>
        </w:rPr>
        <w:t>2</w:t>
      </w:r>
      <w:r w:rsidRPr="0017089E">
        <w:rPr>
          <w:rFonts w:ascii="Helvetica" w:eastAsia="Arial Unicode MS" w:hAnsi="Helvetica"/>
        </w:rPr>
        <w:t>Marshall medical center, The Fifth Affiliated Hospital of Zhengzhou University, Zhengzhou, China.</w:t>
      </w:r>
    </w:p>
    <w:p w14:paraId="459362A0" w14:textId="77777777" w:rsidR="001E79B4" w:rsidRPr="0017089E" w:rsidRDefault="001E79B4" w:rsidP="001E79B4">
      <w:pPr>
        <w:spacing w:line="360" w:lineRule="auto"/>
        <w:rPr>
          <w:rFonts w:ascii="Helvetica" w:eastAsia="Arial Unicode MS" w:hAnsi="Helvetica"/>
          <w:color w:val="000000" w:themeColor="text1"/>
          <w:lang w:val="en-US"/>
        </w:rPr>
      </w:pPr>
      <w:r w:rsidRPr="0017089E">
        <w:rPr>
          <w:rFonts w:ascii="Helvetica" w:eastAsia="Arial Unicode MS" w:hAnsi="Helvetica"/>
          <w:color w:val="000000" w:themeColor="text1"/>
        </w:rPr>
        <w:t>*</w:t>
      </w:r>
      <w:r w:rsidRPr="0017089E">
        <w:rPr>
          <w:rFonts w:ascii="Helvetica" w:hAnsi="Helvetica"/>
        </w:rPr>
        <w:t xml:space="preserve"> </w:t>
      </w:r>
      <w:r w:rsidRPr="0017089E">
        <w:rPr>
          <w:rFonts w:ascii="Helvetica" w:eastAsia="Arial Unicode MS" w:hAnsi="Helvetica"/>
          <w:color w:val="000000" w:themeColor="text1"/>
          <w:lang w:val="en-US"/>
        </w:rPr>
        <w:t>C</w:t>
      </w:r>
      <w:r w:rsidRPr="0017089E">
        <w:rPr>
          <w:rFonts w:ascii="Helvetica" w:eastAsia="Arial Unicode MS" w:hAnsi="Helvetica"/>
          <w:color w:val="000000" w:themeColor="text1"/>
        </w:rPr>
        <w:t>orresponding</w:t>
      </w:r>
      <w:r w:rsidRPr="0017089E">
        <w:rPr>
          <w:rFonts w:ascii="Helvetica" w:eastAsia="Arial Unicode MS" w:hAnsi="Helvetica"/>
          <w:color w:val="000000" w:themeColor="text1"/>
          <w:lang w:val="en-US"/>
        </w:rPr>
        <w:t xml:space="preserve"> authors: </w:t>
      </w:r>
    </w:p>
    <w:p w14:paraId="423B5C82" w14:textId="77777777" w:rsidR="001E79B4" w:rsidRPr="0017089E" w:rsidRDefault="001E79B4" w:rsidP="001E79B4">
      <w:pPr>
        <w:spacing w:line="360" w:lineRule="auto"/>
        <w:rPr>
          <w:rFonts w:ascii="Helvetica" w:eastAsia="Arial Unicode MS" w:hAnsi="Helvetica"/>
          <w:color w:val="000000" w:themeColor="text1"/>
          <w:lang w:val="en-US"/>
        </w:rPr>
      </w:pPr>
      <w:proofErr w:type="spellStart"/>
      <w:r w:rsidRPr="0017089E">
        <w:rPr>
          <w:rFonts w:ascii="Helvetica" w:eastAsia="Arial Unicode MS" w:hAnsi="Helvetica"/>
          <w:color w:val="000000" w:themeColor="text1"/>
          <w:lang w:val="en-US"/>
        </w:rPr>
        <w:t>Xiufeng</w:t>
      </w:r>
      <w:proofErr w:type="spellEnd"/>
      <w:r w:rsidRPr="0017089E">
        <w:rPr>
          <w:rFonts w:ascii="Helvetica" w:eastAsia="Arial Unicode MS" w:hAnsi="Helvetica"/>
          <w:color w:val="000000" w:themeColor="text1"/>
          <w:lang w:val="en-US"/>
        </w:rPr>
        <w:t xml:space="preserve"> Chu (First C</w:t>
      </w:r>
      <w:r w:rsidRPr="0017089E">
        <w:rPr>
          <w:rFonts w:ascii="Helvetica" w:eastAsia="Arial Unicode MS" w:hAnsi="Helvetica"/>
          <w:color w:val="000000" w:themeColor="text1"/>
        </w:rPr>
        <w:t>orresponding</w:t>
      </w:r>
      <w:r w:rsidRPr="0017089E">
        <w:rPr>
          <w:rFonts w:ascii="Helvetica" w:eastAsia="Arial Unicode MS" w:hAnsi="Helvetica"/>
          <w:color w:val="000000" w:themeColor="text1"/>
          <w:lang w:val="en-US"/>
        </w:rPr>
        <w:t>)</w:t>
      </w:r>
      <w:r>
        <w:rPr>
          <w:rFonts w:ascii="Helvetica" w:eastAsia="Arial Unicode MS" w:hAnsi="Helvetica"/>
          <w:color w:val="000000" w:themeColor="text1"/>
          <w:lang w:val="en-US"/>
        </w:rPr>
        <w:t xml:space="preserve">: </w:t>
      </w:r>
      <w:r w:rsidRPr="000F3ED1">
        <w:rPr>
          <w:rFonts w:ascii="Helvetica" w:hAnsi="Helvetica"/>
        </w:rPr>
        <w:t>xchu@zzu.edu.cn</w:t>
      </w:r>
    </w:p>
    <w:p w14:paraId="7A58AC88" w14:textId="77777777" w:rsidR="001E79B4" w:rsidRPr="0017089E" w:rsidRDefault="001E79B4" w:rsidP="001E79B4">
      <w:pPr>
        <w:spacing w:line="360" w:lineRule="auto"/>
        <w:rPr>
          <w:rFonts w:ascii="Helvetica" w:eastAsia="SimSun" w:hAnsi="Helvetica"/>
          <w:lang w:val="en-US"/>
        </w:rPr>
      </w:pPr>
      <w:r w:rsidRPr="0017089E">
        <w:rPr>
          <w:rFonts w:ascii="Helvetica" w:eastAsia="SimSun" w:hAnsi="Helvetica"/>
        </w:rPr>
        <w:t>Ihtisham Bukhari</w:t>
      </w:r>
      <w:r w:rsidRPr="0017089E">
        <w:rPr>
          <w:rFonts w:ascii="Helvetica" w:eastAsia="SimSun" w:hAnsi="Helvetica"/>
          <w:lang w:val="en-US"/>
        </w:rPr>
        <w:t xml:space="preserve"> (</w:t>
      </w:r>
      <w:r w:rsidRPr="0017089E">
        <w:rPr>
          <w:rFonts w:ascii="Helvetica" w:eastAsia="Arial Unicode MS" w:hAnsi="Helvetica"/>
          <w:color w:val="000000" w:themeColor="text1"/>
          <w:lang w:val="en-US"/>
        </w:rPr>
        <w:t>Second C</w:t>
      </w:r>
      <w:r w:rsidRPr="0017089E">
        <w:rPr>
          <w:rFonts w:ascii="Helvetica" w:eastAsia="Arial Unicode MS" w:hAnsi="Helvetica"/>
          <w:color w:val="000000" w:themeColor="text1"/>
        </w:rPr>
        <w:t>orresponding</w:t>
      </w:r>
      <w:r w:rsidRPr="0017089E">
        <w:rPr>
          <w:rFonts w:ascii="Helvetica" w:eastAsia="SimSun" w:hAnsi="Helvetica"/>
          <w:lang w:val="en-US"/>
        </w:rPr>
        <w:t>)</w:t>
      </w:r>
    </w:p>
    <w:p w14:paraId="518FEE17" w14:textId="77777777" w:rsidR="004E6F74" w:rsidRPr="001E79B4" w:rsidRDefault="004E6F74" w:rsidP="004E6F74">
      <w:pPr>
        <w:rPr>
          <w:rFonts w:ascii="Helvetica" w:hAnsi="Helvetica"/>
          <w:b/>
          <w:lang w:val="en-US"/>
        </w:rPr>
      </w:pPr>
    </w:p>
    <w:p w14:paraId="19ADDB26" w14:textId="77777777" w:rsidR="004E6F74" w:rsidRPr="000F3ED1" w:rsidRDefault="004E6F74" w:rsidP="004E6F74">
      <w:pPr>
        <w:rPr>
          <w:rFonts w:ascii="Helvetica" w:hAnsi="Helvetica"/>
          <w:b/>
        </w:rPr>
      </w:pPr>
    </w:p>
    <w:p w14:paraId="3DBCFEC5" w14:textId="77777777" w:rsidR="004E6F74" w:rsidRPr="000F3ED1" w:rsidRDefault="004E6F74" w:rsidP="004E6F74">
      <w:pPr>
        <w:rPr>
          <w:rFonts w:ascii="Helvetica" w:hAnsi="Helvetica"/>
          <w:b/>
        </w:rPr>
      </w:pPr>
    </w:p>
    <w:p w14:paraId="1686ADBA" w14:textId="77777777" w:rsidR="004E6F74" w:rsidRPr="000F3ED1" w:rsidRDefault="004E6F74" w:rsidP="004E6F74">
      <w:pPr>
        <w:rPr>
          <w:rFonts w:ascii="Helvetica" w:hAnsi="Helvetica"/>
          <w:b/>
        </w:rPr>
      </w:pPr>
    </w:p>
    <w:p w14:paraId="47C36A19" w14:textId="77777777" w:rsidR="004E6F74" w:rsidRPr="000F3ED1" w:rsidRDefault="004E6F74" w:rsidP="004E6F74">
      <w:pPr>
        <w:rPr>
          <w:rFonts w:ascii="Helvetica" w:hAnsi="Helvetica"/>
          <w:b/>
        </w:rPr>
      </w:pPr>
    </w:p>
    <w:p w14:paraId="2ECA1D65" w14:textId="77777777" w:rsidR="004E6F74" w:rsidRPr="000F3ED1" w:rsidRDefault="004E6F74" w:rsidP="004E6F74">
      <w:pPr>
        <w:rPr>
          <w:rFonts w:ascii="Helvetica" w:hAnsi="Helvetica"/>
          <w:b/>
        </w:rPr>
      </w:pPr>
    </w:p>
    <w:p w14:paraId="1AD67D24" w14:textId="77777777" w:rsidR="004E6F74" w:rsidRPr="000F3ED1" w:rsidRDefault="004E6F74" w:rsidP="004E6F74">
      <w:pPr>
        <w:rPr>
          <w:rFonts w:ascii="Helvetica" w:hAnsi="Helvetica"/>
          <w:b/>
        </w:rPr>
      </w:pPr>
      <w:r w:rsidRPr="000F3ED1">
        <w:rPr>
          <w:rFonts w:ascii="Helvetica" w:hAnsi="Helvetica"/>
          <w:b/>
        </w:rPr>
        <w:t>This file includes:</w:t>
      </w:r>
    </w:p>
    <w:p w14:paraId="318B9290" w14:textId="029C3059" w:rsidR="004E6F74" w:rsidRPr="000F3ED1" w:rsidRDefault="004E6F74" w:rsidP="004E6F74">
      <w:pPr>
        <w:rPr>
          <w:rFonts w:ascii="Helvetica" w:hAnsi="Helvetica"/>
          <w:lang w:val="en-US"/>
        </w:rPr>
      </w:pPr>
      <w:r w:rsidRPr="000F3ED1">
        <w:rPr>
          <w:rFonts w:ascii="Helvetica" w:hAnsi="Helvetica"/>
        </w:rPr>
        <w:t xml:space="preserve">            </w:t>
      </w:r>
      <w:r w:rsidRPr="000F3ED1">
        <w:rPr>
          <w:rFonts w:ascii="Helvetica" w:hAnsi="Helvetica"/>
          <w:b/>
          <w:bCs/>
        </w:rPr>
        <w:t xml:space="preserve">Extended Fig. 1 to </w:t>
      </w:r>
      <w:r w:rsidR="00D439D4">
        <w:rPr>
          <w:rFonts w:ascii="Helvetica" w:hAnsi="Helvetica"/>
          <w:b/>
          <w:bCs/>
          <w:lang w:val="en-US"/>
        </w:rPr>
        <w:t>5</w:t>
      </w:r>
      <w:r w:rsidR="00C95F89">
        <w:rPr>
          <w:rFonts w:ascii="Helvetica" w:hAnsi="Helvetica"/>
          <w:b/>
          <w:bCs/>
          <w:lang w:val="en-US"/>
        </w:rPr>
        <w:t xml:space="preserve"> and Extended table 1</w:t>
      </w:r>
    </w:p>
    <w:p w14:paraId="3639A27E" w14:textId="189EE323" w:rsidR="00907833" w:rsidRPr="000F3ED1" w:rsidRDefault="00907833">
      <w:pPr>
        <w:rPr>
          <w:rFonts w:ascii="Helvetica" w:hAnsi="Helvetica"/>
          <w:lang w:val="en-US"/>
        </w:rPr>
      </w:pPr>
    </w:p>
    <w:p w14:paraId="227C624D" w14:textId="18D3DA60" w:rsidR="00907833" w:rsidRPr="000F3ED1" w:rsidRDefault="00907833">
      <w:pPr>
        <w:rPr>
          <w:rFonts w:ascii="Helvetica" w:hAnsi="Helvetica"/>
          <w:lang w:val="en-US"/>
        </w:rPr>
      </w:pPr>
    </w:p>
    <w:p w14:paraId="126D4369" w14:textId="04BFBEE8" w:rsidR="00907833" w:rsidRPr="000F3ED1" w:rsidRDefault="00907833">
      <w:pPr>
        <w:rPr>
          <w:rFonts w:ascii="Helvetica" w:hAnsi="Helvetica"/>
          <w:lang w:val="en-US"/>
        </w:rPr>
      </w:pPr>
    </w:p>
    <w:p w14:paraId="4B0B80C1" w14:textId="135747FA" w:rsidR="00907833" w:rsidRPr="000F3ED1" w:rsidRDefault="00907833">
      <w:pPr>
        <w:rPr>
          <w:rFonts w:ascii="Helvetica" w:hAnsi="Helvetica"/>
          <w:lang w:val="en-US"/>
        </w:rPr>
      </w:pPr>
    </w:p>
    <w:p w14:paraId="16710FD3" w14:textId="0A78C881" w:rsidR="00907833" w:rsidRPr="000F3ED1" w:rsidRDefault="00907833">
      <w:pPr>
        <w:rPr>
          <w:rFonts w:ascii="Helvetica" w:hAnsi="Helvetica"/>
          <w:lang w:val="en-US"/>
        </w:rPr>
      </w:pPr>
    </w:p>
    <w:p w14:paraId="360E4CF5" w14:textId="4842840B" w:rsidR="00CB6089" w:rsidRDefault="00D959C8">
      <w:pPr>
        <w:rPr>
          <w:rFonts w:ascii="Helvetica" w:hAnsi="Helvetica"/>
          <w:lang w:val="en-US"/>
        </w:rPr>
      </w:pPr>
      <w:r w:rsidRPr="000F3ED1">
        <w:rPr>
          <w:rFonts w:ascii="Helvetica" w:hAnsi="Helvetica"/>
          <w:lang w:val="en-US"/>
        </w:rPr>
        <w:br w:type="page"/>
      </w:r>
    </w:p>
    <w:p w14:paraId="70B9CB24" w14:textId="5ACCC713" w:rsidR="00D959C8" w:rsidRPr="000F3ED1" w:rsidRDefault="00CB6089" w:rsidP="004E6F74">
      <w:pPr>
        <w:rPr>
          <w:rFonts w:ascii="Helvetica" w:hAnsi="Helvetica"/>
          <w:lang w:val="en-US"/>
        </w:rPr>
      </w:pPr>
      <w:r>
        <w:rPr>
          <w:rFonts w:ascii="Helvetica" w:hAnsi="Helvetica"/>
          <w:noProof/>
          <w:lang w:val="en-US"/>
        </w:rPr>
        <w:lastRenderedPageBreak/>
        <w:drawing>
          <wp:inline distT="0" distB="0" distL="0" distR="0" wp14:anchorId="7CFE0262" wp14:editId="5E7C11B1">
            <wp:extent cx="5943600" cy="3716020"/>
            <wp:effectExtent l="0" t="0" r="0" b="5080"/>
            <wp:docPr id="1224675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675500" name="Picture 1224675500"/>
                    <pic:cNvPicPr/>
                  </pic:nvPicPr>
                  <pic:blipFill>
                    <a:blip r:embed="rId4">
                      <a:extLst>
                        <a:ext uri="{28A0092B-C50C-407E-A947-70E740481C1C}">
                          <a14:useLocalDpi xmlns:a14="http://schemas.microsoft.com/office/drawing/2010/main" val="0"/>
                        </a:ext>
                      </a:extLst>
                    </a:blip>
                    <a:stretch>
                      <a:fillRect/>
                    </a:stretch>
                  </pic:blipFill>
                  <pic:spPr>
                    <a:xfrm>
                      <a:off x="0" y="0"/>
                      <a:ext cx="5943600" cy="3716020"/>
                    </a:xfrm>
                    <a:prstGeom prst="rect">
                      <a:avLst/>
                    </a:prstGeom>
                  </pic:spPr>
                </pic:pic>
              </a:graphicData>
            </a:graphic>
          </wp:inline>
        </w:drawing>
      </w:r>
    </w:p>
    <w:p w14:paraId="3F5F7326" w14:textId="77777777" w:rsidR="00CB6089" w:rsidRPr="00CB6089" w:rsidRDefault="00CB6089" w:rsidP="00CB6089">
      <w:pPr>
        <w:rPr>
          <w:rFonts w:ascii="Helvetica" w:hAnsi="Helvetica"/>
        </w:rPr>
      </w:pPr>
      <w:r w:rsidRPr="00CB6089">
        <w:rPr>
          <w:rFonts w:ascii="Helvetica" w:hAnsi="Helvetica"/>
          <w:b/>
          <w:bCs/>
          <w:lang w:val="en-US"/>
        </w:rPr>
        <w:t xml:space="preserve">Extended </w:t>
      </w:r>
      <w:r w:rsidRPr="00CB6089">
        <w:rPr>
          <w:rFonts w:ascii="Helvetica" w:hAnsi="Helvetica"/>
          <w:b/>
          <w:bCs/>
        </w:rPr>
        <w:t>F</w:t>
      </w:r>
      <w:proofErr w:type="spellStart"/>
      <w:r w:rsidRPr="00CB6089">
        <w:rPr>
          <w:rFonts w:ascii="Helvetica" w:hAnsi="Helvetica"/>
          <w:b/>
          <w:bCs/>
          <w:lang w:val="en-US"/>
        </w:rPr>
        <w:t>ig</w:t>
      </w:r>
      <w:proofErr w:type="spellEnd"/>
      <w:r w:rsidRPr="00CB6089">
        <w:rPr>
          <w:rFonts w:ascii="Helvetica" w:hAnsi="Helvetica"/>
          <w:b/>
          <w:bCs/>
          <w:lang w:val="en-US"/>
        </w:rPr>
        <w:t>.</w:t>
      </w:r>
      <w:r w:rsidRPr="00CB6089">
        <w:rPr>
          <w:rFonts w:ascii="Helvetica" w:hAnsi="Helvetica"/>
          <w:b/>
          <w:bCs/>
        </w:rPr>
        <w:t xml:space="preserve"> </w:t>
      </w:r>
      <w:r w:rsidRPr="00CB6089">
        <w:rPr>
          <w:rFonts w:ascii="Helvetica" w:hAnsi="Helvetica"/>
          <w:b/>
          <w:bCs/>
          <w:lang w:val="en-US"/>
        </w:rPr>
        <w:t>1</w:t>
      </w:r>
      <w:r w:rsidRPr="00CB6089">
        <w:rPr>
          <w:rFonts w:ascii="Helvetica" w:hAnsi="Helvetica"/>
          <w:b/>
          <w:bCs/>
        </w:rPr>
        <w:t xml:space="preserve"> </w:t>
      </w:r>
      <w:r w:rsidRPr="00CB6089">
        <w:rPr>
          <w:rFonts w:ascii="Helvetica" w:hAnsi="Helvetica"/>
          <w:b/>
          <w:bCs/>
          <w:lang w:val="en-US"/>
        </w:rPr>
        <w:t xml:space="preserve">| The </w:t>
      </w:r>
      <w:proofErr w:type="spellStart"/>
      <w:r w:rsidRPr="00CB6089">
        <w:rPr>
          <w:rFonts w:ascii="Helvetica" w:hAnsi="Helvetica"/>
          <w:b/>
          <w:bCs/>
          <w:lang w:val="en-US"/>
        </w:rPr>
        <w:t>pyroptosis</w:t>
      </w:r>
      <w:proofErr w:type="spellEnd"/>
      <w:r w:rsidRPr="00CB6089">
        <w:rPr>
          <w:rFonts w:ascii="Helvetica" w:hAnsi="Helvetica"/>
          <w:b/>
          <w:bCs/>
          <w:lang w:val="en-US"/>
        </w:rPr>
        <w:t xml:space="preserve"> signaling pathway and NF-</w:t>
      </w:r>
      <w:r w:rsidRPr="00CB6089">
        <w:rPr>
          <w:rFonts w:ascii="Helvetica" w:hAnsi="Helvetica"/>
          <w:b/>
          <w:bCs/>
          <w:lang w:val="el-GR"/>
        </w:rPr>
        <w:t>κ</w:t>
      </w:r>
      <w:r w:rsidRPr="00CB6089">
        <w:rPr>
          <w:rFonts w:ascii="Helvetica" w:hAnsi="Helvetica"/>
          <w:b/>
          <w:bCs/>
          <w:lang w:val="en-US"/>
        </w:rPr>
        <w:t xml:space="preserve">B signaling pathway. </w:t>
      </w:r>
    </w:p>
    <w:p w14:paraId="4BD15AA9" w14:textId="77777777" w:rsidR="00CB6089" w:rsidRPr="00CB6089" w:rsidRDefault="00CB6089" w:rsidP="00CB6089">
      <w:pPr>
        <w:rPr>
          <w:rFonts w:ascii="Helvetica" w:hAnsi="Helvetica"/>
        </w:rPr>
      </w:pPr>
      <w:r w:rsidRPr="00CB6089">
        <w:rPr>
          <w:rFonts w:ascii="Helvetica" w:hAnsi="Helvetica"/>
          <w:lang w:val="en-US"/>
        </w:rPr>
        <w:t>A.</w:t>
      </w:r>
      <w:r w:rsidRPr="00CB6089">
        <w:rPr>
          <w:rFonts w:ascii="Helvetica" w:hAnsi="Helvetica"/>
        </w:rPr>
        <w:t xml:space="preserve"> </w:t>
      </w:r>
      <w:r w:rsidRPr="00CB6089">
        <w:rPr>
          <w:rFonts w:ascii="Helvetica" w:hAnsi="Helvetica"/>
          <w:lang w:val="en-US"/>
        </w:rPr>
        <w:t xml:space="preserve">In the classical </w:t>
      </w:r>
      <w:proofErr w:type="spellStart"/>
      <w:r w:rsidRPr="00CB6089">
        <w:rPr>
          <w:rFonts w:ascii="Helvetica" w:hAnsi="Helvetica"/>
          <w:lang w:val="en-US"/>
        </w:rPr>
        <w:t>pyroptosis</w:t>
      </w:r>
      <w:proofErr w:type="spellEnd"/>
      <w:r w:rsidRPr="00CB6089">
        <w:rPr>
          <w:rFonts w:ascii="Helvetica" w:hAnsi="Helvetica"/>
          <w:lang w:val="en-US"/>
        </w:rPr>
        <w:t xml:space="preserve"> pathway, intracellular pattern recognition receptors PRRs (NLRP3, NLRC4, NLRP1B, etc.) recognize pathogenic stimuli and bind to pro caspase-1 through the adapter protein ASC, forming inflammasomes to generate active caspase-1. In the atypical </w:t>
      </w:r>
      <w:proofErr w:type="spellStart"/>
      <w:r w:rsidRPr="00CB6089">
        <w:rPr>
          <w:rFonts w:ascii="Helvetica" w:hAnsi="Helvetica"/>
          <w:lang w:val="en-US"/>
        </w:rPr>
        <w:t>pyroptosis</w:t>
      </w:r>
      <w:proofErr w:type="spellEnd"/>
      <w:r w:rsidRPr="00CB6089">
        <w:rPr>
          <w:rFonts w:ascii="Helvetica" w:hAnsi="Helvetica"/>
          <w:lang w:val="en-US"/>
        </w:rPr>
        <w:t xml:space="preserve"> pathway, intracellular LPS directly binds and activates pro caspase-11 to generate active caspase-11. After activation of inflammatory caspase, pro-IL-1</w:t>
      </w:r>
      <w:r w:rsidRPr="00CB6089">
        <w:rPr>
          <w:rFonts w:ascii="Helvetica" w:hAnsi="Helvetica"/>
        </w:rPr>
        <w:t xml:space="preserve"> β</w:t>
      </w:r>
      <w:r w:rsidRPr="00CB6089">
        <w:rPr>
          <w:rFonts w:ascii="Helvetica" w:hAnsi="Helvetica"/>
          <w:lang w:val="en-US"/>
        </w:rPr>
        <w:t xml:space="preserve"> and pro-IL-18 are cleaved into active IL-1</w:t>
      </w:r>
      <w:r w:rsidRPr="00CB6089">
        <w:rPr>
          <w:rFonts w:ascii="Helvetica" w:hAnsi="Helvetica"/>
        </w:rPr>
        <w:t xml:space="preserve"> β</w:t>
      </w:r>
      <w:r w:rsidRPr="00CB6089">
        <w:rPr>
          <w:rFonts w:ascii="Helvetica" w:hAnsi="Helvetica"/>
          <w:lang w:val="en-US"/>
        </w:rPr>
        <w:t xml:space="preserve"> and IL-18. The GSDMD portion connecting the N-end and C-end is rapidly cut to remove the inhibitory effect of the C-end on the N-end. Then, the N-terminal of GSDMD connects to phosphatidylinositol (PI) on the cell membrane, producing oligomerization and forming a “</w:t>
      </w:r>
      <w:proofErr w:type="spellStart"/>
      <w:r w:rsidRPr="00CB6089">
        <w:rPr>
          <w:rFonts w:ascii="Helvetica" w:hAnsi="Helvetica"/>
          <w:lang w:val="en-US"/>
        </w:rPr>
        <w:t>gasdermin</w:t>
      </w:r>
      <w:proofErr w:type="spellEnd"/>
      <w:r w:rsidRPr="00CB6089">
        <w:rPr>
          <w:rFonts w:ascii="Helvetica" w:hAnsi="Helvetica"/>
          <w:lang w:val="en-US"/>
        </w:rPr>
        <w:t xml:space="preserve"> channel”. Ion movement through this channel destroys the osmotic balance, leading to cell swelling, membrane dissolution, cell content release, and inflammatory response. Full English name of professional terms:</w:t>
      </w:r>
      <w:r w:rsidRPr="00CB6089">
        <w:rPr>
          <w:rFonts w:ascii="Helvetica" w:hAnsi="Helvetica"/>
        </w:rPr>
        <w:t xml:space="preserve"> PRRs</w:t>
      </w:r>
      <w:r w:rsidRPr="00CB6089">
        <w:rPr>
          <w:rFonts w:ascii="Helvetica" w:hAnsi="Helvetica"/>
          <w:lang w:val="en-US"/>
        </w:rPr>
        <w:t xml:space="preserve">: </w:t>
      </w:r>
      <w:r w:rsidRPr="00CB6089">
        <w:rPr>
          <w:rFonts w:ascii="Helvetica" w:hAnsi="Helvetica"/>
        </w:rPr>
        <w:t>Pattern recognition receptors</w:t>
      </w:r>
      <w:r w:rsidRPr="00CB6089">
        <w:rPr>
          <w:rFonts w:ascii="Helvetica" w:hAnsi="Helvetica"/>
          <w:lang w:val="en-US"/>
        </w:rPr>
        <w:t>.</w:t>
      </w:r>
      <w:r w:rsidRPr="00CB6089">
        <w:rPr>
          <w:rFonts w:ascii="Helvetica" w:hAnsi="Helvetica"/>
        </w:rPr>
        <w:t xml:space="preserve"> NLRP3</w:t>
      </w:r>
      <w:r w:rsidRPr="00CB6089">
        <w:rPr>
          <w:rFonts w:ascii="Helvetica" w:hAnsi="Helvetica"/>
          <w:lang w:val="en-US"/>
        </w:rPr>
        <w:t>:</w:t>
      </w:r>
      <w:r w:rsidRPr="00CB6089">
        <w:rPr>
          <w:rFonts w:ascii="Helvetica" w:hAnsi="Helvetica"/>
        </w:rPr>
        <w:t xml:space="preserve"> Nod-like receptor (NLR) family pyrin domain containing 3</w:t>
      </w:r>
      <w:r w:rsidRPr="00CB6089">
        <w:rPr>
          <w:rFonts w:ascii="Helvetica" w:hAnsi="Helvetica"/>
          <w:lang w:val="en-US"/>
        </w:rPr>
        <w:t>.</w:t>
      </w:r>
      <w:r w:rsidRPr="00CB6089">
        <w:rPr>
          <w:rFonts w:ascii="Helvetica" w:hAnsi="Helvetica"/>
        </w:rPr>
        <w:t xml:space="preserve"> NLRC4</w:t>
      </w:r>
      <w:r w:rsidRPr="00CB6089">
        <w:rPr>
          <w:rFonts w:ascii="Helvetica" w:hAnsi="Helvetica"/>
          <w:lang w:val="en-US"/>
        </w:rPr>
        <w:t>:</w:t>
      </w:r>
      <w:r w:rsidRPr="00CB6089">
        <w:rPr>
          <w:rFonts w:ascii="Helvetica" w:hAnsi="Helvetica"/>
        </w:rPr>
        <w:t xml:space="preserve"> NLR family caspase activation and recruitment domain (CARD) containing 4</w:t>
      </w:r>
      <w:r w:rsidRPr="00CB6089">
        <w:rPr>
          <w:rFonts w:ascii="Helvetica" w:hAnsi="Helvetica"/>
          <w:lang w:val="en-US"/>
        </w:rPr>
        <w:t>.</w:t>
      </w:r>
      <w:r w:rsidRPr="00CB6089">
        <w:rPr>
          <w:rFonts w:ascii="Helvetica" w:hAnsi="Helvetica"/>
        </w:rPr>
        <w:t xml:space="preserve"> NLRP1B</w:t>
      </w:r>
      <w:r w:rsidRPr="00CB6089">
        <w:rPr>
          <w:rFonts w:ascii="Helvetica" w:hAnsi="Helvetica"/>
          <w:lang w:val="en-US"/>
        </w:rPr>
        <w:t>:</w:t>
      </w:r>
      <w:r w:rsidRPr="00CB6089">
        <w:rPr>
          <w:rFonts w:ascii="Helvetica" w:hAnsi="Helvetica"/>
        </w:rPr>
        <w:t xml:space="preserve"> NLR family pyrin domain -containing 1B</w:t>
      </w:r>
      <w:r w:rsidRPr="00CB6089">
        <w:rPr>
          <w:rFonts w:ascii="Helvetica" w:hAnsi="Helvetica"/>
          <w:lang w:val="en-US"/>
        </w:rPr>
        <w:t>.</w:t>
      </w:r>
      <w:r w:rsidRPr="00CB6089">
        <w:rPr>
          <w:rFonts w:ascii="Helvetica" w:hAnsi="Helvetica"/>
        </w:rPr>
        <w:t xml:space="preserve"> ASC</w:t>
      </w:r>
      <w:r w:rsidRPr="00CB6089">
        <w:rPr>
          <w:rFonts w:ascii="Helvetica" w:hAnsi="Helvetica"/>
          <w:lang w:val="en-US"/>
        </w:rPr>
        <w:t>:</w:t>
      </w:r>
      <w:r w:rsidRPr="00CB6089">
        <w:rPr>
          <w:rFonts w:ascii="Helvetica" w:hAnsi="Helvetica"/>
        </w:rPr>
        <w:t xml:space="preserve"> apoptosis-associated speck-like protein contain a CARD</w:t>
      </w:r>
      <w:r w:rsidRPr="00CB6089">
        <w:rPr>
          <w:rFonts w:ascii="Helvetica" w:hAnsi="Helvetica"/>
          <w:lang w:val="en-US"/>
        </w:rPr>
        <w:t>.</w:t>
      </w:r>
    </w:p>
    <w:p w14:paraId="398FE7C7" w14:textId="77777777" w:rsidR="00CB6089" w:rsidRPr="00CB6089" w:rsidRDefault="00CB6089" w:rsidP="00CB6089">
      <w:pPr>
        <w:rPr>
          <w:rFonts w:ascii="Helvetica" w:hAnsi="Helvetica"/>
        </w:rPr>
      </w:pPr>
      <w:r w:rsidRPr="00CB6089">
        <w:rPr>
          <w:rFonts w:ascii="Helvetica" w:hAnsi="Helvetica"/>
        </w:rPr>
        <w:t xml:space="preserve">B. </w:t>
      </w:r>
      <w:r w:rsidRPr="00CB6089">
        <w:rPr>
          <w:rFonts w:ascii="Helvetica" w:hAnsi="Helvetica"/>
          <w:lang w:val="en-US"/>
        </w:rPr>
        <w:t xml:space="preserve">The relationship between the NF- </w:t>
      </w:r>
      <w:r w:rsidRPr="00CB6089">
        <w:rPr>
          <w:rFonts w:ascii="Helvetica" w:hAnsi="Helvetica"/>
          <w:lang w:val="el-GR"/>
        </w:rPr>
        <w:t>κ</w:t>
      </w:r>
      <w:r w:rsidRPr="00CB6089">
        <w:rPr>
          <w:rFonts w:ascii="Helvetica" w:hAnsi="Helvetica"/>
          <w:lang w:val="en-US"/>
        </w:rPr>
        <w:t xml:space="preserve">B signaling pathway and cell death. TNFR received NF- </w:t>
      </w:r>
      <w:r w:rsidRPr="00CB6089">
        <w:rPr>
          <w:rFonts w:ascii="Helvetica" w:hAnsi="Helvetica"/>
          <w:lang w:val="el-GR"/>
        </w:rPr>
        <w:t xml:space="preserve">κ </w:t>
      </w:r>
      <w:r w:rsidRPr="00CB6089">
        <w:rPr>
          <w:rFonts w:ascii="Helvetica" w:hAnsi="Helvetica"/>
          <w:lang w:val="en-US"/>
        </w:rPr>
        <w:t xml:space="preserve">After the B signal, different complexes are formed within the cells, including Complex I, Complex </w:t>
      </w:r>
      <w:proofErr w:type="spellStart"/>
      <w:r w:rsidRPr="00CB6089">
        <w:rPr>
          <w:rFonts w:ascii="Helvetica" w:hAnsi="Helvetica"/>
          <w:lang w:val="en-US"/>
        </w:rPr>
        <w:t>Iia</w:t>
      </w:r>
      <w:proofErr w:type="spellEnd"/>
      <w:r w:rsidRPr="00CB6089">
        <w:rPr>
          <w:rFonts w:ascii="Helvetica" w:hAnsi="Helvetica"/>
          <w:lang w:val="en-US"/>
        </w:rPr>
        <w:t xml:space="preserve">, and Complex </w:t>
      </w:r>
      <w:proofErr w:type="spellStart"/>
      <w:r w:rsidRPr="00CB6089">
        <w:rPr>
          <w:rFonts w:ascii="Helvetica" w:hAnsi="Helvetica"/>
          <w:lang w:val="en-US"/>
        </w:rPr>
        <w:t>Iib</w:t>
      </w:r>
      <w:proofErr w:type="spellEnd"/>
      <w:r w:rsidRPr="00CB6089">
        <w:rPr>
          <w:rFonts w:ascii="Helvetica" w:hAnsi="Helvetica"/>
          <w:lang w:val="en-US"/>
        </w:rPr>
        <w:t xml:space="preserve">, which respectively regulate the expression of inflammatory genes and cell survival, apoptosis, and necrosis. IAP induced RIPK1 ubiquitination leading to NF- </w:t>
      </w:r>
      <w:r w:rsidRPr="00CB6089">
        <w:rPr>
          <w:rFonts w:ascii="Helvetica" w:hAnsi="Helvetica"/>
          <w:lang w:val="el-GR"/>
        </w:rPr>
        <w:t xml:space="preserve">κ </w:t>
      </w:r>
      <w:r w:rsidRPr="00CB6089">
        <w:rPr>
          <w:rFonts w:ascii="Helvetica" w:hAnsi="Helvetica"/>
          <w:lang w:val="en-US"/>
        </w:rPr>
        <w:t xml:space="preserve">Activation of B and subsequent inflammatory cascade, as well as phosphorylation of RIPK1 at Ser320 site. </w:t>
      </w:r>
      <w:proofErr w:type="spellStart"/>
      <w:r w:rsidRPr="00CB6089">
        <w:rPr>
          <w:rFonts w:ascii="Helvetica" w:hAnsi="Helvetica"/>
          <w:lang w:val="en-US"/>
        </w:rPr>
        <w:t>Deubiquitinases</w:t>
      </w:r>
      <w:proofErr w:type="spellEnd"/>
      <w:r w:rsidRPr="00CB6089">
        <w:rPr>
          <w:rFonts w:ascii="Helvetica" w:hAnsi="Helvetica"/>
          <w:lang w:val="en-US"/>
        </w:rPr>
        <w:t xml:space="preserve"> such as CYLD and A20 can inhibit complex I, thereby promoting the interaction between RIPK1 and caspase-8, as well as the death inducing complex </w:t>
      </w:r>
      <w:proofErr w:type="spellStart"/>
      <w:r w:rsidRPr="00CB6089">
        <w:rPr>
          <w:rFonts w:ascii="Helvetica" w:hAnsi="Helvetica"/>
          <w:lang w:val="en-US"/>
        </w:rPr>
        <w:t>IIa</w:t>
      </w:r>
      <w:proofErr w:type="spellEnd"/>
      <w:r w:rsidRPr="00CB6089">
        <w:rPr>
          <w:rFonts w:ascii="Helvetica" w:hAnsi="Helvetica"/>
          <w:lang w:val="en-US"/>
        </w:rPr>
        <w:t xml:space="preserve"> </w:t>
      </w:r>
      <w:r w:rsidRPr="00CB6089">
        <w:rPr>
          <w:rFonts w:ascii="Helvetica" w:hAnsi="Helvetica"/>
          <w:lang w:val="en-US"/>
        </w:rPr>
        <w:lastRenderedPageBreak/>
        <w:t>pathway. The interaction with RIPK3 is necessary for complex IIb signal transduction and necroptosis. Caspase-8 activity can inhibit necrotic apoptosis by cleaving RIPK1 and RIPK3.</w:t>
      </w:r>
    </w:p>
    <w:p w14:paraId="0BCD01AB" w14:textId="77777777" w:rsidR="00D959C8" w:rsidRPr="000F3ED1" w:rsidRDefault="00D959C8" w:rsidP="004E6F74">
      <w:pPr>
        <w:rPr>
          <w:rFonts w:ascii="Helvetica" w:hAnsi="Helvetica"/>
        </w:rPr>
      </w:pPr>
    </w:p>
    <w:p w14:paraId="6CFF0D03" w14:textId="77777777" w:rsidR="00D439D4" w:rsidRDefault="00D439D4">
      <w:pPr>
        <w:rPr>
          <w:rFonts w:ascii="Helvetica" w:hAnsi="Helvetica"/>
          <w:lang w:val="en-US"/>
        </w:rPr>
      </w:pPr>
      <w:r>
        <w:rPr>
          <w:rFonts w:ascii="Helvetica" w:hAnsi="Helvetica"/>
          <w:lang w:val="en-US"/>
        </w:rPr>
        <w:br w:type="page"/>
      </w:r>
    </w:p>
    <w:p w14:paraId="7064202F" w14:textId="10062D88" w:rsidR="00CB6089" w:rsidRDefault="00D439D4">
      <w:pPr>
        <w:rPr>
          <w:rFonts w:ascii="Helvetica" w:hAnsi="Helvetica"/>
          <w:lang w:val="en-US"/>
        </w:rPr>
      </w:pPr>
      <w:r>
        <w:rPr>
          <w:rFonts w:ascii="Helvetica" w:hAnsi="Helvetica"/>
          <w:noProof/>
          <w:lang w:val="en-US"/>
        </w:rPr>
        <w:lastRenderedPageBreak/>
        <w:drawing>
          <wp:inline distT="0" distB="0" distL="0" distR="0" wp14:anchorId="0EC5CC51" wp14:editId="2BAF19B0">
            <wp:extent cx="5943600" cy="5145405"/>
            <wp:effectExtent l="0" t="0" r="0" b="0"/>
            <wp:docPr id="7391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10200" name="Picture 73910200"/>
                    <pic:cNvPicPr/>
                  </pic:nvPicPr>
                  <pic:blipFill>
                    <a:blip r:embed="rId5">
                      <a:extLst>
                        <a:ext uri="{28A0092B-C50C-407E-A947-70E740481C1C}">
                          <a14:useLocalDpi xmlns:a14="http://schemas.microsoft.com/office/drawing/2010/main" val="0"/>
                        </a:ext>
                      </a:extLst>
                    </a:blip>
                    <a:stretch>
                      <a:fillRect/>
                    </a:stretch>
                  </pic:blipFill>
                  <pic:spPr>
                    <a:xfrm>
                      <a:off x="0" y="0"/>
                      <a:ext cx="5943600" cy="5145405"/>
                    </a:xfrm>
                    <a:prstGeom prst="rect">
                      <a:avLst/>
                    </a:prstGeom>
                  </pic:spPr>
                </pic:pic>
              </a:graphicData>
            </a:graphic>
          </wp:inline>
        </w:drawing>
      </w:r>
    </w:p>
    <w:p w14:paraId="31CF13C1" w14:textId="77777777" w:rsidR="00D439D4" w:rsidRPr="00D439D4" w:rsidRDefault="00D439D4" w:rsidP="00D439D4">
      <w:pPr>
        <w:rPr>
          <w:rFonts w:ascii="Helvetica" w:hAnsi="Helvetica"/>
        </w:rPr>
      </w:pPr>
      <w:r w:rsidRPr="00D439D4">
        <w:rPr>
          <w:rFonts w:ascii="Helvetica" w:hAnsi="Helvetica"/>
          <w:b/>
          <w:bCs/>
          <w:lang w:val="en-US"/>
        </w:rPr>
        <w:t>Extended</w:t>
      </w:r>
      <w:r w:rsidRPr="00D439D4">
        <w:rPr>
          <w:rFonts w:ascii="Helvetica" w:hAnsi="Helvetica"/>
          <w:b/>
          <w:bCs/>
        </w:rPr>
        <w:t xml:space="preserve"> </w:t>
      </w:r>
      <w:r w:rsidRPr="00D439D4">
        <w:rPr>
          <w:rFonts w:ascii="Helvetica" w:hAnsi="Helvetica"/>
          <w:b/>
          <w:bCs/>
          <w:lang w:val="en-US"/>
        </w:rPr>
        <w:t>Fig.</w:t>
      </w:r>
      <w:r w:rsidRPr="00D439D4">
        <w:rPr>
          <w:rFonts w:ascii="Helvetica" w:hAnsi="Helvetica"/>
          <w:b/>
          <w:bCs/>
        </w:rPr>
        <w:t xml:space="preserve"> </w:t>
      </w:r>
      <w:r w:rsidRPr="00D439D4">
        <w:rPr>
          <w:rFonts w:ascii="Helvetica" w:hAnsi="Helvetica"/>
          <w:b/>
          <w:bCs/>
          <w:lang w:val="en-US"/>
        </w:rPr>
        <w:t>2</w:t>
      </w:r>
      <w:r w:rsidRPr="00D439D4">
        <w:rPr>
          <w:rFonts w:ascii="Helvetica" w:hAnsi="Helvetica"/>
          <w:b/>
          <w:bCs/>
        </w:rPr>
        <w:t xml:space="preserve"> </w:t>
      </w:r>
      <w:r w:rsidRPr="00D439D4">
        <w:rPr>
          <w:rFonts w:ascii="Helvetica" w:hAnsi="Helvetica"/>
          <w:b/>
          <w:bCs/>
          <w:lang w:val="en-US"/>
        </w:rPr>
        <w:t>|</w:t>
      </w:r>
      <w:r w:rsidRPr="00D439D4">
        <w:rPr>
          <w:rFonts w:ascii="Helvetica" w:hAnsi="Helvetica"/>
          <w:b/>
          <w:bCs/>
        </w:rPr>
        <w:t xml:space="preserve"> </w:t>
      </w:r>
      <w:proofErr w:type="spellStart"/>
      <w:r w:rsidRPr="00D439D4">
        <w:rPr>
          <w:rFonts w:ascii="Helvetica" w:hAnsi="Helvetica"/>
          <w:b/>
          <w:bCs/>
          <w:lang w:val="en-US"/>
        </w:rPr>
        <w:t>Pyroptosis</w:t>
      </w:r>
      <w:proofErr w:type="spellEnd"/>
      <w:r w:rsidRPr="00D439D4">
        <w:rPr>
          <w:rFonts w:ascii="Helvetica" w:hAnsi="Helvetica"/>
          <w:b/>
          <w:bCs/>
          <w:lang w:val="en-US"/>
        </w:rPr>
        <w:t xml:space="preserve"> cell model 293-tetO-GD-NT is set up to study the regulation mechanisms of </w:t>
      </w:r>
      <w:proofErr w:type="spellStart"/>
      <w:r w:rsidRPr="00D439D4">
        <w:rPr>
          <w:rFonts w:ascii="Helvetica" w:hAnsi="Helvetica"/>
          <w:b/>
          <w:bCs/>
          <w:lang w:val="en-US"/>
        </w:rPr>
        <w:t>pyroptosis</w:t>
      </w:r>
      <w:proofErr w:type="spellEnd"/>
      <w:r w:rsidRPr="00D439D4">
        <w:rPr>
          <w:rFonts w:ascii="Helvetica" w:hAnsi="Helvetica"/>
          <w:b/>
          <w:bCs/>
          <w:lang w:val="en-US"/>
        </w:rPr>
        <w:t xml:space="preserve">. </w:t>
      </w:r>
    </w:p>
    <w:p w14:paraId="70359F17" w14:textId="4808ADF3" w:rsidR="00D439D4" w:rsidRPr="00D439D4" w:rsidRDefault="00D439D4" w:rsidP="00D439D4">
      <w:pPr>
        <w:rPr>
          <w:rFonts w:ascii="Helvetica" w:hAnsi="Helvetica"/>
        </w:rPr>
      </w:pPr>
      <w:r w:rsidRPr="00D439D4">
        <w:rPr>
          <w:rFonts w:ascii="Helvetica" w:hAnsi="Helvetica"/>
          <w:lang w:val="en-US"/>
        </w:rPr>
        <w:t>A. Tetracycline on (</w:t>
      </w:r>
      <w:proofErr w:type="spellStart"/>
      <w:r w:rsidRPr="00D439D4">
        <w:rPr>
          <w:rFonts w:ascii="Helvetica" w:hAnsi="Helvetica"/>
          <w:lang w:val="en-US"/>
        </w:rPr>
        <w:t>TetOn</w:t>
      </w:r>
      <w:proofErr w:type="spellEnd"/>
      <w:r w:rsidRPr="00D439D4">
        <w:rPr>
          <w:rFonts w:ascii="Helvetica" w:hAnsi="Helvetica"/>
          <w:lang w:val="en-US"/>
        </w:rPr>
        <w:t>) system uses tetracycline (or one of its analogs like doxycycline) as a regulator of gene expression. Tetracycline-dependent promoter is created by placing a TRE upstream of a minimal promoter. TRE is 7 repeats of tetracycline operator (</w:t>
      </w:r>
      <w:proofErr w:type="spellStart"/>
      <w:r w:rsidRPr="00D439D4">
        <w:rPr>
          <w:rFonts w:ascii="Helvetica" w:hAnsi="Helvetica"/>
          <w:lang w:val="en-US"/>
        </w:rPr>
        <w:t>tetO</w:t>
      </w:r>
      <w:proofErr w:type="spellEnd"/>
      <w:r w:rsidRPr="00D439D4">
        <w:rPr>
          <w:rFonts w:ascii="Helvetica" w:hAnsi="Helvetica"/>
          <w:lang w:val="en-US"/>
        </w:rPr>
        <w:t xml:space="preserve">) sequence and is recognized by </w:t>
      </w:r>
      <w:r w:rsidRPr="00D439D4">
        <w:rPr>
          <w:rFonts w:ascii="Helvetica" w:hAnsi="Helvetica"/>
          <w:b/>
          <w:bCs/>
          <w:lang w:val="en-US"/>
        </w:rPr>
        <w:t>r</w:t>
      </w:r>
      <w:r w:rsidRPr="00D439D4">
        <w:rPr>
          <w:rFonts w:ascii="Helvetica" w:hAnsi="Helvetica"/>
          <w:lang w:val="en-US"/>
        </w:rPr>
        <w:t>everse </w:t>
      </w:r>
      <w:r w:rsidRPr="00D439D4">
        <w:rPr>
          <w:rFonts w:ascii="Helvetica" w:hAnsi="Helvetica"/>
          <w:b/>
          <w:bCs/>
          <w:lang w:val="en-US"/>
        </w:rPr>
        <w:t>t</w:t>
      </w:r>
      <w:r w:rsidRPr="00D439D4">
        <w:rPr>
          <w:rFonts w:ascii="Helvetica" w:hAnsi="Helvetica"/>
          <w:lang w:val="en-US"/>
        </w:rPr>
        <w:t>etracycline-controlled </w:t>
      </w:r>
      <w:proofErr w:type="spellStart"/>
      <w:r w:rsidRPr="00D439D4">
        <w:rPr>
          <w:rFonts w:ascii="Helvetica" w:hAnsi="Helvetica"/>
          <w:b/>
          <w:bCs/>
          <w:lang w:val="en-US"/>
        </w:rPr>
        <w:t>t</w:t>
      </w:r>
      <w:r w:rsidRPr="00D439D4">
        <w:rPr>
          <w:rFonts w:ascii="Helvetica" w:hAnsi="Helvetica"/>
          <w:lang w:val="en-US"/>
        </w:rPr>
        <w:t>rans</w:t>
      </w:r>
      <w:r w:rsidRPr="00D439D4">
        <w:rPr>
          <w:rFonts w:ascii="Helvetica" w:hAnsi="Helvetica"/>
          <w:b/>
          <w:bCs/>
          <w:lang w:val="en-US"/>
        </w:rPr>
        <w:t>a</w:t>
      </w:r>
      <w:r w:rsidRPr="00D439D4">
        <w:rPr>
          <w:rFonts w:ascii="Helvetica" w:hAnsi="Helvetica"/>
          <w:lang w:val="en-US"/>
        </w:rPr>
        <w:t>ctivator</w:t>
      </w:r>
      <w:proofErr w:type="spellEnd"/>
      <w:r w:rsidRPr="00D439D4">
        <w:rPr>
          <w:rFonts w:ascii="Helvetica" w:hAnsi="Helvetica"/>
          <w:lang w:val="en-US"/>
        </w:rPr>
        <w:t xml:space="preserve"> (</w:t>
      </w:r>
      <w:proofErr w:type="spellStart"/>
      <w:r w:rsidRPr="00D439D4">
        <w:rPr>
          <w:rFonts w:ascii="Helvetica" w:hAnsi="Helvetica"/>
          <w:lang w:val="en-US"/>
        </w:rPr>
        <w:t>rtTA</w:t>
      </w:r>
      <w:proofErr w:type="spellEnd"/>
      <w:r w:rsidRPr="00D439D4">
        <w:rPr>
          <w:rFonts w:ascii="Helvetica" w:hAnsi="Helvetica"/>
          <w:lang w:val="en-US"/>
        </w:rPr>
        <w:t xml:space="preserve">). In the presence of tetracycline or one of its analogs like doxycycline (Dox), </w:t>
      </w:r>
      <w:proofErr w:type="spellStart"/>
      <w:r w:rsidRPr="00D439D4">
        <w:rPr>
          <w:rFonts w:ascii="Helvetica" w:hAnsi="Helvetica"/>
          <w:lang w:val="en-US"/>
        </w:rPr>
        <w:t>rtTA</w:t>
      </w:r>
      <w:proofErr w:type="spellEnd"/>
      <w:r w:rsidRPr="00D439D4">
        <w:rPr>
          <w:rFonts w:ascii="Helvetica" w:hAnsi="Helvetica"/>
          <w:lang w:val="en-US"/>
        </w:rPr>
        <w:t xml:space="preserve"> binds to the TRE and tetracycline, permitting transcription. To create 293-tetO-GD-NT cells, HEK293 cells were transduced with lentivirus to express Dox-inducible GD-NT. </w:t>
      </w:r>
    </w:p>
    <w:p w14:paraId="5425163D" w14:textId="77777777" w:rsidR="00D439D4" w:rsidRPr="00D439D4" w:rsidRDefault="00D439D4" w:rsidP="00D439D4">
      <w:pPr>
        <w:rPr>
          <w:rFonts w:ascii="Helvetica" w:hAnsi="Helvetica"/>
        </w:rPr>
      </w:pPr>
      <w:r w:rsidRPr="00D439D4">
        <w:rPr>
          <w:rFonts w:ascii="Helvetica" w:hAnsi="Helvetica"/>
          <w:lang w:val="en-US"/>
        </w:rPr>
        <w:t>B. Immunoblot (IB) analysis of 293-tetO-GD-NT cells. Cells were treated with Dox (2 µg/ml) and harvested at different time points to obtain whole cell lysate (WCL). IB analysis of WCL was performed with different antibodies. β-actin served as internal control.</w:t>
      </w:r>
    </w:p>
    <w:p w14:paraId="2DD2F6C1" w14:textId="77777777" w:rsidR="00D439D4" w:rsidRPr="00D439D4" w:rsidRDefault="00D439D4" w:rsidP="00D439D4">
      <w:pPr>
        <w:rPr>
          <w:rFonts w:ascii="Helvetica" w:hAnsi="Helvetica"/>
        </w:rPr>
      </w:pPr>
      <w:r w:rsidRPr="00D439D4">
        <w:rPr>
          <w:rFonts w:ascii="Helvetica" w:hAnsi="Helvetica"/>
          <w:lang w:val="en-US"/>
        </w:rPr>
        <w:t>C. Similar to (B), except that the cells were subjected to ATP-based Cell Viability Assay.</w:t>
      </w:r>
    </w:p>
    <w:p w14:paraId="115126BA" w14:textId="77777777" w:rsidR="00D439D4" w:rsidRPr="00D439D4" w:rsidRDefault="00D439D4" w:rsidP="00D439D4">
      <w:pPr>
        <w:rPr>
          <w:rFonts w:ascii="Helvetica" w:hAnsi="Helvetica"/>
        </w:rPr>
      </w:pPr>
      <w:r w:rsidRPr="00D439D4">
        <w:rPr>
          <w:rFonts w:ascii="Helvetica" w:hAnsi="Helvetica"/>
          <w:lang w:val="en-US"/>
        </w:rPr>
        <w:t>D. Similar to (B), except that the cells were subjected to LDH-based Cytotoxicity Assay.</w:t>
      </w:r>
    </w:p>
    <w:p w14:paraId="71477486" w14:textId="77777777" w:rsidR="00D439D4" w:rsidRPr="00D439D4" w:rsidRDefault="00D439D4" w:rsidP="00D439D4">
      <w:pPr>
        <w:rPr>
          <w:rFonts w:ascii="Helvetica" w:hAnsi="Helvetica"/>
        </w:rPr>
      </w:pPr>
      <w:r w:rsidRPr="00D439D4">
        <w:rPr>
          <w:rFonts w:ascii="Helvetica" w:hAnsi="Helvetica"/>
          <w:lang w:val="en-US"/>
        </w:rPr>
        <w:lastRenderedPageBreak/>
        <w:t>E. Similar to (B), except that the morphological changes were observed using phase-contrast imaging (upper panel). Dying cells were stained with DAPI for fluorescent microscope imaging (lower panel).</w:t>
      </w:r>
    </w:p>
    <w:p w14:paraId="5D4E3968" w14:textId="77777777" w:rsidR="00D439D4" w:rsidRPr="00D439D4" w:rsidRDefault="00D439D4" w:rsidP="00D439D4">
      <w:pPr>
        <w:rPr>
          <w:rFonts w:ascii="Helvetica" w:hAnsi="Helvetica"/>
        </w:rPr>
      </w:pPr>
      <w:r w:rsidRPr="00D439D4">
        <w:rPr>
          <w:rFonts w:ascii="Helvetica" w:hAnsi="Helvetica"/>
          <w:lang w:val="en-US"/>
        </w:rPr>
        <w:t xml:space="preserve">F. Similar to (B), except that cell death was analyzed by flow cytometry using apoptosis-Annexin V/PI staining kit. </w:t>
      </w:r>
    </w:p>
    <w:p w14:paraId="034BBFEB" w14:textId="580D68B6" w:rsidR="00D439D4" w:rsidRDefault="00D439D4">
      <w:pPr>
        <w:rPr>
          <w:rFonts w:ascii="Helvetica" w:hAnsi="Helvetica"/>
        </w:rPr>
      </w:pPr>
      <w:r>
        <w:rPr>
          <w:rFonts w:ascii="Helvetica" w:hAnsi="Helvetica"/>
        </w:rPr>
        <w:br w:type="page"/>
      </w:r>
    </w:p>
    <w:p w14:paraId="1576F1B3" w14:textId="77777777" w:rsidR="00D439D4" w:rsidRPr="00D439D4" w:rsidRDefault="00D439D4">
      <w:pPr>
        <w:rPr>
          <w:rFonts w:ascii="Helvetica" w:hAnsi="Helvetica"/>
        </w:rPr>
      </w:pPr>
    </w:p>
    <w:p w14:paraId="6387B79E" w14:textId="7B2C76E6" w:rsidR="00CB6089" w:rsidRDefault="00CB6089">
      <w:pPr>
        <w:rPr>
          <w:rFonts w:ascii="Helvetica" w:hAnsi="Helvetica"/>
          <w:lang w:val="en-US"/>
        </w:rPr>
      </w:pPr>
      <w:r>
        <w:rPr>
          <w:rFonts w:ascii="Helvetica" w:hAnsi="Helvetica"/>
          <w:noProof/>
          <w:lang w:val="en-US"/>
        </w:rPr>
        <w:drawing>
          <wp:inline distT="0" distB="0" distL="0" distR="0" wp14:anchorId="73DA5441" wp14:editId="25D2B654">
            <wp:extent cx="4953000" cy="4356100"/>
            <wp:effectExtent l="0" t="0" r="0" b="0"/>
            <wp:docPr id="13406228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622883" name="Picture 1340622883"/>
                    <pic:cNvPicPr/>
                  </pic:nvPicPr>
                  <pic:blipFill>
                    <a:blip r:embed="rId6">
                      <a:extLst>
                        <a:ext uri="{28A0092B-C50C-407E-A947-70E740481C1C}">
                          <a14:useLocalDpi xmlns:a14="http://schemas.microsoft.com/office/drawing/2010/main" val="0"/>
                        </a:ext>
                      </a:extLst>
                    </a:blip>
                    <a:stretch>
                      <a:fillRect/>
                    </a:stretch>
                  </pic:blipFill>
                  <pic:spPr>
                    <a:xfrm>
                      <a:off x="0" y="0"/>
                      <a:ext cx="4953000" cy="4356100"/>
                    </a:xfrm>
                    <a:prstGeom prst="rect">
                      <a:avLst/>
                    </a:prstGeom>
                  </pic:spPr>
                </pic:pic>
              </a:graphicData>
            </a:graphic>
          </wp:inline>
        </w:drawing>
      </w:r>
    </w:p>
    <w:p w14:paraId="23D09CD4" w14:textId="708B6BC2" w:rsidR="00CB6089" w:rsidRPr="00CB6089" w:rsidRDefault="00CB6089" w:rsidP="00CB6089">
      <w:pPr>
        <w:rPr>
          <w:rFonts w:ascii="Helvetica" w:hAnsi="Helvetica"/>
        </w:rPr>
      </w:pPr>
      <w:r w:rsidRPr="00CB6089">
        <w:rPr>
          <w:rFonts w:ascii="Helvetica" w:hAnsi="Helvetica"/>
          <w:b/>
          <w:bCs/>
          <w:lang w:val="en-US"/>
        </w:rPr>
        <w:t xml:space="preserve">Extended </w:t>
      </w:r>
      <w:r w:rsidRPr="00CB6089">
        <w:rPr>
          <w:rFonts w:ascii="Helvetica" w:hAnsi="Helvetica"/>
          <w:b/>
          <w:bCs/>
        </w:rPr>
        <w:t>Fig.</w:t>
      </w:r>
      <w:r w:rsidRPr="00CB6089">
        <w:rPr>
          <w:rFonts w:ascii="Helvetica" w:hAnsi="Helvetica"/>
          <w:b/>
          <w:bCs/>
          <w:lang w:val="en-US"/>
        </w:rPr>
        <w:t xml:space="preserve"> </w:t>
      </w:r>
      <w:r w:rsidR="00D439D4">
        <w:rPr>
          <w:rFonts w:ascii="Helvetica" w:hAnsi="Helvetica"/>
          <w:b/>
          <w:bCs/>
          <w:lang w:val="en-US"/>
        </w:rPr>
        <w:t>3</w:t>
      </w:r>
      <w:r w:rsidRPr="00CB6089">
        <w:rPr>
          <w:rFonts w:ascii="Helvetica" w:hAnsi="Helvetica"/>
          <w:b/>
          <w:bCs/>
        </w:rPr>
        <w:t xml:space="preserve"> </w:t>
      </w:r>
      <w:r w:rsidRPr="00CB6089">
        <w:rPr>
          <w:rFonts w:ascii="Helvetica" w:hAnsi="Helvetica"/>
          <w:b/>
          <w:bCs/>
          <w:lang w:val="en-US"/>
        </w:rPr>
        <w:t>|</w:t>
      </w:r>
      <w:r w:rsidRPr="00CB6089">
        <w:rPr>
          <w:rFonts w:ascii="Helvetica" w:hAnsi="Helvetica"/>
          <w:b/>
          <w:bCs/>
        </w:rPr>
        <w:t xml:space="preserve"> </w:t>
      </w:r>
      <w:r w:rsidRPr="00CB6089">
        <w:rPr>
          <w:rFonts w:ascii="Helvetica" w:hAnsi="Helvetica"/>
          <w:b/>
          <w:bCs/>
          <w:lang w:val="en-US"/>
        </w:rPr>
        <w:t xml:space="preserve">PTMs contributes the regulation of </w:t>
      </w:r>
      <w:proofErr w:type="spellStart"/>
      <w:r w:rsidRPr="00CB6089">
        <w:rPr>
          <w:rFonts w:ascii="Helvetica" w:hAnsi="Helvetica"/>
          <w:b/>
          <w:bCs/>
          <w:lang w:val="en-US"/>
        </w:rPr>
        <w:t>gasdermin</w:t>
      </w:r>
      <w:proofErr w:type="spellEnd"/>
      <w:r w:rsidRPr="00CB6089">
        <w:rPr>
          <w:rFonts w:ascii="Helvetica" w:hAnsi="Helvetica"/>
          <w:b/>
          <w:bCs/>
          <w:lang w:val="en-US"/>
        </w:rPr>
        <w:t xml:space="preserve"> activity.</w:t>
      </w:r>
    </w:p>
    <w:p w14:paraId="151D49A9" w14:textId="77777777" w:rsidR="00CB6089" w:rsidRPr="00CB6089" w:rsidRDefault="00CB6089" w:rsidP="00CB6089">
      <w:pPr>
        <w:rPr>
          <w:rFonts w:ascii="Helvetica" w:hAnsi="Helvetica"/>
        </w:rPr>
      </w:pPr>
      <w:r w:rsidRPr="00CB6089">
        <w:rPr>
          <w:rFonts w:ascii="Helvetica" w:hAnsi="Helvetica"/>
        </w:rPr>
        <w:t>A. Succination inactivates GSDMD and blocks pyroptosis. The intermediate of the tricarboxylic acid cycle, fumarate, and its dimethyl DMF react with the cysteine residue of GSDMD to form S - (2-butyryl) - cysteine, also known as " Succination ". Succination prevents the interaction between GSDMD and caspase-11, making it impossible for GSDMD to be processed and produce the active fragment GD-NT with the ability to kill cells.</w:t>
      </w:r>
    </w:p>
    <w:p w14:paraId="1F9F874D" w14:textId="77777777" w:rsidR="00CB6089" w:rsidRPr="00CB6089" w:rsidRDefault="00CB6089" w:rsidP="00CB6089">
      <w:pPr>
        <w:rPr>
          <w:rFonts w:ascii="Helvetica" w:hAnsi="Helvetica"/>
        </w:rPr>
      </w:pPr>
      <w:r w:rsidRPr="00CB6089">
        <w:rPr>
          <w:rFonts w:ascii="Helvetica" w:hAnsi="Helvetica"/>
        </w:rPr>
        <w:t xml:space="preserve">B. </w:t>
      </w:r>
      <w:r w:rsidRPr="00CB6089">
        <w:rPr>
          <w:rFonts w:ascii="Helvetica" w:hAnsi="Helvetica"/>
          <w:lang w:val="en-US"/>
        </w:rPr>
        <w:t xml:space="preserve">Palmitoylation enhances </w:t>
      </w:r>
      <w:r w:rsidRPr="00CB6089">
        <w:rPr>
          <w:rFonts w:ascii="Helvetica" w:hAnsi="Helvetica"/>
        </w:rPr>
        <w:t xml:space="preserve">GD-NT-mediated pyroptosis. </w:t>
      </w:r>
      <w:r w:rsidRPr="00CB6089">
        <w:rPr>
          <w:rFonts w:ascii="Helvetica" w:hAnsi="Helvetica"/>
          <w:lang w:val="en-US"/>
        </w:rPr>
        <w:t xml:space="preserve">Fatty acid synthase (FASN) as a GSDMD- binding partner. S-palmitoylation of GSDMD at Cys191/192 (human/mouse) catalyzed by palmitoyl acyltransferases ZDHHC5 and ZDHHC9 directly mediates membrane translocation of GSDMD-NT but not full-length GSDMD. </w:t>
      </w:r>
    </w:p>
    <w:p w14:paraId="46166393" w14:textId="77777777" w:rsidR="00CB6089" w:rsidRPr="00CB6089" w:rsidRDefault="00CB6089" w:rsidP="00CB6089">
      <w:pPr>
        <w:rPr>
          <w:rFonts w:ascii="Helvetica" w:hAnsi="Helvetica"/>
        </w:rPr>
      </w:pPr>
      <w:r w:rsidRPr="00CB6089">
        <w:rPr>
          <w:rFonts w:ascii="Helvetica" w:hAnsi="Helvetica"/>
        </w:rPr>
        <w:t xml:space="preserve">C. AMPK suppresses GD-NT-mediated pyroptosis. The cytolytic activity of GD-NT is negatively regulated by AMP activated protein kinase (AMPK). In terms of molecular mechanism, AMPK α 1 and AMPK α Combining with GD-NT, the Ser46 of the latter undergoes phosphorylation modification. </w:t>
      </w:r>
    </w:p>
    <w:p w14:paraId="445746CB" w14:textId="77777777" w:rsidR="00CB6089" w:rsidRPr="00CB6089" w:rsidRDefault="00CB6089">
      <w:pPr>
        <w:rPr>
          <w:rFonts w:ascii="Helvetica" w:hAnsi="Helvetica"/>
        </w:rPr>
      </w:pPr>
    </w:p>
    <w:p w14:paraId="0E5F032C" w14:textId="5AD70C3E" w:rsidR="00CB6089" w:rsidRDefault="00CB6089">
      <w:pPr>
        <w:rPr>
          <w:rFonts w:ascii="Helvetica" w:hAnsi="Helvetica"/>
          <w:lang w:val="en-US"/>
        </w:rPr>
      </w:pPr>
    </w:p>
    <w:p w14:paraId="7B468130" w14:textId="77777777" w:rsidR="003903AE" w:rsidRDefault="003903AE">
      <w:pPr>
        <w:rPr>
          <w:rFonts w:ascii="Helvetica" w:hAnsi="Helvetica"/>
          <w:lang w:val="en-US"/>
        </w:rPr>
      </w:pPr>
    </w:p>
    <w:p w14:paraId="5C02C152" w14:textId="77777777" w:rsidR="00C95F89" w:rsidRDefault="00C95F89">
      <w:pPr>
        <w:rPr>
          <w:rFonts w:ascii="Helvetica" w:hAnsi="Helvetica"/>
          <w:lang w:val="en-US"/>
        </w:rPr>
      </w:pPr>
    </w:p>
    <w:p w14:paraId="756F8307" w14:textId="77777777" w:rsidR="00C95F89" w:rsidRDefault="00C95F89">
      <w:pPr>
        <w:rPr>
          <w:rFonts w:ascii="Helvetica" w:hAnsi="Helvetica"/>
          <w:lang w:val="en-US"/>
        </w:rPr>
      </w:pPr>
    </w:p>
    <w:p w14:paraId="46FDCE6A" w14:textId="77777777" w:rsidR="00C95F89" w:rsidRDefault="00C95F89">
      <w:pPr>
        <w:rPr>
          <w:rFonts w:ascii="Helvetica" w:hAnsi="Helvetica"/>
          <w:lang w:val="en-US"/>
        </w:rPr>
      </w:pPr>
    </w:p>
    <w:p w14:paraId="089E5435" w14:textId="0C245BFE" w:rsidR="00C95F89" w:rsidRDefault="00C95F89">
      <w:pPr>
        <w:rPr>
          <w:rFonts w:ascii="Helvetica" w:hAnsi="Helvetica"/>
          <w:lang w:val="en-US"/>
        </w:rPr>
      </w:pPr>
      <w:r>
        <w:rPr>
          <w:rFonts w:ascii="Helvetica" w:hAnsi="Helvetica"/>
          <w:noProof/>
          <w:lang w:val="en-US"/>
        </w:rPr>
        <w:drawing>
          <wp:inline distT="0" distB="0" distL="0" distR="0" wp14:anchorId="69E9E04F" wp14:editId="13BCE33D">
            <wp:extent cx="5943600" cy="2193925"/>
            <wp:effectExtent l="0" t="0" r="0" b="3175"/>
            <wp:docPr id="5164608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460829" name="Picture 516460829"/>
                    <pic:cNvPicPr/>
                  </pic:nvPicPr>
                  <pic:blipFill>
                    <a:blip r:embed="rId7">
                      <a:extLst>
                        <a:ext uri="{28A0092B-C50C-407E-A947-70E740481C1C}">
                          <a14:useLocalDpi xmlns:a14="http://schemas.microsoft.com/office/drawing/2010/main" val="0"/>
                        </a:ext>
                      </a:extLst>
                    </a:blip>
                    <a:stretch>
                      <a:fillRect/>
                    </a:stretch>
                  </pic:blipFill>
                  <pic:spPr>
                    <a:xfrm>
                      <a:off x="0" y="0"/>
                      <a:ext cx="5943600" cy="2193925"/>
                    </a:xfrm>
                    <a:prstGeom prst="rect">
                      <a:avLst/>
                    </a:prstGeom>
                  </pic:spPr>
                </pic:pic>
              </a:graphicData>
            </a:graphic>
          </wp:inline>
        </w:drawing>
      </w:r>
    </w:p>
    <w:p w14:paraId="6C67956F" w14:textId="56D9A5D2" w:rsidR="00C95F89" w:rsidRPr="00C95F89" w:rsidRDefault="00C95F89" w:rsidP="00C95F89">
      <w:pPr>
        <w:rPr>
          <w:rFonts w:ascii="Helvetica" w:hAnsi="Helvetica"/>
        </w:rPr>
      </w:pPr>
      <w:r w:rsidRPr="00C95F89">
        <w:rPr>
          <w:rFonts w:ascii="Helvetica" w:hAnsi="Helvetica"/>
          <w:b/>
          <w:bCs/>
          <w:lang w:val="en-US"/>
        </w:rPr>
        <w:t xml:space="preserve">Extended </w:t>
      </w:r>
      <w:r w:rsidRPr="00C95F89">
        <w:rPr>
          <w:rFonts w:ascii="Helvetica" w:hAnsi="Helvetica"/>
          <w:b/>
          <w:bCs/>
        </w:rPr>
        <w:t xml:space="preserve">Fig. </w:t>
      </w:r>
      <w:r w:rsidR="00D439D4">
        <w:rPr>
          <w:rFonts w:ascii="Helvetica" w:hAnsi="Helvetica"/>
          <w:b/>
          <w:bCs/>
        </w:rPr>
        <w:t>4</w:t>
      </w:r>
      <w:r w:rsidRPr="00C95F89">
        <w:rPr>
          <w:rFonts w:ascii="Helvetica" w:hAnsi="Helvetica"/>
          <w:b/>
          <w:bCs/>
        </w:rPr>
        <w:t xml:space="preserve"> </w:t>
      </w:r>
      <w:r w:rsidRPr="00C95F89">
        <w:rPr>
          <w:rFonts w:ascii="Helvetica" w:hAnsi="Helvetica"/>
          <w:b/>
          <w:bCs/>
          <w:lang w:val="en-US"/>
        </w:rPr>
        <w:t>|</w:t>
      </w:r>
      <w:r w:rsidRPr="00C95F89">
        <w:rPr>
          <w:rFonts w:ascii="Helvetica" w:hAnsi="Helvetica"/>
          <w:b/>
          <w:bCs/>
        </w:rPr>
        <w:t xml:space="preserve"> </w:t>
      </w:r>
      <w:r w:rsidRPr="00C95F89">
        <w:rPr>
          <w:rFonts w:ascii="Helvetica" w:hAnsi="Helvetica"/>
          <w:b/>
          <w:bCs/>
          <w:lang w:val="en-US"/>
        </w:rPr>
        <w:t xml:space="preserve">PTMs contributes the regulation of </w:t>
      </w:r>
      <w:proofErr w:type="spellStart"/>
      <w:r w:rsidRPr="00C95F89">
        <w:rPr>
          <w:rFonts w:ascii="Helvetica" w:hAnsi="Helvetica"/>
          <w:b/>
          <w:bCs/>
          <w:lang w:val="en-US"/>
        </w:rPr>
        <w:t>gasdermin</w:t>
      </w:r>
      <w:proofErr w:type="spellEnd"/>
      <w:r w:rsidRPr="00C95F89">
        <w:rPr>
          <w:rFonts w:ascii="Helvetica" w:hAnsi="Helvetica"/>
          <w:b/>
          <w:bCs/>
          <w:lang w:val="en-US"/>
        </w:rPr>
        <w:t xml:space="preserve"> activity.</w:t>
      </w:r>
    </w:p>
    <w:p w14:paraId="5CDCA4CE" w14:textId="77777777" w:rsidR="00C95F89" w:rsidRPr="00C95F89" w:rsidRDefault="00C95F89" w:rsidP="00C95F89">
      <w:pPr>
        <w:rPr>
          <w:rFonts w:ascii="Helvetica" w:hAnsi="Helvetica"/>
        </w:rPr>
      </w:pPr>
      <w:r w:rsidRPr="00C95F89">
        <w:rPr>
          <w:rFonts w:ascii="Helvetica" w:hAnsi="Helvetica"/>
          <w:lang w:val="en-US"/>
        </w:rPr>
        <w:t xml:space="preserve">A. Pathogenic ubiquitination inhibits GSDMD-mediated </w:t>
      </w:r>
      <w:proofErr w:type="spellStart"/>
      <w:r w:rsidRPr="00C95F89">
        <w:rPr>
          <w:rFonts w:ascii="Helvetica" w:hAnsi="Helvetica"/>
          <w:lang w:val="en-US"/>
        </w:rPr>
        <w:t>pyroptosis</w:t>
      </w:r>
      <w:proofErr w:type="spellEnd"/>
      <w:r w:rsidRPr="00C95F89">
        <w:rPr>
          <w:rFonts w:ascii="Helvetica" w:hAnsi="Helvetica"/>
          <w:lang w:val="en-US"/>
        </w:rPr>
        <w:t xml:space="preserve"> in epithelial cells. GSDMD</w:t>
      </w:r>
      <w:r w:rsidRPr="00C95F89">
        <w:rPr>
          <w:rFonts w:ascii="Helvetica" w:hAnsi="Helvetica"/>
        </w:rPr>
        <w:t xml:space="preserve"> </w:t>
      </w:r>
      <w:r w:rsidRPr="00C95F89">
        <w:rPr>
          <w:rFonts w:ascii="Helvetica" w:hAnsi="Helvetica"/>
          <w:lang w:val="en-US"/>
        </w:rPr>
        <w:t xml:space="preserve">executes </w:t>
      </w:r>
      <w:proofErr w:type="spellStart"/>
      <w:r w:rsidRPr="00C95F89">
        <w:rPr>
          <w:rFonts w:ascii="Helvetica" w:hAnsi="Helvetica"/>
          <w:lang w:val="en-US"/>
        </w:rPr>
        <w:t>pyroptosis</w:t>
      </w:r>
      <w:proofErr w:type="spellEnd"/>
      <w:r w:rsidRPr="00C95F89">
        <w:rPr>
          <w:rFonts w:ascii="Helvetica" w:hAnsi="Helvetica"/>
          <w:lang w:val="en-US"/>
        </w:rPr>
        <w:t xml:space="preserve"> to eliminate the replicative niche of intracellular pathogens. However, Shigella ubiquitin ligase IpaH7.8 specifically ubiquitinates human, but not mouse, GSDMD and targeting it for proteasomal degradation. </w:t>
      </w:r>
    </w:p>
    <w:p w14:paraId="17AB58D1" w14:textId="77777777" w:rsidR="00C95F89" w:rsidRPr="00C95F89" w:rsidRDefault="00C95F89" w:rsidP="00C95F89">
      <w:pPr>
        <w:rPr>
          <w:rFonts w:ascii="Helvetica" w:hAnsi="Helvetica"/>
        </w:rPr>
      </w:pPr>
      <w:r w:rsidRPr="00C95F89">
        <w:rPr>
          <w:rFonts w:ascii="Helvetica" w:hAnsi="Helvetica"/>
          <w:lang w:val="en-US"/>
        </w:rPr>
        <w:t>B.</w:t>
      </w:r>
      <w:r w:rsidRPr="00C95F89">
        <w:rPr>
          <w:rFonts w:ascii="Helvetica" w:hAnsi="Helvetica"/>
        </w:rPr>
        <w:t xml:space="preserve"> </w:t>
      </w:r>
      <w:r w:rsidRPr="00C95F89">
        <w:rPr>
          <w:rFonts w:ascii="Helvetica" w:hAnsi="Helvetica"/>
          <w:lang w:val="en-US"/>
        </w:rPr>
        <w:t xml:space="preserve">Pathogenic ubiquitination of GSDMB inhibits the bactericidal function of NK cells. Granzyme A secreted by NK cells can enter epithelial cells infected with intracellular bacteria and activate GSDMB, which recognizes and binds phospholipids on bacterial membranes, causing intracellular bacteria to undergo </w:t>
      </w:r>
      <w:proofErr w:type="spellStart"/>
      <w:r w:rsidRPr="00C95F89">
        <w:rPr>
          <w:rFonts w:ascii="Helvetica" w:hAnsi="Helvetica"/>
          <w:lang w:val="en-US"/>
        </w:rPr>
        <w:t>pyroptosis</w:t>
      </w:r>
      <w:proofErr w:type="spellEnd"/>
      <w:r w:rsidRPr="00C95F89">
        <w:rPr>
          <w:rFonts w:ascii="Helvetica" w:hAnsi="Helvetica"/>
          <w:lang w:val="en-US"/>
        </w:rPr>
        <w:t xml:space="preserve">. As one of the mechanisms that resist host immune killing, the ubiquitin ligase (E3) IpaH7.8 secreted by invasive Shigella </w:t>
      </w:r>
      <w:proofErr w:type="spellStart"/>
      <w:r w:rsidRPr="00C95F89">
        <w:rPr>
          <w:rFonts w:ascii="Helvetica" w:hAnsi="Helvetica"/>
          <w:lang w:val="en-US"/>
        </w:rPr>
        <w:t>flexneri</w:t>
      </w:r>
      <w:proofErr w:type="spellEnd"/>
      <w:r w:rsidRPr="00C95F89">
        <w:rPr>
          <w:rFonts w:ascii="Helvetica" w:hAnsi="Helvetica"/>
          <w:lang w:val="en-US"/>
        </w:rPr>
        <w:t xml:space="preserve"> causes GSDMB ubiquitination and</w:t>
      </w:r>
      <w:r w:rsidRPr="00C95F89">
        <w:rPr>
          <w:rFonts w:ascii="Helvetica" w:hAnsi="Helvetica"/>
        </w:rPr>
        <w:t xml:space="preserve"> </w:t>
      </w:r>
      <w:r w:rsidRPr="00C95F89">
        <w:rPr>
          <w:rFonts w:ascii="Helvetica" w:hAnsi="Helvetica"/>
          <w:lang w:val="en-US"/>
        </w:rPr>
        <w:t xml:space="preserve">subsequent proteasomal degradation, thereby rendering the Granzyme A-GSDMB </w:t>
      </w:r>
      <w:proofErr w:type="spellStart"/>
      <w:r w:rsidRPr="00C95F89">
        <w:rPr>
          <w:rFonts w:ascii="Helvetica" w:hAnsi="Helvetica"/>
          <w:lang w:val="en-US"/>
        </w:rPr>
        <w:t>pyroptosis</w:t>
      </w:r>
      <w:proofErr w:type="spellEnd"/>
      <w:r w:rsidRPr="00C95F89">
        <w:rPr>
          <w:rFonts w:ascii="Helvetica" w:hAnsi="Helvetica"/>
          <w:lang w:val="en-US"/>
        </w:rPr>
        <w:t xml:space="preserve"> system ineffective.</w:t>
      </w:r>
    </w:p>
    <w:p w14:paraId="025078F5" w14:textId="77777777" w:rsidR="00C95F89" w:rsidRDefault="00C95F89">
      <w:pPr>
        <w:rPr>
          <w:rFonts w:ascii="Helvetica" w:hAnsi="Helvetica"/>
          <w:lang w:val="en-US"/>
        </w:rPr>
      </w:pPr>
    </w:p>
    <w:p w14:paraId="6E8D5401" w14:textId="77777777" w:rsidR="00C95F89" w:rsidRDefault="00C95F89">
      <w:pPr>
        <w:rPr>
          <w:rFonts w:ascii="Helvetica" w:hAnsi="Helvetica"/>
          <w:lang w:val="en-US"/>
        </w:rPr>
      </w:pPr>
    </w:p>
    <w:p w14:paraId="33124837" w14:textId="77777777" w:rsidR="00C95F89" w:rsidRDefault="00C95F89">
      <w:pPr>
        <w:rPr>
          <w:rFonts w:ascii="Helvetica" w:hAnsi="Helvetica"/>
          <w:lang w:val="en-US"/>
        </w:rPr>
      </w:pPr>
    </w:p>
    <w:p w14:paraId="63D64C0E" w14:textId="77777777" w:rsidR="00C95F89" w:rsidRDefault="00C95F89">
      <w:pPr>
        <w:rPr>
          <w:rFonts w:ascii="Helvetica" w:hAnsi="Helvetica"/>
          <w:lang w:val="en-US"/>
        </w:rPr>
      </w:pPr>
    </w:p>
    <w:p w14:paraId="7643BC1E" w14:textId="77777777" w:rsidR="00C95F89" w:rsidRDefault="00C95F89">
      <w:pPr>
        <w:rPr>
          <w:rFonts w:ascii="Helvetica" w:hAnsi="Helvetica"/>
          <w:lang w:val="en-US"/>
        </w:rPr>
      </w:pPr>
    </w:p>
    <w:p w14:paraId="2A3216EA" w14:textId="77777777" w:rsidR="00C95F89" w:rsidRDefault="00C95F89">
      <w:pPr>
        <w:rPr>
          <w:rFonts w:ascii="Helvetica" w:hAnsi="Helvetica"/>
          <w:lang w:val="en-US"/>
        </w:rPr>
      </w:pPr>
    </w:p>
    <w:p w14:paraId="1D3EC5E1" w14:textId="77777777" w:rsidR="00C95F89" w:rsidRDefault="00C95F89">
      <w:pPr>
        <w:rPr>
          <w:rFonts w:ascii="Helvetica" w:hAnsi="Helvetica"/>
          <w:lang w:val="en-US"/>
        </w:rPr>
      </w:pPr>
    </w:p>
    <w:p w14:paraId="28317448" w14:textId="77777777" w:rsidR="00C95F89" w:rsidRDefault="00C95F89">
      <w:pPr>
        <w:rPr>
          <w:rFonts w:ascii="Helvetica" w:hAnsi="Helvetica"/>
          <w:lang w:val="en-US"/>
        </w:rPr>
      </w:pPr>
    </w:p>
    <w:p w14:paraId="11ACFC3C" w14:textId="77777777" w:rsidR="00C95F89" w:rsidRDefault="00C95F89">
      <w:pPr>
        <w:rPr>
          <w:rFonts w:ascii="Helvetica" w:hAnsi="Helvetica"/>
          <w:lang w:val="en-US"/>
        </w:rPr>
      </w:pPr>
    </w:p>
    <w:p w14:paraId="4769BD97" w14:textId="77777777" w:rsidR="00C95F89" w:rsidRDefault="00C95F89">
      <w:pPr>
        <w:rPr>
          <w:rFonts w:ascii="Helvetica" w:hAnsi="Helvetica"/>
          <w:lang w:val="en-US"/>
        </w:rPr>
      </w:pPr>
    </w:p>
    <w:p w14:paraId="60845788" w14:textId="77777777" w:rsidR="00C95F89" w:rsidRDefault="00C95F89">
      <w:pPr>
        <w:rPr>
          <w:rFonts w:ascii="Helvetica" w:hAnsi="Helvetica"/>
          <w:lang w:val="en-US"/>
        </w:rPr>
      </w:pPr>
    </w:p>
    <w:p w14:paraId="4EBCAAA1" w14:textId="77777777" w:rsidR="00C95F89" w:rsidRDefault="00C95F89">
      <w:pPr>
        <w:rPr>
          <w:rFonts w:ascii="Helvetica" w:hAnsi="Helvetica"/>
          <w:lang w:val="en-US"/>
        </w:rPr>
      </w:pPr>
    </w:p>
    <w:p w14:paraId="67644762" w14:textId="77777777" w:rsidR="00C95F89" w:rsidRDefault="00C95F89">
      <w:pPr>
        <w:rPr>
          <w:rFonts w:ascii="Helvetica" w:hAnsi="Helvetica"/>
          <w:lang w:val="en-US"/>
        </w:rPr>
      </w:pPr>
    </w:p>
    <w:p w14:paraId="3BA38D51" w14:textId="77777777" w:rsidR="00C95F89" w:rsidRDefault="00C95F89">
      <w:pPr>
        <w:rPr>
          <w:rFonts w:ascii="Helvetica" w:hAnsi="Helvetica"/>
          <w:lang w:val="en-US"/>
        </w:rPr>
      </w:pPr>
    </w:p>
    <w:p w14:paraId="6B9DDE81" w14:textId="77777777" w:rsidR="00C95F89" w:rsidRDefault="00C95F89">
      <w:pPr>
        <w:rPr>
          <w:rFonts w:ascii="Helvetica" w:hAnsi="Helvetica"/>
          <w:lang w:val="en-US"/>
        </w:rPr>
      </w:pPr>
    </w:p>
    <w:p w14:paraId="705F6BAE" w14:textId="77777777" w:rsidR="00C95F89" w:rsidRDefault="00C95F89">
      <w:pPr>
        <w:rPr>
          <w:rFonts w:ascii="Helvetica" w:hAnsi="Helvetica"/>
          <w:lang w:val="en-US"/>
        </w:rPr>
      </w:pPr>
    </w:p>
    <w:p w14:paraId="472A3CE8" w14:textId="77777777" w:rsidR="00C95F89" w:rsidRDefault="00C95F89">
      <w:pPr>
        <w:rPr>
          <w:rFonts w:ascii="Helvetica" w:hAnsi="Helvetica"/>
          <w:lang w:val="en-US"/>
        </w:rPr>
      </w:pPr>
    </w:p>
    <w:p w14:paraId="60410DAE" w14:textId="77777777" w:rsidR="00C95F89" w:rsidRDefault="00C95F89">
      <w:pPr>
        <w:rPr>
          <w:rFonts w:ascii="Helvetica" w:hAnsi="Helvetica"/>
          <w:lang w:val="en-US"/>
        </w:rPr>
      </w:pPr>
    </w:p>
    <w:p w14:paraId="0FBEC7D9" w14:textId="77777777" w:rsidR="00C95F89" w:rsidRDefault="00C95F89">
      <w:pPr>
        <w:rPr>
          <w:rFonts w:ascii="Helvetica" w:hAnsi="Helvetica"/>
          <w:lang w:val="en-US"/>
        </w:rPr>
      </w:pPr>
    </w:p>
    <w:p w14:paraId="6342B490" w14:textId="1ACF0B2D" w:rsidR="00C95F89" w:rsidRDefault="00C95F89">
      <w:pPr>
        <w:rPr>
          <w:rFonts w:ascii="Helvetica" w:hAnsi="Helvetica"/>
          <w:lang w:val="en-US"/>
        </w:rPr>
      </w:pPr>
      <w:r>
        <w:rPr>
          <w:rFonts w:ascii="Helvetica" w:hAnsi="Helvetica"/>
          <w:noProof/>
          <w:lang w:val="en-US"/>
        </w:rPr>
        <w:drawing>
          <wp:inline distT="0" distB="0" distL="0" distR="0" wp14:anchorId="13EC7E17" wp14:editId="66DBF803">
            <wp:extent cx="5943600" cy="1138555"/>
            <wp:effectExtent l="0" t="0" r="0" b="4445"/>
            <wp:docPr id="17230533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053329" name="Picture 1723053329"/>
                    <pic:cNvPicPr/>
                  </pic:nvPicPr>
                  <pic:blipFill>
                    <a:blip r:embed="rId8">
                      <a:extLst>
                        <a:ext uri="{28A0092B-C50C-407E-A947-70E740481C1C}">
                          <a14:useLocalDpi xmlns:a14="http://schemas.microsoft.com/office/drawing/2010/main" val="0"/>
                        </a:ext>
                      </a:extLst>
                    </a:blip>
                    <a:stretch>
                      <a:fillRect/>
                    </a:stretch>
                  </pic:blipFill>
                  <pic:spPr>
                    <a:xfrm>
                      <a:off x="0" y="0"/>
                      <a:ext cx="5943600" cy="1138555"/>
                    </a:xfrm>
                    <a:prstGeom prst="rect">
                      <a:avLst/>
                    </a:prstGeom>
                  </pic:spPr>
                </pic:pic>
              </a:graphicData>
            </a:graphic>
          </wp:inline>
        </w:drawing>
      </w:r>
    </w:p>
    <w:p w14:paraId="712EB54D" w14:textId="07D1C8C3" w:rsidR="00C95F89" w:rsidRPr="00C95F89" w:rsidRDefault="00C95F89" w:rsidP="00C95F89">
      <w:pPr>
        <w:rPr>
          <w:rFonts w:ascii="Helvetica" w:hAnsi="Helvetica"/>
        </w:rPr>
      </w:pPr>
      <w:r w:rsidRPr="00C95F89">
        <w:rPr>
          <w:rFonts w:ascii="Helvetica" w:hAnsi="Helvetica"/>
          <w:b/>
          <w:bCs/>
          <w:lang w:val="en-US"/>
        </w:rPr>
        <w:t xml:space="preserve">Extended </w:t>
      </w:r>
      <w:r w:rsidRPr="00C95F89">
        <w:rPr>
          <w:rFonts w:ascii="Helvetica" w:hAnsi="Helvetica"/>
          <w:b/>
          <w:bCs/>
        </w:rPr>
        <w:t xml:space="preserve">Fig. </w:t>
      </w:r>
      <w:r w:rsidR="00D439D4">
        <w:rPr>
          <w:rFonts w:ascii="Helvetica" w:hAnsi="Helvetica"/>
          <w:b/>
          <w:bCs/>
        </w:rPr>
        <w:t>5</w:t>
      </w:r>
      <w:r w:rsidRPr="00C95F89">
        <w:rPr>
          <w:rFonts w:ascii="Helvetica" w:hAnsi="Helvetica"/>
          <w:b/>
          <w:bCs/>
        </w:rPr>
        <w:t xml:space="preserve"> </w:t>
      </w:r>
      <w:r w:rsidRPr="00C95F89">
        <w:rPr>
          <w:rFonts w:ascii="Helvetica" w:hAnsi="Helvetica"/>
          <w:b/>
          <w:bCs/>
          <w:lang w:val="en-US"/>
        </w:rPr>
        <w:t>|</w:t>
      </w:r>
      <w:r w:rsidRPr="00C95F89">
        <w:rPr>
          <w:rFonts w:ascii="Helvetica" w:hAnsi="Helvetica"/>
          <w:b/>
          <w:bCs/>
        </w:rPr>
        <w:t xml:space="preserve"> </w:t>
      </w:r>
      <w:r w:rsidRPr="00C95F89">
        <w:rPr>
          <w:rFonts w:ascii="Helvetica" w:hAnsi="Helvetica"/>
          <w:b/>
          <w:bCs/>
          <w:lang w:val="en-US"/>
        </w:rPr>
        <w:t xml:space="preserve">PTMs contributes the regulation of </w:t>
      </w:r>
      <w:proofErr w:type="spellStart"/>
      <w:r w:rsidRPr="00C95F89">
        <w:rPr>
          <w:rFonts w:ascii="Helvetica" w:hAnsi="Helvetica"/>
          <w:b/>
          <w:bCs/>
          <w:lang w:val="en-US"/>
        </w:rPr>
        <w:t>gasdermin</w:t>
      </w:r>
      <w:proofErr w:type="spellEnd"/>
      <w:r w:rsidRPr="00C95F89">
        <w:rPr>
          <w:rFonts w:ascii="Helvetica" w:hAnsi="Helvetica"/>
          <w:b/>
          <w:bCs/>
          <w:lang w:val="en-US"/>
        </w:rPr>
        <w:t xml:space="preserve"> activity.</w:t>
      </w:r>
    </w:p>
    <w:p w14:paraId="27EE31C7" w14:textId="77777777" w:rsidR="00C95F89" w:rsidRPr="00C95F89" w:rsidRDefault="00C95F89" w:rsidP="00C95F89">
      <w:pPr>
        <w:rPr>
          <w:rFonts w:ascii="Helvetica" w:hAnsi="Helvetica"/>
        </w:rPr>
      </w:pPr>
      <w:r w:rsidRPr="00C95F89">
        <w:rPr>
          <w:rFonts w:ascii="Helvetica" w:hAnsi="Helvetica"/>
          <w:lang w:val="en-US"/>
        </w:rPr>
        <w:t xml:space="preserve">A. </w:t>
      </w:r>
      <w:proofErr w:type="spellStart"/>
      <w:r w:rsidRPr="00C95F89">
        <w:rPr>
          <w:rFonts w:ascii="Helvetica" w:hAnsi="Helvetica"/>
          <w:lang w:val="en-US"/>
        </w:rPr>
        <w:t>Pyroposis</w:t>
      </w:r>
      <w:proofErr w:type="spellEnd"/>
      <w:r w:rsidRPr="00C95F89">
        <w:rPr>
          <w:rFonts w:ascii="Helvetica" w:hAnsi="Helvetica"/>
          <w:lang w:val="en-US"/>
        </w:rPr>
        <w:t xml:space="preserve">-related pathological conditions and Clinical translation studies related to PTM. Among them, the diseases that are closely related to </w:t>
      </w:r>
      <w:proofErr w:type="spellStart"/>
      <w:r w:rsidRPr="00C95F89">
        <w:rPr>
          <w:rFonts w:ascii="Helvetica" w:hAnsi="Helvetica"/>
          <w:lang w:val="en-US"/>
        </w:rPr>
        <w:t>pyroptosis</w:t>
      </w:r>
      <w:proofErr w:type="spellEnd"/>
      <w:r w:rsidRPr="00C95F89">
        <w:rPr>
          <w:rFonts w:ascii="Helvetica" w:hAnsi="Helvetica"/>
          <w:lang w:val="en-US"/>
        </w:rPr>
        <w:t xml:space="preserve"> include sepsis, CAPS, MAS. The diseases that are moderately associated with </w:t>
      </w:r>
      <w:proofErr w:type="spellStart"/>
      <w:r w:rsidRPr="00C95F89">
        <w:rPr>
          <w:rFonts w:ascii="Helvetica" w:hAnsi="Helvetica"/>
          <w:lang w:val="en-US"/>
        </w:rPr>
        <w:t>pyroptosis</w:t>
      </w:r>
      <w:proofErr w:type="spellEnd"/>
      <w:r w:rsidRPr="00C95F89">
        <w:rPr>
          <w:rFonts w:ascii="Helvetica" w:hAnsi="Helvetica"/>
          <w:lang w:val="en-US"/>
        </w:rPr>
        <w:t xml:space="preserve"> include type 2 diabetes, obesity, myocarditis, atherosclerotic diseases, gouty arthritis. Clinical translational studies of PTMs and GSDMD include </w:t>
      </w:r>
      <w:proofErr w:type="spellStart"/>
      <w:r w:rsidRPr="00C95F89">
        <w:rPr>
          <w:rFonts w:ascii="Helvetica" w:hAnsi="Helvetica"/>
          <w:lang w:val="en-US"/>
        </w:rPr>
        <w:t>succinalation</w:t>
      </w:r>
      <w:proofErr w:type="spellEnd"/>
      <w:r w:rsidRPr="00C95F89">
        <w:rPr>
          <w:rFonts w:ascii="Helvetica" w:hAnsi="Helvetica"/>
          <w:lang w:val="en-US"/>
        </w:rPr>
        <w:t xml:space="preserve">, palmitoylation, phosphorylation, the formation of disulfide bonds. The drugs targeting these PTMs are DMF, PMB, metformin, disulfiram, respectively. </w:t>
      </w:r>
    </w:p>
    <w:p w14:paraId="77F85ADC" w14:textId="77777777" w:rsidR="00C95F89" w:rsidRPr="00C95F89" w:rsidRDefault="00C95F89" w:rsidP="00C95F89">
      <w:pPr>
        <w:rPr>
          <w:rFonts w:ascii="Helvetica" w:hAnsi="Helvetica"/>
        </w:rPr>
      </w:pPr>
      <w:r w:rsidRPr="00C95F89">
        <w:rPr>
          <w:rFonts w:ascii="Helvetica" w:hAnsi="Helvetica"/>
          <w:lang w:val="en-US"/>
        </w:rPr>
        <w:t xml:space="preserve">Abbreviations: DMF, dimethyl fumarate; PMB, </w:t>
      </w:r>
      <w:proofErr w:type="spellStart"/>
      <w:r w:rsidRPr="00C95F89">
        <w:rPr>
          <w:rFonts w:ascii="Helvetica" w:hAnsi="Helvetica"/>
          <w:lang w:val="en-US"/>
        </w:rPr>
        <w:t>palmostatin</w:t>
      </w:r>
      <w:proofErr w:type="spellEnd"/>
      <w:r w:rsidRPr="00C95F89">
        <w:rPr>
          <w:rFonts w:ascii="Helvetica" w:hAnsi="Helvetica"/>
          <w:lang w:val="en-US"/>
        </w:rPr>
        <w:t xml:space="preserve"> B; CAPS, </w:t>
      </w:r>
      <w:r w:rsidRPr="00C95F89">
        <w:rPr>
          <w:rFonts w:ascii="Helvetica" w:hAnsi="Helvetica"/>
        </w:rPr>
        <w:t>Cryopyrin-Associated Periodic Syndromes</w:t>
      </w:r>
      <w:r w:rsidRPr="00C95F89">
        <w:rPr>
          <w:rFonts w:ascii="Helvetica" w:hAnsi="Helvetica"/>
          <w:lang w:val="en-US"/>
        </w:rPr>
        <w:t xml:space="preserve">; MAS, </w:t>
      </w:r>
      <w:r w:rsidRPr="00C95F89">
        <w:rPr>
          <w:rFonts w:ascii="Helvetica" w:hAnsi="Helvetica"/>
        </w:rPr>
        <w:t>Macrophage Activation Syndrome.</w:t>
      </w:r>
    </w:p>
    <w:p w14:paraId="1B25F899" w14:textId="77777777" w:rsidR="00C95F89" w:rsidRDefault="00C95F89">
      <w:pPr>
        <w:rPr>
          <w:rFonts w:ascii="Helvetica" w:hAnsi="Helvetica"/>
        </w:rPr>
      </w:pPr>
    </w:p>
    <w:p w14:paraId="23B1DB6E" w14:textId="77777777" w:rsidR="00C95F89" w:rsidRDefault="00C95F89">
      <w:pPr>
        <w:rPr>
          <w:rFonts w:ascii="Helvetica" w:hAnsi="Helvetica"/>
        </w:rPr>
      </w:pPr>
    </w:p>
    <w:p w14:paraId="045BDC7C" w14:textId="77777777" w:rsidR="00C95F89" w:rsidRDefault="00C95F89">
      <w:pPr>
        <w:rPr>
          <w:rFonts w:ascii="Helvetica" w:hAnsi="Helvetica"/>
        </w:rPr>
      </w:pPr>
    </w:p>
    <w:p w14:paraId="7A60D9DE" w14:textId="77777777" w:rsidR="00C95F89" w:rsidRDefault="00C95F89">
      <w:pPr>
        <w:rPr>
          <w:rFonts w:ascii="Helvetica" w:hAnsi="Helvetica"/>
        </w:rPr>
      </w:pPr>
    </w:p>
    <w:p w14:paraId="55A159F6" w14:textId="77777777" w:rsidR="00C95F89" w:rsidRDefault="00C95F89">
      <w:pPr>
        <w:rPr>
          <w:rFonts w:ascii="Helvetica" w:hAnsi="Helvetica"/>
        </w:rPr>
      </w:pPr>
    </w:p>
    <w:p w14:paraId="1DBAEA0D" w14:textId="77777777" w:rsidR="00C95F89" w:rsidRDefault="00C95F89">
      <w:pPr>
        <w:rPr>
          <w:rFonts w:ascii="Helvetica" w:hAnsi="Helvetica"/>
        </w:rPr>
      </w:pPr>
    </w:p>
    <w:p w14:paraId="09DBEF33" w14:textId="77777777" w:rsidR="00C95F89" w:rsidRDefault="00C95F89">
      <w:pPr>
        <w:rPr>
          <w:rFonts w:ascii="Helvetica" w:hAnsi="Helvetica"/>
        </w:rPr>
      </w:pPr>
    </w:p>
    <w:p w14:paraId="67AAB41D" w14:textId="77777777" w:rsidR="00C95F89" w:rsidRDefault="00C95F89">
      <w:pPr>
        <w:rPr>
          <w:rFonts w:ascii="Helvetica" w:hAnsi="Helvetica"/>
        </w:rPr>
      </w:pPr>
    </w:p>
    <w:p w14:paraId="3B5A715E" w14:textId="77777777" w:rsidR="00C95F89" w:rsidRDefault="00C95F89">
      <w:pPr>
        <w:rPr>
          <w:rFonts w:ascii="Helvetica" w:hAnsi="Helvetica"/>
        </w:rPr>
      </w:pPr>
    </w:p>
    <w:p w14:paraId="210511AC" w14:textId="77777777" w:rsidR="00C95F89" w:rsidRDefault="00C95F89">
      <w:pPr>
        <w:rPr>
          <w:rFonts w:ascii="Helvetica" w:hAnsi="Helvetica"/>
        </w:rPr>
      </w:pPr>
    </w:p>
    <w:p w14:paraId="09C564BB" w14:textId="77777777" w:rsidR="00C95F89" w:rsidRDefault="00C95F89">
      <w:pPr>
        <w:rPr>
          <w:rFonts w:ascii="Helvetica" w:hAnsi="Helvetica"/>
        </w:rPr>
      </w:pPr>
    </w:p>
    <w:p w14:paraId="05FC9487" w14:textId="77777777" w:rsidR="00C95F89" w:rsidRDefault="00C95F89">
      <w:pPr>
        <w:rPr>
          <w:rFonts w:ascii="Helvetica" w:hAnsi="Helvetica"/>
        </w:rPr>
      </w:pPr>
    </w:p>
    <w:p w14:paraId="74275128" w14:textId="77777777" w:rsidR="00C95F89" w:rsidRDefault="00C95F89">
      <w:pPr>
        <w:rPr>
          <w:rFonts w:ascii="Helvetica" w:hAnsi="Helvetica"/>
        </w:rPr>
      </w:pPr>
    </w:p>
    <w:p w14:paraId="67C5C734" w14:textId="77777777" w:rsidR="00C95F89" w:rsidRPr="00C95F89" w:rsidRDefault="00C95F89">
      <w:pPr>
        <w:rPr>
          <w:rFonts w:ascii="Helvetica" w:hAnsi="Helvetica"/>
        </w:rPr>
      </w:pPr>
    </w:p>
    <w:p w14:paraId="448EBF32" w14:textId="2E5F8D39" w:rsidR="003903AE" w:rsidRPr="000F3ED1" w:rsidRDefault="00CB6089" w:rsidP="003903AE">
      <w:pPr>
        <w:rPr>
          <w:rFonts w:ascii="Helvetica" w:hAnsi="Helvetica"/>
          <w:b/>
          <w:bCs/>
          <w:lang w:val="en-US"/>
        </w:rPr>
      </w:pPr>
      <w:r>
        <w:rPr>
          <w:rFonts w:ascii="Helvetica" w:hAnsi="Helvetica"/>
          <w:b/>
          <w:bCs/>
          <w:noProof/>
          <w:lang w:val="en-US"/>
        </w:rPr>
        <w:lastRenderedPageBreak/>
        <w:drawing>
          <wp:inline distT="0" distB="0" distL="0" distR="0" wp14:anchorId="22B99216" wp14:editId="78AAC04F">
            <wp:extent cx="5943600" cy="2731770"/>
            <wp:effectExtent l="0" t="0" r="0" b="0"/>
            <wp:docPr id="3380263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026334" name="Picture 338026334"/>
                    <pic:cNvPicPr/>
                  </pic:nvPicPr>
                  <pic:blipFill>
                    <a:blip r:embed="rId9">
                      <a:extLst>
                        <a:ext uri="{28A0092B-C50C-407E-A947-70E740481C1C}">
                          <a14:useLocalDpi xmlns:a14="http://schemas.microsoft.com/office/drawing/2010/main" val="0"/>
                        </a:ext>
                      </a:extLst>
                    </a:blip>
                    <a:stretch>
                      <a:fillRect/>
                    </a:stretch>
                  </pic:blipFill>
                  <pic:spPr>
                    <a:xfrm>
                      <a:off x="0" y="0"/>
                      <a:ext cx="5943600" cy="2731770"/>
                    </a:xfrm>
                    <a:prstGeom prst="rect">
                      <a:avLst/>
                    </a:prstGeom>
                  </pic:spPr>
                </pic:pic>
              </a:graphicData>
            </a:graphic>
          </wp:inline>
        </w:drawing>
      </w:r>
    </w:p>
    <w:p w14:paraId="2CA3BD8A" w14:textId="6D67A1C9" w:rsidR="003903AE" w:rsidRPr="000F3ED1" w:rsidRDefault="003903AE" w:rsidP="003903AE">
      <w:pPr>
        <w:rPr>
          <w:rFonts w:ascii="Helvetica" w:hAnsi="Helvetica"/>
          <w:b/>
          <w:bCs/>
          <w:lang w:val="en-US"/>
        </w:rPr>
      </w:pPr>
    </w:p>
    <w:p w14:paraId="29DC710E" w14:textId="77777777" w:rsidR="003903AE" w:rsidRPr="000F3ED1" w:rsidRDefault="003903AE" w:rsidP="003903AE">
      <w:pPr>
        <w:rPr>
          <w:rFonts w:ascii="Helvetica" w:hAnsi="Helvetica"/>
          <w:b/>
          <w:bCs/>
          <w:lang w:val="en-US"/>
        </w:rPr>
      </w:pPr>
    </w:p>
    <w:p w14:paraId="4AFA494C" w14:textId="77777777" w:rsidR="00CB6089" w:rsidRPr="00CB6089" w:rsidRDefault="00CB6089" w:rsidP="00CB6089">
      <w:pPr>
        <w:rPr>
          <w:rFonts w:ascii="Helvetica" w:hAnsi="Helvetica"/>
        </w:rPr>
      </w:pPr>
      <w:r w:rsidRPr="00CB6089">
        <w:rPr>
          <w:rFonts w:ascii="Helvetica" w:hAnsi="Helvetica"/>
          <w:b/>
          <w:bCs/>
          <w:lang w:val="en-US"/>
        </w:rPr>
        <w:t xml:space="preserve">Extended table 1 | The contribution of ubiquitination system in </w:t>
      </w:r>
      <w:proofErr w:type="spellStart"/>
      <w:r w:rsidRPr="00CB6089">
        <w:rPr>
          <w:rFonts w:ascii="Helvetica" w:hAnsi="Helvetica"/>
          <w:b/>
          <w:bCs/>
          <w:lang w:val="en-US"/>
        </w:rPr>
        <w:t>pyroptosis</w:t>
      </w:r>
      <w:proofErr w:type="spellEnd"/>
      <w:r w:rsidRPr="00CB6089">
        <w:rPr>
          <w:rFonts w:ascii="Helvetica" w:hAnsi="Helvetica"/>
          <w:b/>
          <w:bCs/>
          <w:lang w:val="en-US"/>
        </w:rPr>
        <w:t>.</w:t>
      </w:r>
    </w:p>
    <w:p w14:paraId="7EDAD76D" w14:textId="77777777" w:rsidR="00CB6089" w:rsidRPr="00CB6089" w:rsidRDefault="00CB6089" w:rsidP="00CB6089">
      <w:pPr>
        <w:rPr>
          <w:rFonts w:ascii="Helvetica" w:hAnsi="Helvetica"/>
        </w:rPr>
      </w:pPr>
      <w:r w:rsidRPr="00CB6089">
        <w:rPr>
          <w:rFonts w:ascii="Helvetica" w:hAnsi="Helvetica"/>
          <w:lang w:val="en-US"/>
        </w:rPr>
        <w:t>A. Regulation of NLRP3 inflammasome by the ubiquitin system. The ubiquitin system contributes to both negative (</w:t>
      </w:r>
      <w:proofErr w:type="spellStart"/>
      <w:r w:rsidRPr="00CB6089">
        <w:rPr>
          <w:rFonts w:ascii="Helvetica" w:hAnsi="Helvetica"/>
          <w:lang w:val="en-US"/>
        </w:rPr>
        <w:t>i</w:t>
      </w:r>
      <w:proofErr w:type="spellEnd"/>
      <w:r w:rsidRPr="00CB6089">
        <w:rPr>
          <w:rFonts w:ascii="Helvetica" w:hAnsi="Helvetica"/>
          <w:lang w:val="en-US"/>
        </w:rPr>
        <w:t>) and positive (ii) regulation of NLRP3. (</w:t>
      </w:r>
      <w:proofErr w:type="spellStart"/>
      <w:r w:rsidRPr="00CB6089">
        <w:rPr>
          <w:rFonts w:ascii="Helvetica" w:hAnsi="Helvetica"/>
          <w:lang w:val="en-US"/>
        </w:rPr>
        <w:t>i</w:t>
      </w:r>
      <w:proofErr w:type="spellEnd"/>
      <w:r w:rsidRPr="00CB6089">
        <w:rPr>
          <w:rFonts w:ascii="Helvetica" w:hAnsi="Helvetica"/>
          <w:lang w:val="en-US"/>
        </w:rPr>
        <w:t xml:space="preserve">) E3 ligases such as FBXL2, PARKIN, TRIM31 or MARCH7 have been identified as negative regulators of the inflammasome by controlling its protein levels by either proteasome or autophagy pathways. Upon sensing inflammasome-priming signals (signal 1), ARIH2 and Cullin1 bind and ubiquitinate NLRP3 to maintain it in an inactive state, which prevents its assembly and inflammasome activation. Upon sensing activating signals (signal 2), they dissociate from NLRP3 reducing its ubiquitination and allowing for the formation of an active inflammasome. The </w:t>
      </w:r>
      <w:proofErr w:type="spellStart"/>
      <w:r w:rsidRPr="00CB6089">
        <w:rPr>
          <w:rFonts w:ascii="Helvetica" w:hAnsi="Helvetica"/>
          <w:lang w:val="en-US"/>
        </w:rPr>
        <w:t>deubiquitinase</w:t>
      </w:r>
      <w:proofErr w:type="spellEnd"/>
      <w:r w:rsidRPr="00CB6089">
        <w:rPr>
          <w:rFonts w:ascii="Helvetica" w:hAnsi="Helvetica"/>
          <w:lang w:val="en-US"/>
        </w:rPr>
        <w:t xml:space="preserve"> A20 also contributes to a negative regulation of the NLRP3 inflammasome. (ii). On the contrary, ubiquitination of NLRP3 by Pellino2, TRAF6 and TRIM33 upon signal 1 poises the NLRP3 into an active estate that facilitates its activation by signal 2. Upon sensing of these activating signals, </w:t>
      </w:r>
      <w:proofErr w:type="spellStart"/>
      <w:r w:rsidRPr="00CB6089">
        <w:rPr>
          <w:rFonts w:ascii="Helvetica" w:hAnsi="Helvetica"/>
          <w:lang w:val="en-US"/>
        </w:rPr>
        <w:t>deubiquitinases</w:t>
      </w:r>
      <w:proofErr w:type="spellEnd"/>
      <w:r w:rsidRPr="00CB6089">
        <w:rPr>
          <w:rFonts w:ascii="Helvetica" w:hAnsi="Helvetica"/>
          <w:lang w:val="en-US"/>
        </w:rPr>
        <w:t xml:space="preserve"> such as BRCC3/ABRO1, USP7, USP47 or UCHL5 contribute to inflammasome activation, although the exact mechanisms by which they do this are not completely understood.</w:t>
      </w:r>
    </w:p>
    <w:p w14:paraId="4219219C" w14:textId="0D81A8D8" w:rsidR="009A04EC" w:rsidRPr="00CB6089" w:rsidRDefault="00CB6089">
      <w:pPr>
        <w:rPr>
          <w:rFonts w:ascii="Helvetica" w:hAnsi="Helvetica"/>
        </w:rPr>
      </w:pPr>
      <w:r w:rsidRPr="00CB6089">
        <w:rPr>
          <w:rFonts w:ascii="Helvetica" w:hAnsi="Helvetica"/>
          <w:lang w:val="en-US"/>
        </w:rPr>
        <w:t>B.</w:t>
      </w:r>
      <w:r w:rsidRPr="00CB6089">
        <w:rPr>
          <w:rFonts w:ascii="Helvetica" w:hAnsi="Helvetica"/>
        </w:rPr>
        <w:t xml:space="preserve"> </w:t>
      </w:r>
      <w:r w:rsidRPr="00CB6089">
        <w:rPr>
          <w:rFonts w:ascii="Helvetica" w:hAnsi="Helvetica"/>
          <w:lang w:val="en-US"/>
        </w:rPr>
        <w:t>Regulation of NF-</w:t>
      </w:r>
      <w:r w:rsidRPr="00CB6089">
        <w:rPr>
          <w:rFonts w:ascii="Helvetica" w:hAnsi="Helvetica"/>
          <w:lang w:val="el-GR"/>
        </w:rPr>
        <w:t>κ</w:t>
      </w:r>
      <w:r w:rsidRPr="00CB6089">
        <w:rPr>
          <w:rFonts w:ascii="Helvetica" w:hAnsi="Helvetica"/>
          <w:lang w:val="en-US"/>
        </w:rPr>
        <w:t>B Signaling</w:t>
      </w:r>
      <w:r w:rsidRPr="00CB6089">
        <w:rPr>
          <w:rFonts w:ascii="Helvetica" w:hAnsi="Helvetica"/>
        </w:rPr>
        <w:t xml:space="preserve"> </w:t>
      </w:r>
      <w:r w:rsidRPr="00CB6089">
        <w:rPr>
          <w:rFonts w:ascii="Helvetica" w:hAnsi="Helvetica"/>
          <w:lang w:val="en-US"/>
        </w:rPr>
        <w:t>pathway</w:t>
      </w:r>
      <w:r w:rsidRPr="00CB6089">
        <w:rPr>
          <w:rFonts w:ascii="Helvetica" w:hAnsi="Helvetica"/>
        </w:rPr>
        <w:t xml:space="preserve"> </w:t>
      </w:r>
      <w:r w:rsidRPr="00CB6089">
        <w:rPr>
          <w:rFonts w:ascii="Helvetica" w:hAnsi="Helvetica"/>
          <w:lang w:val="en-US"/>
        </w:rPr>
        <w:t xml:space="preserve">by the ubiquitin system. </w:t>
      </w:r>
    </w:p>
    <w:sectPr w:rsidR="009A04EC" w:rsidRPr="00CB608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833"/>
    <w:rsid w:val="00012D57"/>
    <w:rsid w:val="00035C4B"/>
    <w:rsid w:val="0004183E"/>
    <w:rsid w:val="00052FA2"/>
    <w:rsid w:val="000550FD"/>
    <w:rsid w:val="00057B14"/>
    <w:rsid w:val="00084ED7"/>
    <w:rsid w:val="000A3AC7"/>
    <w:rsid w:val="000B15BE"/>
    <w:rsid w:val="000C47F9"/>
    <w:rsid w:val="000F3ED1"/>
    <w:rsid w:val="00153535"/>
    <w:rsid w:val="001655AE"/>
    <w:rsid w:val="001701F3"/>
    <w:rsid w:val="001877BB"/>
    <w:rsid w:val="00196146"/>
    <w:rsid w:val="001B5485"/>
    <w:rsid w:val="001D3EE4"/>
    <w:rsid w:val="001E6515"/>
    <w:rsid w:val="001E79B4"/>
    <w:rsid w:val="00212103"/>
    <w:rsid w:val="00221CE8"/>
    <w:rsid w:val="002747B0"/>
    <w:rsid w:val="002A2081"/>
    <w:rsid w:val="002A7D48"/>
    <w:rsid w:val="002B15CA"/>
    <w:rsid w:val="002F6DF1"/>
    <w:rsid w:val="00300520"/>
    <w:rsid w:val="0032293D"/>
    <w:rsid w:val="00363A5E"/>
    <w:rsid w:val="003903AE"/>
    <w:rsid w:val="003977CB"/>
    <w:rsid w:val="003A3964"/>
    <w:rsid w:val="003B5CD2"/>
    <w:rsid w:val="004058F3"/>
    <w:rsid w:val="004221C4"/>
    <w:rsid w:val="00427212"/>
    <w:rsid w:val="00450A49"/>
    <w:rsid w:val="00495DA1"/>
    <w:rsid w:val="00495DA6"/>
    <w:rsid w:val="004E6F74"/>
    <w:rsid w:val="004E73C8"/>
    <w:rsid w:val="004F13C4"/>
    <w:rsid w:val="004F5234"/>
    <w:rsid w:val="005163F1"/>
    <w:rsid w:val="00527B2E"/>
    <w:rsid w:val="00562FCB"/>
    <w:rsid w:val="00616FD7"/>
    <w:rsid w:val="00623591"/>
    <w:rsid w:val="0062649E"/>
    <w:rsid w:val="006453B0"/>
    <w:rsid w:val="00651E81"/>
    <w:rsid w:val="006746B8"/>
    <w:rsid w:val="00676BF0"/>
    <w:rsid w:val="006866B7"/>
    <w:rsid w:val="006A77CE"/>
    <w:rsid w:val="006F2714"/>
    <w:rsid w:val="007014C1"/>
    <w:rsid w:val="00701B19"/>
    <w:rsid w:val="0070203F"/>
    <w:rsid w:val="0074081F"/>
    <w:rsid w:val="0077479A"/>
    <w:rsid w:val="007972ED"/>
    <w:rsid w:val="007B6EBE"/>
    <w:rsid w:val="00845A9B"/>
    <w:rsid w:val="00877403"/>
    <w:rsid w:val="008A5653"/>
    <w:rsid w:val="008C1608"/>
    <w:rsid w:val="008F60F7"/>
    <w:rsid w:val="00904756"/>
    <w:rsid w:val="00907833"/>
    <w:rsid w:val="00960959"/>
    <w:rsid w:val="009844E1"/>
    <w:rsid w:val="009A04EC"/>
    <w:rsid w:val="009A688F"/>
    <w:rsid w:val="009C71DF"/>
    <w:rsid w:val="009E1F74"/>
    <w:rsid w:val="009E7BCA"/>
    <w:rsid w:val="00A17F48"/>
    <w:rsid w:val="00A24BCA"/>
    <w:rsid w:val="00A5511B"/>
    <w:rsid w:val="00A82D5C"/>
    <w:rsid w:val="00AC209C"/>
    <w:rsid w:val="00AC4CFF"/>
    <w:rsid w:val="00B00FC1"/>
    <w:rsid w:val="00B02299"/>
    <w:rsid w:val="00B55CA6"/>
    <w:rsid w:val="00B618AD"/>
    <w:rsid w:val="00B90A29"/>
    <w:rsid w:val="00B978E5"/>
    <w:rsid w:val="00BB4AF4"/>
    <w:rsid w:val="00C37DCB"/>
    <w:rsid w:val="00C406F4"/>
    <w:rsid w:val="00C95F89"/>
    <w:rsid w:val="00CB6089"/>
    <w:rsid w:val="00CC5990"/>
    <w:rsid w:val="00D439D4"/>
    <w:rsid w:val="00D60D39"/>
    <w:rsid w:val="00D6401C"/>
    <w:rsid w:val="00D652DA"/>
    <w:rsid w:val="00D959C8"/>
    <w:rsid w:val="00DA47CC"/>
    <w:rsid w:val="00DD2751"/>
    <w:rsid w:val="00DF33E7"/>
    <w:rsid w:val="00E47271"/>
    <w:rsid w:val="00E5701F"/>
    <w:rsid w:val="00F1207B"/>
    <w:rsid w:val="00F51FAF"/>
    <w:rsid w:val="00F63811"/>
    <w:rsid w:val="00F916F7"/>
    <w:rsid w:val="00FA50B8"/>
    <w:rsid w:val="00FA77C7"/>
    <w:rsid w:val="00FB409B"/>
    <w:rsid w:val="00FD659F"/>
    <w:rsid w:val="00FE24B7"/>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67C4D52"/>
  <w15:chartTrackingRefBased/>
  <w15:docId w15:val="{19E73C71-DDF9-F649-8DF9-24E103E8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E79B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676419">
      <w:bodyDiv w:val="1"/>
      <w:marLeft w:val="0"/>
      <w:marRight w:val="0"/>
      <w:marTop w:val="0"/>
      <w:marBottom w:val="0"/>
      <w:divBdr>
        <w:top w:val="none" w:sz="0" w:space="0" w:color="auto"/>
        <w:left w:val="none" w:sz="0" w:space="0" w:color="auto"/>
        <w:bottom w:val="none" w:sz="0" w:space="0" w:color="auto"/>
        <w:right w:val="none" w:sz="0" w:space="0" w:color="auto"/>
      </w:divBdr>
    </w:div>
    <w:div w:id="345059339">
      <w:bodyDiv w:val="1"/>
      <w:marLeft w:val="0"/>
      <w:marRight w:val="0"/>
      <w:marTop w:val="0"/>
      <w:marBottom w:val="0"/>
      <w:divBdr>
        <w:top w:val="none" w:sz="0" w:space="0" w:color="auto"/>
        <w:left w:val="none" w:sz="0" w:space="0" w:color="auto"/>
        <w:bottom w:val="none" w:sz="0" w:space="0" w:color="auto"/>
        <w:right w:val="none" w:sz="0" w:space="0" w:color="auto"/>
      </w:divBdr>
    </w:div>
    <w:div w:id="399406487">
      <w:bodyDiv w:val="1"/>
      <w:marLeft w:val="0"/>
      <w:marRight w:val="0"/>
      <w:marTop w:val="0"/>
      <w:marBottom w:val="0"/>
      <w:divBdr>
        <w:top w:val="none" w:sz="0" w:space="0" w:color="auto"/>
        <w:left w:val="none" w:sz="0" w:space="0" w:color="auto"/>
        <w:bottom w:val="none" w:sz="0" w:space="0" w:color="auto"/>
        <w:right w:val="none" w:sz="0" w:space="0" w:color="auto"/>
      </w:divBdr>
    </w:div>
    <w:div w:id="747119064">
      <w:bodyDiv w:val="1"/>
      <w:marLeft w:val="0"/>
      <w:marRight w:val="0"/>
      <w:marTop w:val="0"/>
      <w:marBottom w:val="0"/>
      <w:divBdr>
        <w:top w:val="none" w:sz="0" w:space="0" w:color="auto"/>
        <w:left w:val="none" w:sz="0" w:space="0" w:color="auto"/>
        <w:bottom w:val="none" w:sz="0" w:space="0" w:color="auto"/>
        <w:right w:val="none" w:sz="0" w:space="0" w:color="auto"/>
      </w:divBdr>
    </w:div>
    <w:div w:id="1148521303">
      <w:bodyDiv w:val="1"/>
      <w:marLeft w:val="0"/>
      <w:marRight w:val="0"/>
      <w:marTop w:val="0"/>
      <w:marBottom w:val="0"/>
      <w:divBdr>
        <w:top w:val="none" w:sz="0" w:space="0" w:color="auto"/>
        <w:left w:val="none" w:sz="0" w:space="0" w:color="auto"/>
        <w:bottom w:val="none" w:sz="0" w:space="0" w:color="auto"/>
        <w:right w:val="none" w:sz="0" w:space="0" w:color="auto"/>
      </w:divBdr>
    </w:div>
    <w:div w:id="1418599037">
      <w:bodyDiv w:val="1"/>
      <w:marLeft w:val="0"/>
      <w:marRight w:val="0"/>
      <w:marTop w:val="0"/>
      <w:marBottom w:val="0"/>
      <w:divBdr>
        <w:top w:val="none" w:sz="0" w:space="0" w:color="auto"/>
        <w:left w:val="none" w:sz="0" w:space="0" w:color="auto"/>
        <w:bottom w:val="none" w:sz="0" w:space="0" w:color="auto"/>
        <w:right w:val="none" w:sz="0" w:space="0" w:color="auto"/>
      </w:divBdr>
    </w:div>
    <w:div w:id="1476527343">
      <w:bodyDiv w:val="1"/>
      <w:marLeft w:val="0"/>
      <w:marRight w:val="0"/>
      <w:marTop w:val="0"/>
      <w:marBottom w:val="0"/>
      <w:divBdr>
        <w:top w:val="none" w:sz="0" w:space="0" w:color="auto"/>
        <w:left w:val="none" w:sz="0" w:space="0" w:color="auto"/>
        <w:bottom w:val="none" w:sz="0" w:space="0" w:color="auto"/>
        <w:right w:val="none" w:sz="0" w:space="0" w:color="auto"/>
      </w:divBdr>
    </w:div>
    <w:div w:id="1497695248">
      <w:bodyDiv w:val="1"/>
      <w:marLeft w:val="0"/>
      <w:marRight w:val="0"/>
      <w:marTop w:val="0"/>
      <w:marBottom w:val="0"/>
      <w:divBdr>
        <w:top w:val="none" w:sz="0" w:space="0" w:color="auto"/>
        <w:left w:val="none" w:sz="0" w:space="0" w:color="auto"/>
        <w:bottom w:val="none" w:sz="0" w:space="0" w:color="auto"/>
        <w:right w:val="none" w:sz="0" w:space="0" w:color="auto"/>
      </w:divBdr>
    </w:div>
    <w:div w:id="1677223004">
      <w:bodyDiv w:val="1"/>
      <w:marLeft w:val="0"/>
      <w:marRight w:val="0"/>
      <w:marTop w:val="0"/>
      <w:marBottom w:val="0"/>
      <w:divBdr>
        <w:top w:val="none" w:sz="0" w:space="0" w:color="auto"/>
        <w:left w:val="none" w:sz="0" w:space="0" w:color="auto"/>
        <w:bottom w:val="none" w:sz="0" w:space="0" w:color="auto"/>
        <w:right w:val="none" w:sz="0" w:space="0" w:color="auto"/>
      </w:divBdr>
    </w:div>
    <w:div w:id="1901400016">
      <w:bodyDiv w:val="1"/>
      <w:marLeft w:val="0"/>
      <w:marRight w:val="0"/>
      <w:marTop w:val="0"/>
      <w:marBottom w:val="0"/>
      <w:divBdr>
        <w:top w:val="none" w:sz="0" w:space="0" w:color="auto"/>
        <w:left w:val="none" w:sz="0" w:space="0" w:color="auto"/>
        <w:bottom w:val="none" w:sz="0" w:space="0" w:color="auto"/>
        <w:right w:val="none" w:sz="0" w:space="0" w:color="auto"/>
      </w:divBdr>
    </w:div>
    <w:div w:id="1930583383">
      <w:bodyDiv w:val="1"/>
      <w:marLeft w:val="0"/>
      <w:marRight w:val="0"/>
      <w:marTop w:val="0"/>
      <w:marBottom w:val="0"/>
      <w:divBdr>
        <w:top w:val="none" w:sz="0" w:space="0" w:color="auto"/>
        <w:left w:val="none" w:sz="0" w:space="0" w:color="auto"/>
        <w:bottom w:val="none" w:sz="0" w:space="0" w:color="auto"/>
        <w:right w:val="none" w:sz="0" w:space="0" w:color="auto"/>
      </w:divBdr>
    </w:div>
    <w:div w:id="1940526141">
      <w:bodyDiv w:val="1"/>
      <w:marLeft w:val="0"/>
      <w:marRight w:val="0"/>
      <w:marTop w:val="0"/>
      <w:marBottom w:val="0"/>
      <w:divBdr>
        <w:top w:val="none" w:sz="0" w:space="0" w:color="auto"/>
        <w:left w:val="none" w:sz="0" w:space="0" w:color="auto"/>
        <w:bottom w:val="none" w:sz="0" w:space="0" w:color="auto"/>
        <w:right w:val="none" w:sz="0" w:space="0" w:color="auto"/>
      </w:divBdr>
    </w:div>
    <w:div w:id="1994291053">
      <w:bodyDiv w:val="1"/>
      <w:marLeft w:val="0"/>
      <w:marRight w:val="0"/>
      <w:marTop w:val="0"/>
      <w:marBottom w:val="0"/>
      <w:divBdr>
        <w:top w:val="none" w:sz="0" w:space="0" w:color="auto"/>
        <w:left w:val="none" w:sz="0" w:space="0" w:color="auto"/>
        <w:bottom w:val="none" w:sz="0" w:space="0" w:color="auto"/>
        <w:right w:val="none" w:sz="0" w:space="0" w:color="auto"/>
      </w:divBdr>
    </w:div>
    <w:div w:id="2130737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9</Pages>
  <Words>1267</Words>
  <Characters>7223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407787875@qq.com</dc:creator>
  <cp:keywords/>
  <dc:description/>
  <cp:lastModifiedBy>Microsoft Office User</cp:lastModifiedBy>
  <cp:revision>13</cp:revision>
  <dcterms:created xsi:type="dcterms:W3CDTF">2023-11-22T13:42:00Z</dcterms:created>
  <dcterms:modified xsi:type="dcterms:W3CDTF">2024-08-08T02:09:00Z</dcterms:modified>
</cp:coreProperties>
</file>