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EF5B0D" w14:textId="77777777" w:rsidR="00AF522B" w:rsidRPr="00B43C05" w:rsidRDefault="00AF522B" w:rsidP="00AF522B">
      <w:pPr>
        <w:pageBreakBefore/>
        <w:jc w:val="center"/>
        <w:rPr>
          <w:rFonts w:ascii="Times New Roman" w:hAnsi="Times New Roman" w:cs="Times New Roman"/>
          <w:b/>
          <w:bCs/>
          <w:szCs w:val="21"/>
        </w:rPr>
      </w:pPr>
      <w:r w:rsidRPr="00B43C05">
        <w:rPr>
          <w:rFonts w:ascii="Times New Roman" w:hAnsi="Times New Roman" w:cs="Times New Roman"/>
          <w:noProof/>
        </w:rPr>
        <w:drawing>
          <wp:inline distT="0" distB="0" distL="0" distR="0" wp14:anchorId="1B4F011A" wp14:editId="40EA146B">
            <wp:extent cx="5129530" cy="4058285"/>
            <wp:effectExtent l="0" t="0" r="0" b="0"/>
            <wp:docPr id="11547893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29530" cy="4058285"/>
                    </a:xfrm>
                    <a:prstGeom prst="rect">
                      <a:avLst/>
                    </a:prstGeom>
                    <a:noFill/>
                    <a:ln>
                      <a:noFill/>
                    </a:ln>
                  </pic:spPr>
                </pic:pic>
              </a:graphicData>
            </a:graphic>
          </wp:inline>
        </w:drawing>
      </w:r>
    </w:p>
    <w:p w14:paraId="3C84BCC4" w14:textId="77777777" w:rsidR="00AF522B" w:rsidRPr="00B43C05" w:rsidRDefault="00AF522B" w:rsidP="00AF522B">
      <w:pPr>
        <w:outlineLvl w:val="1"/>
        <w:rPr>
          <w:rFonts w:ascii="Times New Roman" w:hAnsi="Times New Roman" w:cs="Times New Roman"/>
          <w:szCs w:val="21"/>
        </w:rPr>
      </w:pPr>
      <w:r w:rsidRPr="00B43C05">
        <w:rPr>
          <w:rFonts w:ascii="Times New Roman" w:hAnsi="Times New Roman" w:cs="Times New Roman"/>
          <w:b/>
          <w:bCs/>
          <w:szCs w:val="21"/>
        </w:rPr>
        <w:t>Extended Data Fig. 1 | Heat storage pattern in different datasets.</w:t>
      </w:r>
      <w:r w:rsidRPr="00B43C05">
        <w:rPr>
          <w:rFonts w:ascii="Times New Roman" w:hAnsi="Times New Roman" w:cs="Times New Roman"/>
          <w:szCs w:val="21"/>
        </w:rPr>
        <w:t xml:space="preserve"> Patterns of 0-2000 m ocean heat content (OHC) trend (W m</w:t>
      </w:r>
      <w:r w:rsidRPr="00B43C05">
        <w:rPr>
          <w:rFonts w:ascii="Times New Roman" w:hAnsi="Times New Roman" w:cs="Times New Roman"/>
          <w:szCs w:val="21"/>
          <w:vertAlign w:val="superscript"/>
        </w:rPr>
        <w:t>-2</w:t>
      </w:r>
      <w:r w:rsidRPr="00B43C05">
        <w:rPr>
          <w:rFonts w:ascii="Times New Roman" w:hAnsi="Times New Roman" w:cs="Times New Roman"/>
          <w:szCs w:val="21"/>
        </w:rPr>
        <w:t>) based on WOA (</w:t>
      </w:r>
      <w:r w:rsidRPr="00B43C05">
        <w:rPr>
          <w:rFonts w:ascii="Times New Roman" w:hAnsi="Times New Roman" w:cs="Times New Roman"/>
          <w:b/>
          <w:bCs/>
          <w:szCs w:val="21"/>
        </w:rPr>
        <w:t>a</w:t>
      </w:r>
      <w:r w:rsidRPr="00B43C05">
        <w:rPr>
          <w:rFonts w:ascii="Times New Roman" w:hAnsi="Times New Roman" w:cs="Times New Roman"/>
          <w:szCs w:val="21"/>
        </w:rPr>
        <w:t>), ORA-S4 (</w:t>
      </w:r>
      <w:r w:rsidRPr="00B43C05">
        <w:rPr>
          <w:rFonts w:ascii="Times New Roman" w:hAnsi="Times New Roman" w:cs="Times New Roman"/>
          <w:b/>
          <w:bCs/>
          <w:szCs w:val="21"/>
        </w:rPr>
        <w:t>b</w:t>
      </w:r>
      <w:r w:rsidRPr="00B43C05">
        <w:rPr>
          <w:rFonts w:ascii="Times New Roman" w:hAnsi="Times New Roman" w:cs="Times New Roman"/>
          <w:szCs w:val="21"/>
        </w:rPr>
        <w:t>), Ishii (</w:t>
      </w:r>
      <w:r w:rsidRPr="00B43C05">
        <w:rPr>
          <w:rFonts w:ascii="Times New Roman" w:hAnsi="Times New Roman" w:cs="Times New Roman"/>
          <w:b/>
          <w:bCs/>
          <w:szCs w:val="21"/>
        </w:rPr>
        <w:t>c</w:t>
      </w:r>
      <w:r w:rsidRPr="00B43C05">
        <w:rPr>
          <w:rFonts w:ascii="Times New Roman" w:hAnsi="Times New Roman" w:cs="Times New Roman"/>
          <w:szCs w:val="21"/>
        </w:rPr>
        <w:t>), and EN4 (</w:t>
      </w:r>
      <w:r w:rsidRPr="00B43C05">
        <w:rPr>
          <w:rFonts w:ascii="Times New Roman" w:hAnsi="Times New Roman" w:cs="Times New Roman"/>
          <w:b/>
          <w:bCs/>
          <w:szCs w:val="21"/>
        </w:rPr>
        <w:t>d</w:t>
      </w:r>
      <w:r w:rsidRPr="00B43C05">
        <w:rPr>
          <w:rFonts w:ascii="Times New Roman" w:hAnsi="Times New Roman" w:cs="Times New Roman"/>
          <w:szCs w:val="21"/>
        </w:rPr>
        <w:t>). Stippling indicates significant trends at the 95% confidence level. The black boxes remark the regions with enhanced heat uptake: the mid-latitude North Pacific (MNP; 1</w:t>
      </w:r>
      <w:r w:rsidRPr="00B43C05">
        <w:rPr>
          <w:rFonts w:ascii="Times New Roman" w:hAnsi="Times New Roman" w:cs="Times New Roman"/>
          <w:szCs w:val="24"/>
        </w:rPr>
        <w:t>55°E-150°W, 40°-55°N</w:t>
      </w:r>
      <w:r w:rsidRPr="00B43C05">
        <w:rPr>
          <w:rFonts w:ascii="Times New Roman" w:hAnsi="Times New Roman" w:cs="Times New Roman"/>
          <w:szCs w:val="21"/>
        </w:rPr>
        <w:t>) and the northwest tropical Pacific (NWTP; 1</w:t>
      </w:r>
      <w:r w:rsidRPr="00B43C05">
        <w:rPr>
          <w:rFonts w:ascii="Times New Roman" w:hAnsi="Times New Roman" w:cs="Times New Roman"/>
          <w:szCs w:val="24"/>
        </w:rPr>
        <w:t>25°-180°E, 8°-18°N</w:t>
      </w:r>
      <w:r w:rsidRPr="00B43C05">
        <w:rPr>
          <w:rFonts w:ascii="Times New Roman" w:hAnsi="Times New Roman" w:cs="Times New Roman"/>
          <w:szCs w:val="21"/>
        </w:rPr>
        <w:t>).</w:t>
      </w:r>
    </w:p>
    <w:p w14:paraId="4B4A8A23" w14:textId="77777777" w:rsidR="00AF522B" w:rsidRPr="00B43C05" w:rsidRDefault="00AF522B" w:rsidP="00AF522B">
      <w:pPr>
        <w:pageBreakBefore/>
        <w:jc w:val="center"/>
        <w:rPr>
          <w:rFonts w:ascii="Times New Roman" w:hAnsi="Times New Roman" w:cs="Times New Roman"/>
          <w:b/>
          <w:bCs/>
          <w:szCs w:val="21"/>
        </w:rPr>
      </w:pPr>
      <w:r w:rsidRPr="00B43C05">
        <w:rPr>
          <w:rFonts w:ascii="Times New Roman" w:hAnsi="Times New Roman" w:cs="Times New Roman"/>
          <w:noProof/>
        </w:rPr>
        <w:lastRenderedPageBreak/>
        <w:drawing>
          <wp:inline distT="0" distB="0" distL="0" distR="0" wp14:anchorId="6F1E1BC5" wp14:editId="711C38AB">
            <wp:extent cx="4345305" cy="4838065"/>
            <wp:effectExtent l="0" t="0" r="0" b="635"/>
            <wp:docPr id="8616037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45305" cy="4838065"/>
                    </a:xfrm>
                    <a:prstGeom prst="rect">
                      <a:avLst/>
                    </a:prstGeom>
                    <a:noFill/>
                    <a:ln>
                      <a:noFill/>
                    </a:ln>
                  </pic:spPr>
                </pic:pic>
              </a:graphicData>
            </a:graphic>
          </wp:inline>
        </w:drawing>
      </w:r>
    </w:p>
    <w:p w14:paraId="05A23FE1" w14:textId="77777777" w:rsidR="00AF522B" w:rsidRPr="00B43C05" w:rsidRDefault="00AF522B" w:rsidP="00AF522B">
      <w:pPr>
        <w:outlineLvl w:val="1"/>
        <w:rPr>
          <w:rFonts w:ascii="Times New Roman" w:hAnsi="Times New Roman" w:cs="Times New Roman"/>
          <w:noProof/>
        </w:rPr>
      </w:pPr>
      <w:r w:rsidRPr="00B43C05">
        <w:rPr>
          <w:rFonts w:ascii="Times New Roman" w:hAnsi="Times New Roman" w:cs="Times New Roman"/>
          <w:b/>
          <w:bCs/>
          <w:szCs w:val="21"/>
        </w:rPr>
        <w:t xml:space="preserve">Extended Data Fig. 2 | Relationship between the evolution of OHC in the North Pacific and modes of natural variability. a, </w:t>
      </w:r>
      <w:r w:rsidRPr="00B43C05">
        <w:rPr>
          <w:rFonts w:ascii="Times New Roman" w:hAnsi="Times New Roman" w:cs="Times New Roman"/>
          <w:szCs w:val="21"/>
        </w:rPr>
        <w:t xml:space="preserve">Regional OHC of the NWTP derived from WND run of HYCOM 0.5° simulation and observed Oceanic Niño Index (ONI) and PDO indices for 1958-2019. </w:t>
      </w:r>
      <w:r w:rsidRPr="00B43C05">
        <w:rPr>
          <w:rFonts w:ascii="Times New Roman" w:hAnsi="Times New Roman" w:cs="Times New Roman"/>
          <w:b/>
          <w:bCs/>
          <w:szCs w:val="21"/>
        </w:rPr>
        <w:t xml:space="preserve">b </w:t>
      </w:r>
      <w:r w:rsidRPr="00B43C05">
        <w:rPr>
          <w:rFonts w:ascii="Times New Roman" w:hAnsi="Times New Roman" w:cs="Times New Roman"/>
          <w:szCs w:val="21"/>
        </w:rPr>
        <w:t xml:space="preserve">Same as </w:t>
      </w:r>
      <w:r w:rsidRPr="00B43C05">
        <w:rPr>
          <w:rFonts w:ascii="Times New Roman" w:hAnsi="Times New Roman" w:cs="Times New Roman"/>
          <w:b/>
          <w:bCs/>
          <w:szCs w:val="21"/>
        </w:rPr>
        <w:t>a</w:t>
      </w:r>
      <w:r w:rsidRPr="00B43C05">
        <w:rPr>
          <w:rFonts w:ascii="Times New Roman" w:hAnsi="Times New Roman" w:cs="Times New Roman"/>
          <w:szCs w:val="21"/>
        </w:rPr>
        <w:t>, but for regional OHC of the MNP and the PDO index. The linear trends of regional OHC anomalies of the NWTP and MNP are removed. All timeseries are normalized by their standard deviations.</w:t>
      </w:r>
      <w:r w:rsidRPr="00B43C05">
        <w:rPr>
          <w:rFonts w:ascii="Times New Roman" w:hAnsi="Times New Roman" w:cs="Times New Roman"/>
          <w:b/>
          <w:bCs/>
          <w:szCs w:val="21"/>
        </w:rPr>
        <w:t xml:space="preserve"> </w:t>
      </w:r>
      <w:r w:rsidRPr="00B43C05">
        <w:rPr>
          <w:rFonts w:ascii="Times New Roman" w:hAnsi="Times New Roman" w:cs="Times New Roman"/>
          <w:szCs w:val="21"/>
        </w:rPr>
        <w:t>The PDO index is smoothed by LOWESS (locally weighted scatterplot smoothing) with a span width of 8 years. The monthly ONI is downloaded from the Climate Prediction Center of the National Weather Service website and averaged to the annual mean.</w:t>
      </w:r>
      <w:r w:rsidRPr="00B43C05">
        <w:rPr>
          <w:rFonts w:ascii="Times New Roman" w:hAnsi="Times New Roman" w:cs="Times New Roman"/>
          <w:noProof/>
        </w:rPr>
        <w:t xml:space="preserve"> </w:t>
      </w:r>
    </w:p>
    <w:p w14:paraId="3C794214" w14:textId="77777777" w:rsidR="00AF522B" w:rsidRPr="00B43C05" w:rsidRDefault="00AF522B" w:rsidP="00AF522B">
      <w:pPr>
        <w:jc w:val="center"/>
        <w:rPr>
          <w:rFonts w:ascii="Times New Roman" w:hAnsi="Times New Roman" w:cs="Times New Roman"/>
        </w:rPr>
      </w:pPr>
      <w:r w:rsidRPr="00B43C05">
        <w:rPr>
          <w:rFonts w:ascii="Times New Roman" w:hAnsi="Times New Roman" w:cs="Times New Roman"/>
          <w:noProof/>
        </w:rPr>
        <w:lastRenderedPageBreak/>
        <w:drawing>
          <wp:inline distT="0" distB="0" distL="0" distR="0" wp14:anchorId="62B6EBBC" wp14:editId="1E7E6FA1">
            <wp:extent cx="4320000" cy="5706000"/>
            <wp:effectExtent l="0" t="0" r="4445" b="9525"/>
            <wp:docPr id="11733898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0000" cy="5706000"/>
                    </a:xfrm>
                    <a:prstGeom prst="rect">
                      <a:avLst/>
                    </a:prstGeom>
                    <a:noFill/>
                    <a:ln>
                      <a:noFill/>
                    </a:ln>
                  </pic:spPr>
                </pic:pic>
              </a:graphicData>
            </a:graphic>
          </wp:inline>
        </w:drawing>
      </w:r>
    </w:p>
    <w:p w14:paraId="12E8BA9B" w14:textId="77777777" w:rsidR="00AF522B" w:rsidRPr="00B43C05" w:rsidRDefault="00AF522B" w:rsidP="00AF522B">
      <w:pPr>
        <w:outlineLvl w:val="1"/>
        <w:rPr>
          <w:rFonts w:ascii="Times New Roman" w:eastAsia="SimHei" w:hAnsi="Times New Roman" w:cs="Times New Roman"/>
          <w:szCs w:val="21"/>
        </w:rPr>
      </w:pPr>
      <w:r w:rsidRPr="00B43C05">
        <w:rPr>
          <w:rFonts w:ascii="Times New Roman" w:hAnsi="Times New Roman" w:cs="Times New Roman"/>
          <w:b/>
          <w:bCs/>
          <w:szCs w:val="21"/>
        </w:rPr>
        <w:t xml:space="preserve">Extended Data Fig. 3 | Simulated impacts of </w:t>
      </w:r>
      <w:r>
        <w:rPr>
          <w:rFonts w:ascii="Times New Roman" w:hAnsi="Times New Roman" w:cs="Times New Roman" w:hint="eastAsia"/>
          <w:b/>
          <w:bCs/>
          <w:szCs w:val="21"/>
        </w:rPr>
        <w:t>t</w:t>
      </w:r>
      <w:r>
        <w:rPr>
          <w:rFonts w:ascii="Times New Roman" w:hAnsi="Times New Roman" w:cs="Times New Roman"/>
          <w:b/>
          <w:bCs/>
          <w:szCs w:val="21"/>
        </w:rPr>
        <w:t xml:space="preserve">he </w:t>
      </w:r>
      <w:r w:rsidRPr="00B43C05">
        <w:rPr>
          <w:rFonts w:ascii="Times New Roman" w:hAnsi="Times New Roman" w:cs="Times New Roman"/>
          <w:b/>
          <w:bCs/>
          <w:szCs w:val="21"/>
        </w:rPr>
        <w:t>PDO on</w:t>
      </w:r>
      <w:r>
        <w:rPr>
          <w:rFonts w:ascii="Times New Roman" w:hAnsi="Times New Roman" w:cs="Times New Roman"/>
          <w:b/>
          <w:bCs/>
          <w:szCs w:val="21"/>
        </w:rPr>
        <w:t xml:space="preserve"> the</w:t>
      </w:r>
      <w:r w:rsidRPr="00B43C05">
        <w:rPr>
          <w:rFonts w:ascii="Times New Roman" w:hAnsi="Times New Roman" w:cs="Times New Roman"/>
          <w:b/>
          <w:bCs/>
          <w:szCs w:val="21"/>
        </w:rPr>
        <w:t xml:space="preserve"> Kuroshio Extension (KE). a, </w:t>
      </w:r>
      <w:r>
        <w:rPr>
          <w:rFonts w:ascii="Times New Roman" w:hAnsi="Times New Roman" w:cs="Times New Roman"/>
          <w:szCs w:val="21"/>
        </w:rPr>
        <w:t>The n</w:t>
      </w:r>
      <w:r w:rsidRPr="00B43C05">
        <w:rPr>
          <w:rFonts w:ascii="Times New Roman" w:hAnsi="Times New Roman" w:cs="Times New Roman"/>
          <w:szCs w:val="21"/>
        </w:rPr>
        <w:t>ormalized</w:t>
      </w:r>
      <w:r w:rsidRPr="00B43C05">
        <w:rPr>
          <w:rFonts w:ascii="Times New Roman" w:hAnsi="Times New Roman" w:cs="Times New Roman"/>
          <w:b/>
          <w:bCs/>
          <w:szCs w:val="21"/>
        </w:rPr>
        <w:t xml:space="preserve"> </w:t>
      </w:r>
      <w:r w:rsidRPr="00B43C05">
        <w:rPr>
          <w:rFonts w:ascii="Times New Roman" w:hAnsi="Times New Roman" w:cs="Times New Roman"/>
          <w:szCs w:val="21"/>
        </w:rPr>
        <w:t>OHC anomal</w:t>
      </w:r>
      <w:r>
        <w:rPr>
          <w:rFonts w:ascii="Times New Roman" w:hAnsi="Times New Roman" w:cs="Times New Roman"/>
          <w:szCs w:val="21"/>
        </w:rPr>
        <w:t>y</w:t>
      </w:r>
      <w:r w:rsidRPr="00B43C05">
        <w:rPr>
          <w:rFonts w:ascii="Times New Roman" w:hAnsi="Times New Roman" w:cs="Times New Roman"/>
          <w:szCs w:val="21"/>
        </w:rPr>
        <w:t xml:space="preserve"> </w:t>
      </w:r>
      <w:r>
        <w:rPr>
          <w:rFonts w:ascii="Times New Roman" w:hAnsi="Times New Roman" w:cs="Times New Roman"/>
          <w:szCs w:val="21"/>
        </w:rPr>
        <w:t>of the</w:t>
      </w:r>
      <w:r w:rsidRPr="00B43C05">
        <w:rPr>
          <w:rFonts w:ascii="Times New Roman" w:hAnsi="Times New Roman" w:cs="Times New Roman"/>
          <w:szCs w:val="21"/>
        </w:rPr>
        <w:t xml:space="preserve"> southern recirculation region</w:t>
      </w:r>
      <w:r>
        <w:rPr>
          <w:rFonts w:ascii="Times New Roman" w:hAnsi="Times New Roman" w:cs="Times New Roman"/>
          <w:szCs w:val="21"/>
        </w:rPr>
        <w:t xml:space="preserve"> (</w:t>
      </w:r>
      <w:r w:rsidRPr="00B43C05">
        <w:rPr>
          <w:rFonts w:ascii="Times New Roman" w:hAnsi="Times New Roman" w:cs="Times New Roman"/>
          <w:szCs w:val="21"/>
        </w:rPr>
        <w:t>140°-165°E, 31°-36°N</w:t>
      </w:r>
      <w:r>
        <w:rPr>
          <w:rFonts w:ascii="Times New Roman" w:hAnsi="Times New Roman" w:cs="Times New Roman"/>
          <w:szCs w:val="21"/>
        </w:rPr>
        <w:t>)</w:t>
      </w:r>
      <w:r w:rsidRPr="00B43C05">
        <w:rPr>
          <w:rFonts w:ascii="Times New Roman" w:hAnsi="Times New Roman" w:cs="Times New Roman"/>
          <w:szCs w:val="21"/>
        </w:rPr>
        <w:t xml:space="preserve">. </w:t>
      </w:r>
      <w:r w:rsidRPr="00B43C05">
        <w:rPr>
          <w:rFonts w:ascii="Times New Roman" w:hAnsi="Times New Roman" w:cs="Times New Roman"/>
          <w:b/>
          <w:bCs/>
          <w:szCs w:val="21"/>
        </w:rPr>
        <w:t xml:space="preserve">b, </w:t>
      </w:r>
      <w:r>
        <w:rPr>
          <w:rFonts w:ascii="Times New Roman" w:hAnsi="Times New Roman" w:cs="Times New Roman"/>
          <w:szCs w:val="21"/>
        </w:rPr>
        <w:t>Time-longitude plot of S</w:t>
      </w:r>
      <w:r w:rsidRPr="00B43C05">
        <w:rPr>
          <w:rFonts w:ascii="Times New Roman" w:hAnsi="Times New Roman" w:cs="Times New Roman"/>
          <w:szCs w:val="21"/>
        </w:rPr>
        <w:t>SH anomal</w:t>
      </w:r>
      <w:r>
        <w:rPr>
          <w:rFonts w:ascii="Times New Roman" w:hAnsi="Times New Roman" w:cs="Times New Roman"/>
          <w:szCs w:val="21"/>
        </w:rPr>
        <w:t>y</w:t>
      </w:r>
      <w:r w:rsidRPr="00B43C05">
        <w:rPr>
          <w:rFonts w:ascii="Times New Roman" w:hAnsi="Times New Roman" w:cs="Times New Roman"/>
          <w:szCs w:val="21"/>
        </w:rPr>
        <w:t xml:space="preserve"> along the zonal band of 32°-34°N</w:t>
      </w:r>
      <w:r>
        <w:rPr>
          <w:rFonts w:ascii="Times New Roman" w:hAnsi="Times New Roman" w:cs="Times New Roman"/>
          <w:szCs w:val="21"/>
        </w:rPr>
        <w:t xml:space="preserve">. </w:t>
      </w:r>
      <w:r w:rsidRPr="00826CF3">
        <w:rPr>
          <w:rFonts w:ascii="Times New Roman" w:hAnsi="Times New Roman" w:cs="Times New Roman"/>
          <w:b/>
          <w:bCs/>
          <w:szCs w:val="21"/>
        </w:rPr>
        <w:t xml:space="preserve">a, b </w:t>
      </w:r>
      <w:r>
        <w:rPr>
          <w:rFonts w:ascii="Times New Roman" w:hAnsi="Times New Roman" w:cs="Times New Roman"/>
          <w:szCs w:val="21"/>
        </w:rPr>
        <w:t>are based on</w:t>
      </w:r>
      <w:r w:rsidRPr="00B43C05">
        <w:rPr>
          <w:rFonts w:ascii="Times New Roman" w:hAnsi="Times New Roman" w:cs="Times New Roman"/>
          <w:szCs w:val="21"/>
        </w:rPr>
        <w:t xml:space="preserve"> </w:t>
      </w:r>
      <w:r>
        <w:rPr>
          <w:rFonts w:ascii="Times New Roman" w:hAnsi="Times New Roman" w:cs="Times New Roman"/>
          <w:szCs w:val="21"/>
        </w:rPr>
        <w:t xml:space="preserve">monthly </w:t>
      </w:r>
      <w:r w:rsidRPr="00B43C05">
        <w:rPr>
          <w:rFonts w:ascii="Times New Roman" w:hAnsi="Times New Roman" w:cs="Times New Roman"/>
          <w:szCs w:val="21"/>
        </w:rPr>
        <w:t xml:space="preserve">HYCOM 0.1° </w:t>
      </w:r>
      <w:r>
        <w:rPr>
          <w:rFonts w:ascii="Times New Roman" w:hAnsi="Times New Roman" w:cs="Times New Roman"/>
          <w:szCs w:val="21"/>
        </w:rPr>
        <w:t>simulation of 1979-2021</w:t>
      </w:r>
      <w:r w:rsidRPr="00B43C05">
        <w:rPr>
          <w:rFonts w:ascii="Times New Roman" w:hAnsi="Times New Roman" w:cs="Times New Roman"/>
          <w:szCs w:val="21"/>
        </w:rPr>
        <w:t xml:space="preserve">. The black arrows </w:t>
      </w:r>
      <w:r>
        <w:rPr>
          <w:rFonts w:ascii="Times New Roman" w:hAnsi="Times New Roman" w:cs="Times New Roman"/>
          <w:szCs w:val="21"/>
        </w:rPr>
        <w:t>in (</w:t>
      </w:r>
      <w:r w:rsidRPr="00826CF3">
        <w:rPr>
          <w:rFonts w:ascii="Times New Roman" w:hAnsi="Times New Roman" w:cs="Times New Roman"/>
          <w:b/>
          <w:bCs/>
          <w:szCs w:val="21"/>
        </w:rPr>
        <w:t>b</w:t>
      </w:r>
      <w:r>
        <w:rPr>
          <w:rFonts w:ascii="Times New Roman" w:hAnsi="Times New Roman" w:cs="Times New Roman"/>
          <w:szCs w:val="21"/>
        </w:rPr>
        <w:t xml:space="preserve">) </w:t>
      </w:r>
      <w:r w:rsidRPr="00B43C05">
        <w:rPr>
          <w:rFonts w:ascii="Times New Roman" w:hAnsi="Times New Roman" w:cs="Times New Roman"/>
          <w:szCs w:val="21"/>
        </w:rPr>
        <w:t xml:space="preserve">indicate the propagation of Rossby waves. </w:t>
      </w:r>
      <w:r w:rsidRPr="00B43C05">
        <w:rPr>
          <w:rFonts w:ascii="Times New Roman" w:hAnsi="Times New Roman" w:cs="Times New Roman"/>
          <w:b/>
          <w:bCs/>
          <w:szCs w:val="21"/>
        </w:rPr>
        <w:t xml:space="preserve">c, </w:t>
      </w:r>
      <w:r>
        <w:rPr>
          <w:rFonts w:ascii="Times New Roman" w:hAnsi="Times New Roman" w:cs="Times New Roman"/>
          <w:szCs w:val="21"/>
        </w:rPr>
        <w:t>The n</w:t>
      </w:r>
      <w:r w:rsidRPr="00B43C05">
        <w:rPr>
          <w:rFonts w:ascii="Times New Roman" w:hAnsi="Times New Roman" w:cs="Times New Roman"/>
          <w:szCs w:val="21"/>
        </w:rPr>
        <w:t>ormalized</w:t>
      </w:r>
      <w:r>
        <w:rPr>
          <w:rFonts w:ascii="Times New Roman" w:hAnsi="Times New Roman" w:cs="Times New Roman"/>
          <w:szCs w:val="21"/>
        </w:rPr>
        <w:t xml:space="preserve"> monthly</w:t>
      </w:r>
      <w:r w:rsidRPr="00B43C05">
        <w:rPr>
          <w:rFonts w:ascii="Times New Roman" w:hAnsi="Times New Roman" w:cs="Times New Roman"/>
          <w:szCs w:val="21"/>
        </w:rPr>
        <w:t xml:space="preserve"> PDO index based on HadISST </w:t>
      </w:r>
      <w:r>
        <w:rPr>
          <w:rFonts w:ascii="Times New Roman" w:hAnsi="Times New Roman" w:cs="Times New Roman"/>
          <w:szCs w:val="21"/>
        </w:rPr>
        <w:t>data</w:t>
      </w:r>
      <w:r w:rsidRPr="00B43C05">
        <w:rPr>
          <w:rFonts w:ascii="Times New Roman" w:hAnsi="Times New Roman" w:cs="Times New Roman"/>
          <w:szCs w:val="21"/>
        </w:rPr>
        <w:t>.</w:t>
      </w:r>
    </w:p>
    <w:p w14:paraId="054B8EC6" w14:textId="77777777" w:rsidR="00AF522B" w:rsidRPr="00B43C05" w:rsidRDefault="00AF522B" w:rsidP="00AF522B">
      <w:pPr>
        <w:jc w:val="center"/>
        <w:rPr>
          <w:rFonts w:ascii="Times New Roman" w:hAnsi="Times New Roman" w:cs="Times New Roman"/>
          <w:b/>
          <w:bCs/>
          <w:szCs w:val="21"/>
        </w:rPr>
      </w:pPr>
      <w:r w:rsidRPr="00B43C05">
        <w:rPr>
          <w:rFonts w:ascii="Times New Roman" w:hAnsi="Times New Roman" w:cs="Times New Roman"/>
          <w:noProof/>
        </w:rPr>
        <w:lastRenderedPageBreak/>
        <w:drawing>
          <wp:inline distT="0" distB="0" distL="0" distR="0" wp14:anchorId="738D2F47" wp14:editId="0A5BB50D">
            <wp:extent cx="4680000" cy="6181200"/>
            <wp:effectExtent l="0" t="0" r="6350" b="0"/>
            <wp:docPr id="7157772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0000" cy="6181200"/>
                    </a:xfrm>
                    <a:prstGeom prst="rect">
                      <a:avLst/>
                    </a:prstGeom>
                    <a:noFill/>
                    <a:ln>
                      <a:noFill/>
                    </a:ln>
                  </pic:spPr>
                </pic:pic>
              </a:graphicData>
            </a:graphic>
          </wp:inline>
        </w:drawing>
      </w:r>
    </w:p>
    <w:p w14:paraId="3EB0F9D4" w14:textId="77777777" w:rsidR="00AF522B" w:rsidRPr="00B43C05" w:rsidRDefault="00AF522B" w:rsidP="00AF522B">
      <w:pPr>
        <w:outlineLvl w:val="1"/>
        <w:rPr>
          <w:rFonts w:ascii="Times New Roman" w:hAnsi="Times New Roman" w:cs="Times New Roman"/>
          <w:snapToGrid w:val="0"/>
          <w:color w:val="000000"/>
          <w:w w:val="0"/>
          <w:kern w:val="0"/>
          <w:sz w:val="0"/>
          <w:szCs w:val="0"/>
          <w:u w:color="000000"/>
          <w:bdr w:val="none" w:sz="0" w:space="0" w:color="000000"/>
          <w:shd w:val="clear" w:color="000000" w:fill="000000"/>
          <w:lang w:bidi="x-none"/>
        </w:rPr>
      </w:pPr>
      <w:r w:rsidRPr="00B43C05">
        <w:rPr>
          <w:rFonts w:ascii="Times New Roman" w:hAnsi="Times New Roman" w:cs="Times New Roman"/>
          <w:b/>
          <w:bCs/>
          <w:szCs w:val="21"/>
        </w:rPr>
        <w:t xml:space="preserve">Extended Data Fig. 4 | Simulated impacts of </w:t>
      </w:r>
      <w:r>
        <w:rPr>
          <w:rFonts w:ascii="Times New Roman" w:hAnsi="Times New Roman" w:cs="Times New Roman"/>
          <w:b/>
          <w:bCs/>
          <w:szCs w:val="21"/>
        </w:rPr>
        <w:t xml:space="preserve">the </w:t>
      </w:r>
      <w:r w:rsidRPr="00B43C05">
        <w:rPr>
          <w:rFonts w:ascii="Times New Roman" w:hAnsi="Times New Roman" w:cs="Times New Roman"/>
          <w:b/>
          <w:bCs/>
          <w:szCs w:val="21"/>
        </w:rPr>
        <w:t xml:space="preserve">PDO on MNP. a, </w:t>
      </w:r>
      <w:r>
        <w:rPr>
          <w:rFonts w:ascii="Times New Roman" w:hAnsi="Times New Roman" w:cs="Times New Roman"/>
          <w:szCs w:val="21"/>
        </w:rPr>
        <w:t>The n</w:t>
      </w:r>
      <w:r w:rsidRPr="00B43C05">
        <w:rPr>
          <w:rFonts w:ascii="Times New Roman" w:hAnsi="Times New Roman" w:cs="Times New Roman"/>
          <w:szCs w:val="21"/>
        </w:rPr>
        <w:t>ormalized</w:t>
      </w:r>
      <w:r w:rsidRPr="00B43C05">
        <w:rPr>
          <w:rFonts w:ascii="Times New Roman" w:hAnsi="Times New Roman" w:cs="Times New Roman"/>
          <w:b/>
          <w:bCs/>
          <w:szCs w:val="21"/>
        </w:rPr>
        <w:t xml:space="preserve"> </w:t>
      </w:r>
      <w:r w:rsidRPr="00B43C05">
        <w:rPr>
          <w:rFonts w:ascii="Times New Roman" w:hAnsi="Times New Roman" w:cs="Times New Roman"/>
          <w:szCs w:val="21"/>
        </w:rPr>
        <w:t>OHC anomal</w:t>
      </w:r>
      <w:r>
        <w:rPr>
          <w:rFonts w:ascii="Times New Roman" w:hAnsi="Times New Roman" w:cs="Times New Roman"/>
          <w:szCs w:val="21"/>
        </w:rPr>
        <w:t>y of the</w:t>
      </w:r>
      <w:r w:rsidRPr="00B43C05">
        <w:rPr>
          <w:rFonts w:ascii="Times New Roman" w:hAnsi="Times New Roman" w:cs="Times New Roman"/>
          <w:szCs w:val="21"/>
        </w:rPr>
        <w:t xml:space="preserve"> MNP region </w:t>
      </w:r>
      <w:r>
        <w:rPr>
          <w:rFonts w:ascii="Times New Roman" w:hAnsi="Times New Roman" w:cs="Times New Roman"/>
          <w:szCs w:val="21"/>
        </w:rPr>
        <w:t>(</w:t>
      </w:r>
      <w:r w:rsidRPr="00B43C05">
        <w:rPr>
          <w:rFonts w:ascii="Times New Roman" w:hAnsi="Times New Roman" w:cs="Times New Roman"/>
          <w:szCs w:val="21"/>
        </w:rPr>
        <w:t>1</w:t>
      </w:r>
      <w:r w:rsidRPr="00B43C05">
        <w:rPr>
          <w:rFonts w:ascii="Times New Roman" w:hAnsi="Times New Roman" w:cs="Times New Roman"/>
          <w:szCs w:val="24"/>
        </w:rPr>
        <w:t>55°E-150°W, 40°-55°N</w:t>
      </w:r>
      <w:r>
        <w:rPr>
          <w:rFonts w:ascii="Times New Roman" w:hAnsi="Times New Roman" w:cs="Times New Roman"/>
          <w:szCs w:val="24"/>
        </w:rPr>
        <w:t>)</w:t>
      </w:r>
      <w:r w:rsidRPr="00B43C05">
        <w:rPr>
          <w:rFonts w:ascii="Times New Roman" w:hAnsi="Times New Roman" w:cs="Times New Roman"/>
          <w:szCs w:val="21"/>
        </w:rPr>
        <w:t>.</w:t>
      </w:r>
      <w:bookmarkStart w:id="0" w:name="_Hlk167347714"/>
      <w:r w:rsidRPr="00B43C05">
        <w:rPr>
          <w:rFonts w:ascii="Times New Roman" w:hAnsi="Times New Roman" w:cs="Times New Roman"/>
          <w:szCs w:val="21"/>
        </w:rPr>
        <w:t xml:space="preserve"> Linear trend of </w:t>
      </w:r>
      <w:r>
        <w:rPr>
          <w:rFonts w:ascii="Times New Roman" w:hAnsi="Times New Roman" w:cs="Times New Roman"/>
          <w:szCs w:val="21"/>
        </w:rPr>
        <w:t xml:space="preserve">the </w:t>
      </w:r>
      <w:r w:rsidRPr="00B43C05">
        <w:rPr>
          <w:rFonts w:ascii="Times New Roman" w:hAnsi="Times New Roman" w:cs="Times New Roman"/>
          <w:szCs w:val="21"/>
        </w:rPr>
        <w:t>OHC anomal</w:t>
      </w:r>
      <w:r>
        <w:rPr>
          <w:rFonts w:ascii="Times New Roman" w:hAnsi="Times New Roman" w:cs="Times New Roman"/>
          <w:szCs w:val="21"/>
        </w:rPr>
        <w:t>y is</w:t>
      </w:r>
      <w:r w:rsidRPr="00B43C05">
        <w:rPr>
          <w:rFonts w:ascii="Times New Roman" w:hAnsi="Times New Roman" w:cs="Times New Roman"/>
          <w:szCs w:val="21"/>
        </w:rPr>
        <w:t xml:space="preserve"> removed. </w:t>
      </w:r>
      <w:bookmarkEnd w:id="0"/>
      <w:r w:rsidRPr="00B43C05">
        <w:rPr>
          <w:rFonts w:ascii="Times New Roman" w:hAnsi="Times New Roman" w:cs="Times New Roman"/>
          <w:b/>
          <w:bCs/>
          <w:szCs w:val="21"/>
        </w:rPr>
        <w:t xml:space="preserve">b, </w:t>
      </w:r>
      <w:r w:rsidRPr="009D1BE7">
        <w:rPr>
          <w:rFonts w:ascii="Times New Roman" w:hAnsi="Times New Roman" w:cs="Times New Roman"/>
          <w:szCs w:val="21"/>
        </w:rPr>
        <w:t>Time-longitude plot of</w:t>
      </w:r>
      <w:r>
        <w:rPr>
          <w:rFonts w:ascii="Times New Roman" w:hAnsi="Times New Roman" w:cs="Times New Roman"/>
          <w:b/>
          <w:bCs/>
          <w:szCs w:val="21"/>
        </w:rPr>
        <w:t xml:space="preserve"> </w:t>
      </w:r>
      <w:r w:rsidRPr="00B43C05">
        <w:rPr>
          <w:rFonts w:ascii="Times New Roman" w:hAnsi="Times New Roman" w:cs="Times New Roman"/>
          <w:szCs w:val="21"/>
        </w:rPr>
        <w:t>SSH anomal</w:t>
      </w:r>
      <w:r>
        <w:rPr>
          <w:rFonts w:ascii="Times New Roman" w:hAnsi="Times New Roman" w:cs="Times New Roman"/>
          <w:szCs w:val="21"/>
        </w:rPr>
        <w:t>y</w:t>
      </w:r>
      <w:r w:rsidRPr="00B43C05">
        <w:rPr>
          <w:rFonts w:ascii="Times New Roman" w:hAnsi="Times New Roman" w:cs="Times New Roman"/>
          <w:szCs w:val="21"/>
        </w:rPr>
        <w:t xml:space="preserve"> along the zonal band of 40°-55°N. To highlight interannual-to-interdecadal variations, the SSH anomalies are detrended and smoothed by LOWESS (locally weighted scatterplot smoothing) with a span width of 2 years. </w:t>
      </w:r>
      <w:r w:rsidRPr="00826CF3">
        <w:rPr>
          <w:rFonts w:ascii="Times New Roman" w:hAnsi="Times New Roman" w:cs="Times New Roman"/>
          <w:b/>
          <w:bCs/>
          <w:szCs w:val="21"/>
        </w:rPr>
        <w:t xml:space="preserve">a, b </w:t>
      </w:r>
      <w:r>
        <w:rPr>
          <w:rFonts w:ascii="Times New Roman" w:hAnsi="Times New Roman" w:cs="Times New Roman"/>
          <w:szCs w:val="21"/>
        </w:rPr>
        <w:t>are based on</w:t>
      </w:r>
      <w:r w:rsidRPr="00B43C05">
        <w:rPr>
          <w:rFonts w:ascii="Times New Roman" w:hAnsi="Times New Roman" w:cs="Times New Roman"/>
          <w:szCs w:val="21"/>
        </w:rPr>
        <w:t xml:space="preserve"> </w:t>
      </w:r>
      <w:r>
        <w:rPr>
          <w:rFonts w:ascii="Times New Roman" w:hAnsi="Times New Roman" w:cs="Times New Roman"/>
          <w:szCs w:val="21"/>
        </w:rPr>
        <w:t xml:space="preserve">monthly </w:t>
      </w:r>
      <w:r w:rsidRPr="00B43C05">
        <w:rPr>
          <w:rFonts w:ascii="Times New Roman" w:hAnsi="Times New Roman" w:cs="Times New Roman"/>
          <w:szCs w:val="21"/>
        </w:rPr>
        <w:t xml:space="preserve">HYCOM 0.1° </w:t>
      </w:r>
      <w:r>
        <w:rPr>
          <w:rFonts w:ascii="Times New Roman" w:hAnsi="Times New Roman" w:cs="Times New Roman"/>
          <w:szCs w:val="21"/>
        </w:rPr>
        <w:t>simulation of 1979-2021</w:t>
      </w:r>
      <w:r w:rsidRPr="00B43C05">
        <w:rPr>
          <w:rFonts w:ascii="Times New Roman" w:hAnsi="Times New Roman" w:cs="Times New Roman"/>
          <w:szCs w:val="21"/>
        </w:rPr>
        <w:t>. The black arrow</w:t>
      </w:r>
      <w:r>
        <w:rPr>
          <w:rFonts w:ascii="Times New Roman" w:hAnsi="Times New Roman" w:cs="Times New Roman"/>
          <w:szCs w:val="21"/>
        </w:rPr>
        <w:t xml:space="preserve"> in (</w:t>
      </w:r>
      <w:r w:rsidRPr="00B44066">
        <w:rPr>
          <w:rFonts w:ascii="Times New Roman" w:hAnsi="Times New Roman" w:cs="Times New Roman"/>
          <w:b/>
          <w:bCs/>
          <w:szCs w:val="21"/>
        </w:rPr>
        <w:t>b</w:t>
      </w:r>
      <w:r>
        <w:rPr>
          <w:rFonts w:ascii="Times New Roman" w:hAnsi="Times New Roman" w:cs="Times New Roman"/>
          <w:szCs w:val="21"/>
        </w:rPr>
        <w:t>)</w:t>
      </w:r>
      <w:r w:rsidRPr="00B43C05">
        <w:rPr>
          <w:rFonts w:ascii="Times New Roman" w:hAnsi="Times New Roman" w:cs="Times New Roman"/>
          <w:szCs w:val="21"/>
        </w:rPr>
        <w:t xml:space="preserve"> indicates the propagation of Rossby waves. </w:t>
      </w:r>
      <w:r w:rsidRPr="00B43C05">
        <w:rPr>
          <w:rFonts w:ascii="Times New Roman" w:hAnsi="Times New Roman" w:cs="Times New Roman"/>
          <w:b/>
          <w:bCs/>
          <w:szCs w:val="21"/>
        </w:rPr>
        <w:t xml:space="preserve">c, </w:t>
      </w:r>
      <w:r>
        <w:rPr>
          <w:rFonts w:ascii="Times New Roman" w:hAnsi="Times New Roman" w:cs="Times New Roman"/>
          <w:szCs w:val="21"/>
        </w:rPr>
        <w:t>The n</w:t>
      </w:r>
      <w:r w:rsidRPr="00B43C05">
        <w:rPr>
          <w:rFonts w:ascii="Times New Roman" w:hAnsi="Times New Roman" w:cs="Times New Roman"/>
          <w:szCs w:val="21"/>
        </w:rPr>
        <w:t xml:space="preserve">ormalized PDO index based on HadISST </w:t>
      </w:r>
      <w:r>
        <w:rPr>
          <w:rFonts w:ascii="Times New Roman" w:hAnsi="Times New Roman" w:cs="Times New Roman"/>
          <w:szCs w:val="21"/>
        </w:rPr>
        <w:t>data</w:t>
      </w:r>
      <w:r w:rsidRPr="00B43C05">
        <w:rPr>
          <w:rFonts w:ascii="Times New Roman" w:hAnsi="Times New Roman" w:cs="Times New Roman"/>
          <w:szCs w:val="21"/>
        </w:rPr>
        <w:t>.</w:t>
      </w:r>
    </w:p>
    <w:p w14:paraId="266D00D3" w14:textId="77777777" w:rsidR="00AF522B" w:rsidRPr="00B43C05" w:rsidRDefault="00AF522B" w:rsidP="00AF522B">
      <w:pPr>
        <w:jc w:val="center"/>
        <w:rPr>
          <w:rFonts w:ascii="Times New Roman" w:eastAsia="FangSong" w:hAnsi="Times New Roman" w:cs="Times New Roman"/>
          <w:sz w:val="24"/>
          <w:szCs w:val="24"/>
        </w:rPr>
      </w:pPr>
      <w:r w:rsidRPr="00B43C05">
        <w:rPr>
          <w:rFonts w:ascii="Times New Roman" w:hAnsi="Times New Roman" w:cs="Times New Roman"/>
          <w:noProof/>
        </w:rPr>
        <w:lastRenderedPageBreak/>
        <w:drawing>
          <wp:inline distT="0" distB="0" distL="0" distR="0" wp14:anchorId="7B3D69BE" wp14:editId="7E0E9CCC">
            <wp:extent cx="5616000" cy="4449600"/>
            <wp:effectExtent l="0" t="0" r="3810" b="8255"/>
            <wp:docPr id="1630641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6000" cy="4449600"/>
                    </a:xfrm>
                    <a:prstGeom prst="rect">
                      <a:avLst/>
                    </a:prstGeom>
                    <a:noFill/>
                    <a:ln>
                      <a:noFill/>
                    </a:ln>
                  </pic:spPr>
                </pic:pic>
              </a:graphicData>
            </a:graphic>
          </wp:inline>
        </w:drawing>
      </w:r>
    </w:p>
    <w:p w14:paraId="3EC56B14" w14:textId="77777777" w:rsidR="00AF522B" w:rsidRPr="00B43C05" w:rsidRDefault="00AF522B" w:rsidP="00AF522B">
      <w:pPr>
        <w:outlineLvl w:val="1"/>
        <w:rPr>
          <w:rFonts w:ascii="Times New Roman" w:hAnsi="Times New Roman" w:cs="Times New Roman"/>
          <w:szCs w:val="21"/>
        </w:rPr>
      </w:pPr>
      <w:r w:rsidRPr="00B43C05">
        <w:rPr>
          <w:rFonts w:ascii="Times New Roman" w:hAnsi="Times New Roman" w:cs="Times New Roman"/>
          <w:b/>
          <w:bCs/>
          <w:szCs w:val="21"/>
        </w:rPr>
        <w:t>Extended Data Fig. 5 | Impacts of the PDO on simulated winds.</w:t>
      </w:r>
      <w:r w:rsidRPr="00B43C05">
        <w:rPr>
          <w:rFonts w:ascii="Times New Roman" w:hAnsi="Times New Roman" w:cs="Times New Roman"/>
          <w:szCs w:val="21"/>
        </w:rPr>
        <w:t xml:space="preserve"> Regressions of wind stress (Pa) and ω</w:t>
      </w:r>
      <w:r w:rsidRPr="00B43C05">
        <w:rPr>
          <w:rFonts w:ascii="Times New Roman" w:hAnsi="Times New Roman" w:cs="Times New Roman"/>
          <w:szCs w:val="21"/>
          <w:vertAlign w:val="subscript"/>
        </w:rPr>
        <w:t>E</w:t>
      </w:r>
      <w:r w:rsidRPr="00B43C05">
        <w:rPr>
          <w:rFonts w:ascii="Times New Roman" w:hAnsi="Times New Roman" w:cs="Times New Roman"/>
          <w:szCs w:val="21"/>
        </w:rPr>
        <w:t xml:space="preserve"> (10</w:t>
      </w:r>
      <w:r w:rsidRPr="00B43C05">
        <w:rPr>
          <w:rFonts w:ascii="Times New Roman" w:hAnsi="Times New Roman" w:cs="Times New Roman"/>
          <w:szCs w:val="21"/>
          <w:vertAlign w:val="superscript"/>
        </w:rPr>
        <w:t>-6</w:t>
      </w:r>
      <w:r w:rsidRPr="00B43C05">
        <w:rPr>
          <w:rFonts w:ascii="Times New Roman" w:hAnsi="Times New Roman" w:cs="Times New Roman"/>
          <w:szCs w:val="21"/>
        </w:rPr>
        <w:t xml:space="preserve"> m s</w:t>
      </w:r>
      <w:r w:rsidRPr="00B43C05">
        <w:rPr>
          <w:rFonts w:ascii="Times New Roman" w:hAnsi="Times New Roman" w:cs="Times New Roman"/>
          <w:szCs w:val="21"/>
          <w:vertAlign w:val="superscript"/>
        </w:rPr>
        <w:t>-1</w:t>
      </w:r>
      <w:r w:rsidRPr="00B43C05">
        <w:rPr>
          <w:rFonts w:ascii="Times New Roman" w:hAnsi="Times New Roman" w:cs="Times New Roman"/>
          <w:szCs w:val="21"/>
        </w:rPr>
        <w:t xml:space="preserve">) on the negative PDO index (-PDO) derived from CMIP6 MMM and 20 CMIP6 models for 1958-2021. </w:t>
      </w:r>
    </w:p>
    <w:p w14:paraId="36A9C298" w14:textId="77777777" w:rsidR="00AF522B" w:rsidRPr="00B43C05" w:rsidRDefault="00AF522B" w:rsidP="00AF522B">
      <w:pPr>
        <w:jc w:val="center"/>
        <w:rPr>
          <w:rFonts w:ascii="Times New Roman" w:hAnsi="Times New Roman" w:cs="Times New Roman"/>
          <w:szCs w:val="21"/>
        </w:rPr>
      </w:pPr>
      <w:r w:rsidRPr="00B43C05">
        <w:rPr>
          <w:rFonts w:ascii="Times New Roman" w:hAnsi="Times New Roman" w:cs="Times New Roman"/>
          <w:noProof/>
        </w:rPr>
        <w:lastRenderedPageBreak/>
        <w:drawing>
          <wp:inline distT="0" distB="0" distL="0" distR="0" wp14:anchorId="11A24B34" wp14:editId="1A2BBE91">
            <wp:extent cx="4680000" cy="5911200"/>
            <wp:effectExtent l="0" t="0" r="6350" b="0"/>
            <wp:docPr id="3187503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5911200"/>
                    </a:xfrm>
                    <a:prstGeom prst="rect">
                      <a:avLst/>
                    </a:prstGeom>
                    <a:noFill/>
                    <a:ln>
                      <a:noFill/>
                    </a:ln>
                  </pic:spPr>
                </pic:pic>
              </a:graphicData>
            </a:graphic>
          </wp:inline>
        </w:drawing>
      </w:r>
    </w:p>
    <w:p w14:paraId="299B2360" w14:textId="77777777" w:rsidR="00AF522B" w:rsidRPr="00B43C05" w:rsidRDefault="00AF522B" w:rsidP="00AF522B">
      <w:pPr>
        <w:spacing w:afterLines="50" w:after="156"/>
        <w:outlineLvl w:val="1"/>
        <w:rPr>
          <w:rFonts w:ascii="Times New Roman" w:hAnsi="Times New Roman" w:cs="Times New Roman"/>
          <w:szCs w:val="21"/>
        </w:rPr>
      </w:pPr>
      <w:r w:rsidRPr="00B43C05">
        <w:rPr>
          <w:rFonts w:ascii="Times New Roman" w:hAnsi="Times New Roman" w:cs="Times New Roman"/>
          <w:b/>
          <w:bCs/>
          <w:szCs w:val="21"/>
        </w:rPr>
        <w:t>Extended Data Fig. 6 |</w:t>
      </w:r>
      <w:r w:rsidRPr="00B43C05">
        <w:rPr>
          <w:rFonts w:ascii="Times New Roman" w:hAnsi="Times New Roman" w:cs="Times New Roman"/>
        </w:rPr>
        <w:t xml:space="preserve"> </w:t>
      </w:r>
      <w:r w:rsidRPr="00B43C05">
        <w:rPr>
          <w:rFonts w:ascii="Times New Roman" w:hAnsi="Times New Roman" w:cs="Times New Roman"/>
          <w:b/>
          <w:bCs/>
          <w:szCs w:val="21"/>
        </w:rPr>
        <w:t xml:space="preserve">Impacts of the PDO on heat storage derived from HYCOM 0.5° simulations. a, b, </w:t>
      </w:r>
      <w:r w:rsidRPr="00B43C05">
        <w:rPr>
          <w:rFonts w:ascii="Times New Roman" w:hAnsi="Times New Roman" w:cs="Times New Roman"/>
          <w:szCs w:val="21"/>
        </w:rPr>
        <w:t>Lagged regression map of OHC on -PDO derived from CTRL run of the HYCOM 0.5° simulation for 1958-2019, with the former lagging the latter by 4 (</w:t>
      </w:r>
      <w:r w:rsidRPr="00B43C05">
        <w:rPr>
          <w:rFonts w:ascii="Times New Roman" w:hAnsi="Times New Roman" w:cs="Times New Roman"/>
          <w:b/>
          <w:bCs/>
          <w:szCs w:val="21"/>
        </w:rPr>
        <w:t>a</w:t>
      </w:r>
      <w:r w:rsidRPr="00B43C05">
        <w:rPr>
          <w:rFonts w:ascii="Times New Roman" w:hAnsi="Times New Roman" w:cs="Times New Roman"/>
          <w:szCs w:val="21"/>
        </w:rPr>
        <w:t>) and 9 years (</w:t>
      </w:r>
      <w:r w:rsidRPr="00B43C05">
        <w:rPr>
          <w:rFonts w:ascii="Times New Roman" w:hAnsi="Times New Roman" w:cs="Times New Roman"/>
          <w:b/>
          <w:bCs/>
          <w:szCs w:val="21"/>
        </w:rPr>
        <w:t>b</w:t>
      </w:r>
      <w:r w:rsidRPr="00B43C05">
        <w:rPr>
          <w:rFonts w:ascii="Times New Roman" w:hAnsi="Times New Roman" w:cs="Times New Roman"/>
          <w:szCs w:val="21"/>
        </w:rPr>
        <w:t>).</w:t>
      </w:r>
      <w:r w:rsidRPr="00B43C05">
        <w:rPr>
          <w:rFonts w:ascii="Times New Roman" w:hAnsi="Times New Roman" w:cs="Times New Roman"/>
          <w:b/>
          <w:bCs/>
          <w:szCs w:val="21"/>
        </w:rPr>
        <w:t xml:space="preserve"> c, d,</w:t>
      </w:r>
      <w:r w:rsidRPr="00B43C05">
        <w:rPr>
          <w:rFonts w:ascii="Times New Roman" w:hAnsi="Times New Roman" w:cs="Times New Roman"/>
          <w:szCs w:val="21"/>
        </w:rPr>
        <w:t xml:space="preserve"> and </w:t>
      </w:r>
      <w:r w:rsidRPr="00B43C05">
        <w:rPr>
          <w:rFonts w:ascii="Times New Roman" w:hAnsi="Times New Roman" w:cs="Times New Roman"/>
          <w:b/>
          <w:bCs/>
          <w:szCs w:val="21"/>
        </w:rPr>
        <w:t xml:space="preserve">e, f, </w:t>
      </w:r>
      <w:r w:rsidRPr="00B43C05">
        <w:rPr>
          <w:rFonts w:ascii="Times New Roman" w:hAnsi="Times New Roman" w:cs="Times New Roman"/>
          <w:szCs w:val="21"/>
        </w:rPr>
        <w:t xml:space="preserve">Same as </w:t>
      </w:r>
      <w:r w:rsidRPr="00B43C05">
        <w:rPr>
          <w:rFonts w:ascii="Times New Roman" w:hAnsi="Times New Roman" w:cs="Times New Roman"/>
          <w:b/>
          <w:bCs/>
          <w:szCs w:val="21"/>
        </w:rPr>
        <w:t xml:space="preserve">a, b, </w:t>
      </w:r>
      <w:r w:rsidRPr="00B43C05">
        <w:rPr>
          <w:rFonts w:ascii="Times New Roman" w:hAnsi="Times New Roman" w:cs="Times New Roman"/>
          <w:szCs w:val="21"/>
        </w:rPr>
        <w:t>but from WND and HTFL runs, respectively. Stippling indicates the fields exceeding the 95% confidence level.</w:t>
      </w:r>
    </w:p>
    <w:p w14:paraId="3FA8F1C4" w14:textId="77777777" w:rsidR="00AF522B" w:rsidRPr="00B43C05" w:rsidRDefault="00AF522B" w:rsidP="00AF522B">
      <w:pPr>
        <w:pageBreakBefore/>
        <w:jc w:val="center"/>
        <w:rPr>
          <w:rFonts w:ascii="Times New Roman" w:hAnsi="Times New Roman" w:cs="Times New Roman"/>
          <w:noProof/>
        </w:rPr>
      </w:pPr>
      <w:r w:rsidRPr="00B43C05">
        <w:rPr>
          <w:rFonts w:ascii="Times New Roman" w:hAnsi="Times New Roman" w:cs="Times New Roman"/>
          <w:noProof/>
        </w:rPr>
        <w:lastRenderedPageBreak/>
        <w:drawing>
          <wp:inline distT="0" distB="0" distL="0" distR="0" wp14:anchorId="1B3A8EC1" wp14:editId="30833FEE">
            <wp:extent cx="5615940" cy="5574030"/>
            <wp:effectExtent l="0" t="0" r="3810" b="7620"/>
            <wp:docPr id="19254804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5574030"/>
                    </a:xfrm>
                    <a:prstGeom prst="rect">
                      <a:avLst/>
                    </a:prstGeom>
                    <a:noFill/>
                    <a:ln>
                      <a:noFill/>
                    </a:ln>
                  </pic:spPr>
                </pic:pic>
              </a:graphicData>
            </a:graphic>
          </wp:inline>
        </w:drawing>
      </w:r>
    </w:p>
    <w:p w14:paraId="4F4FC884" w14:textId="77777777" w:rsidR="00AF522B" w:rsidRPr="00B43C05" w:rsidRDefault="00AF522B" w:rsidP="00AF522B">
      <w:pPr>
        <w:outlineLvl w:val="1"/>
        <w:rPr>
          <w:rFonts w:ascii="Times New Roman" w:hAnsi="Times New Roman" w:cs="Times New Roman"/>
          <w:szCs w:val="21"/>
        </w:rPr>
      </w:pPr>
      <w:r w:rsidRPr="00B43C05">
        <w:rPr>
          <w:rFonts w:ascii="Times New Roman" w:hAnsi="Times New Roman" w:cs="Times New Roman"/>
          <w:b/>
          <w:bCs/>
          <w:szCs w:val="21"/>
        </w:rPr>
        <w:t>Extended Data Fig. 7 | Heat storage pattern and wind trends associated with the PDO in CMIP6 models. a, b,</w:t>
      </w:r>
      <w:r w:rsidRPr="00B43C05">
        <w:rPr>
          <w:rFonts w:ascii="Times New Roman" w:hAnsi="Times New Roman" w:cs="Times New Roman"/>
          <w:szCs w:val="21"/>
        </w:rPr>
        <w:t xml:space="preserve"> Linear OHC trends of 1958-2021 derived from the +5 models (</w:t>
      </w:r>
      <w:r w:rsidRPr="00B43C05">
        <w:rPr>
          <w:rFonts w:ascii="Times New Roman" w:hAnsi="Times New Roman" w:cs="Times New Roman"/>
          <w:b/>
          <w:bCs/>
          <w:szCs w:val="21"/>
        </w:rPr>
        <w:t>a</w:t>
      </w:r>
      <w:r w:rsidRPr="00B43C05">
        <w:rPr>
          <w:rFonts w:ascii="Times New Roman" w:hAnsi="Times New Roman" w:cs="Times New Roman"/>
          <w:szCs w:val="21"/>
        </w:rPr>
        <w:t>) and -5 models (</w:t>
      </w:r>
      <w:r w:rsidRPr="00B43C05">
        <w:rPr>
          <w:rFonts w:ascii="Times New Roman" w:hAnsi="Times New Roman" w:cs="Times New Roman"/>
          <w:b/>
          <w:bCs/>
          <w:szCs w:val="21"/>
        </w:rPr>
        <w:t>b</w:t>
      </w:r>
      <w:r w:rsidRPr="00B43C05">
        <w:rPr>
          <w:rFonts w:ascii="Times New Roman" w:hAnsi="Times New Roman" w:cs="Times New Roman"/>
          <w:szCs w:val="21"/>
        </w:rPr>
        <w:t xml:space="preserve">) of CMIP6. </w:t>
      </w:r>
      <w:r w:rsidRPr="00B43C05">
        <w:rPr>
          <w:rFonts w:ascii="Times New Roman" w:hAnsi="Times New Roman" w:cs="Times New Roman"/>
          <w:b/>
          <w:bCs/>
          <w:szCs w:val="21"/>
        </w:rPr>
        <w:t>c,</w:t>
      </w:r>
      <w:r w:rsidRPr="00B43C05">
        <w:rPr>
          <w:rFonts w:ascii="Times New Roman" w:hAnsi="Times New Roman" w:cs="Times New Roman"/>
          <w:szCs w:val="21"/>
        </w:rPr>
        <w:t xml:space="preserve"> The difference between (</w:t>
      </w:r>
      <w:r w:rsidRPr="00B43C05">
        <w:rPr>
          <w:rFonts w:ascii="Times New Roman" w:hAnsi="Times New Roman" w:cs="Times New Roman"/>
          <w:b/>
          <w:bCs/>
          <w:szCs w:val="21"/>
        </w:rPr>
        <w:t>a</w:t>
      </w:r>
      <w:r w:rsidRPr="00B43C05">
        <w:rPr>
          <w:rFonts w:ascii="Times New Roman" w:hAnsi="Times New Roman" w:cs="Times New Roman"/>
          <w:szCs w:val="21"/>
        </w:rPr>
        <w:t>) and (</w:t>
      </w:r>
      <w:r w:rsidRPr="00B43C05">
        <w:rPr>
          <w:rFonts w:ascii="Times New Roman" w:hAnsi="Times New Roman" w:cs="Times New Roman"/>
          <w:b/>
          <w:bCs/>
          <w:szCs w:val="21"/>
        </w:rPr>
        <w:t>b</w:t>
      </w:r>
      <w:r w:rsidRPr="00B43C05">
        <w:rPr>
          <w:rFonts w:ascii="Times New Roman" w:hAnsi="Times New Roman" w:cs="Times New Roman"/>
          <w:szCs w:val="21"/>
        </w:rPr>
        <w:t>). The +5 and -5 models have the highest positive and negative correlation coefficients between the simulated and observed PDO indices since 1998. Stippling indicates the fields exceeding the 95% confidence level.</w:t>
      </w:r>
      <w:r w:rsidRPr="00B43C05">
        <w:rPr>
          <w:rFonts w:ascii="Times New Roman" w:hAnsi="Times New Roman" w:cs="Times New Roman"/>
          <w:b/>
          <w:bCs/>
          <w:szCs w:val="21"/>
        </w:rPr>
        <w:t xml:space="preserve"> d,</w:t>
      </w:r>
      <w:r w:rsidRPr="00B43C05">
        <w:rPr>
          <w:rFonts w:ascii="Times New Roman" w:hAnsi="Times New Roman" w:cs="Times New Roman"/>
          <w:szCs w:val="21"/>
        </w:rPr>
        <w:t xml:space="preserve"> The composite difference in trends of wind stress and Ekman pumping velocity </w:t>
      </w:r>
      <w:r w:rsidRPr="00B43C05">
        <w:rPr>
          <w:rFonts w:ascii="Times New Roman" w:hAnsi="Times New Roman" w:cs="Times New Roman"/>
          <w:i/>
          <w:iCs/>
          <w:szCs w:val="21"/>
        </w:rPr>
        <w:t>ω</w:t>
      </w:r>
      <w:r w:rsidRPr="00B43C05">
        <w:rPr>
          <w:rFonts w:ascii="Times New Roman" w:hAnsi="Times New Roman" w:cs="Times New Roman"/>
          <w:i/>
          <w:iCs/>
          <w:szCs w:val="21"/>
          <w:vertAlign w:val="subscript"/>
        </w:rPr>
        <w:t>E</w:t>
      </w:r>
      <w:r w:rsidRPr="00B43C05">
        <w:rPr>
          <w:rFonts w:ascii="Times New Roman" w:hAnsi="Times New Roman" w:cs="Times New Roman"/>
          <w:szCs w:val="21"/>
        </w:rPr>
        <w:t xml:space="preserve"> for 1958-2021 between the +5 and -5 models of CMIP6. The +5 models include BCC-CSM2-MR, CAMS-CSM1-0, GFDL-ESM4, MRI-ESM2-0, and NorESM2-MM, and the -5 models include ACCESS-ESM1-5, EC-Earth3-Veg, FIO-ESM-2-0, NESM3, and NorESM2-LM. </w:t>
      </w:r>
    </w:p>
    <w:p w14:paraId="42CC4166" w14:textId="77777777" w:rsidR="00AF522B" w:rsidRPr="00B43C05" w:rsidRDefault="00AF522B" w:rsidP="00AF522B">
      <w:pPr>
        <w:jc w:val="center"/>
        <w:rPr>
          <w:rFonts w:ascii="Times New Roman" w:hAnsi="Times New Roman" w:cs="Times New Roman"/>
          <w:b/>
          <w:bCs/>
          <w:szCs w:val="21"/>
        </w:rPr>
      </w:pPr>
      <w:r w:rsidRPr="00B43C05">
        <w:rPr>
          <w:rFonts w:ascii="Times New Roman" w:hAnsi="Times New Roman" w:cs="Times New Roman"/>
          <w:noProof/>
        </w:rPr>
        <w:lastRenderedPageBreak/>
        <w:drawing>
          <wp:inline distT="0" distB="0" distL="0" distR="0" wp14:anchorId="363861AE" wp14:editId="2C083058">
            <wp:extent cx="3600000" cy="4849200"/>
            <wp:effectExtent l="0" t="0" r="635" b="8890"/>
            <wp:docPr id="115057528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4849200"/>
                    </a:xfrm>
                    <a:prstGeom prst="rect">
                      <a:avLst/>
                    </a:prstGeom>
                    <a:noFill/>
                    <a:ln>
                      <a:noFill/>
                    </a:ln>
                  </pic:spPr>
                </pic:pic>
              </a:graphicData>
            </a:graphic>
          </wp:inline>
        </w:drawing>
      </w:r>
    </w:p>
    <w:p w14:paraId="30F5D0E7" w14:textId="77777777" w:rsidR="00AF522B" w:rsidRPr="00B43C05" w:rsidRDefault="00AF522B" w:rsidP="00AF522B">
      <w:pPr>
        <w:outlineLvl w:val="1"/>
        <w:rPr>
          <w:rFonts w:ascii="Times New Roman" w:hAnsi="Times New Roman" w:cs="Times New Roman"/>
          <w:szCs w:val="21"/>
        </w:rPr>
      </w:pPr>
      <w:r w:rsidRPr="00B43C05">
        <w:rPr>
          <w:rFonts w:ascii="Times New Roman" w:hAnsi="Times New Roman" w:cs="Times New Roman"/>
          <w:b/>
          <w:bCs/>
          <w:szCs w:val="21"/>
        </w:rPr>
        <w:t xml:space="preserve">Extended Data Fig. 8 | Time of emergence (ToE) for anthropogenic heat storage. </w:t>
      </w:r>
      <w:r w:rsidRPr="00B43C05">
        <w:rPr>
          <w:rFonts w:ascii="Times New Roman" w:hAnsi="Times New Roman" w:cs="Times New Roman"/>
          <w:szCs w:val="21"/>
        </w:rPr>
        <w:t>Multi-model median ToE of the anthropogenic OHC trend under the SSP1-2.6 (</w:t>
      </w:r>
      <w:r w:rsidRPr="00B43C05">
        <w:rPr>
          <w:rFonts w:ascii="Times New Roman" w:hAnsi="Times New Roman" w:cs="Times New Roman"/>
          <w:b/>
          <w:bCs/>
          <w:szCs w:val="21"/>
        </w:rPr>
        <w:t>a</w:t>
      </w:r>
      <w:r w:rsidRPr="00B43C05">
        <w:rPr>
          <w:rFonts w:ascii="Times New Roman" w:hAnsi="Times New Roman" w:cs="Times New Roman"/>
          <w:szCs w:val="21"/>
        </w:rPr>
        <w:t>) and SSP5-8.5 (</w:t>
      </w:r>
      <w:r w:rsidRPr="00B43C05">
        <w:rPr>
          <w:rFonts w:ascii="Times New Roman" w:hAnsi="Times New Roman" w:cs="Times New Roman"/>
          <w:b/>
          <w:bCs/>
          <w:szCs w:val="21"/>
        </w:rPr>
        <w:t>b</w:t>
      </w:r>
      <w:r w:rsidRPr="00B43C05">
        <w:rPr>
          <w:rFonts w:ascii="Times New Roman" w:hAnsi="Times New Roman" w:cs="Times New Roman"/>
          <w:szCs w:val="21"/>
        </w:rPr>
        <w:t>) scenarios. The ToE is the year when the climate change trend exceeds the range of the twofold natural interannual standard deviation (Methods). Grey shading denotes the signal that has not emerged by 2099. The boxes from west to east represent the NWTP, Kuroshio Extension (1</w:t>
      </w:r>
      <w:r w:rsidRPr="00B43C05">
        <w:rPr>
          <w:rFonts w:ascii="Times New Roman" w:hAnsi="Times New Roman" w:cs="Times New Roman"/>
          <w:szCs w:val="24"/>
        </w:rPr>
        <w:t>41°-165°E, 33°-40°N</w:t>
      </w:r>
      <w:r w:rsidRPr="00B43C05">
        <w:rPr>
          <w:rFonts w:ascii="Times New Roman" w:hAnsi="Times New Roman" w:cs="Times New Roman"/>
          <w:szCs w:val="21"/>
        </w:rPr>
        <w:t>), the Bering Sea (1</w:t>
      </w:r>
      <w:r w:rsidRPr="00B43C05">
        <w:rPr>
          <w:rFonts w:ascii="Times New Roman" w:hAnsi="Times New Roman" w:cs="Times New Roman"/>
          <w:szCs w:val="24"/>
        </w:rPr>
        <w:t>60°E-170°W, 52°-60°N</w:t>
      </w:r>
      <w:r w:rsidRPr="00B43C05">
        <w:rPr>
          <w:rFonts w:ascii="Times New Roman" w:hAnsi="Times New Roman" w:cs="Times New Roman"/>
          <w:szCs w:val="21"/>
        </w:rPr>
        <w:t>), central MNP (1</w:t>
      </w:r>
      <w:r w:rsidRPr="00B43C05">
        <w:rPr>
          <w:rFonts w:ascii="Times New Roman" w:hAnsi="Times New Roman" w:cs="Times New Roman"/>
          <w:szCs w:val="24"/>
        </w:rPr>
        <w:t>70°E-155°W, 40°-48°N</w:t>
      </w:r>
      <w:r w:rsidRPr="00B43C05">
        <w:rPr>
          <w:rFonts w:ascii="Times New Roman" w:hAnsi="Times New Roman" w:cs="Times New Roman"/>
          <w:szCs w:val="21"/>
        </w:rPr>
        <w:t>), and Eastern boundary (1</w:t>
      </w:r>
      <w:r w:rsidRPr="00B43C05">
        <w:rPr>
          <w:rFonts w:ascii="Times New Roman" w:hAnsi="Times New Roman" w:cs="Times New Roman"/>
          <w:szCs w:val="24"/>
        </w:rPr>
        <w:t>32°-117°W, 30°-55°N</w:t>
      </w:r>
      <w:r w:rsidRPr="00B43C05">
        <w:rPr>
          <w:rFonts w:ascii="Times New Roman" w:hAnsi="Times New Roman" w:cs="Times New Roman"/>
          <w:szCs w:val="21"/>
        </w:rPr>
        <w:t>).</w:t>
      </w:r>
    </w:p>
    <w:p w14:paraId="615C0881" w14:textId="77777777" w:rsidR="00AF522B" w:rsidRPr="00B43C05" w:rsidRDefault="00AF522B" w:rsidP="00AF522B">
      <w:pPr>
        <w:pageBreakBefore/>
        <w:spacing w:afterLines="50" w:after="156"/>
        <w:jc w:val="center"/>
        <w:rPr>
          <w:rFonts w:ascii="Times New Roman" w:hAnsi="Times New Roman" w:cs="Times New Roman"/>
          <w:szCs w:val="21"/>
        </w:rPr>
      </w:pPr>
      <w:r w:rsidRPr="00B43C05">
        <w:rPr>
          <w:rFonts w:ascii="Times New Roman" w:hAnsi="Times New Roman" w:cs="Times New Roman"/>
          <w:noProof/>
        </w:rPr>
        <w:lastRenderedPageBreak/>
        <w:drawing>
          <wp:inline distT="0" distB="0" distL="0" distR="0" wp14:anchorId="51337B88" wp14:editId="3F16E8E6">
            <wp:extent cx="5615940" cy="3041015"/>
            <wp:effectExtent l="0" t="0" r="0" b="6985"/>
            <wp:docPr id="9955764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3041015"/>
                    </a:xfrm>
                    <a:prstGeom prst="rect">
                      <a:avLst/>
                    </a:prstGeom>
                    <a:noFill/>
                    <a:ln>
                      <a:noFill/>
                    </a:ln>
                  </pic:spPr>
                </pic:pic>
              </a:graphicData>
            </a:graphic>
          </wp:inline>
        </w:drawing>
      </w:r>
    </w:p>
    <w:p w14:paraId="22BF2DDB" w14:textId="77777777" w:rsidR="00AF522B" w:rsidRPr="00B43C05" w:rsidRDefault="00AF522B" w:rsidP="00AF522B">
      <w:pPr>
        <w:spacing w:afterLines="50" w:after="156"/>
        <w:outlineLvl w:val="1"/>
        <w:rPr>
          <w:rFonts w:ascii="Times New Roman" w:eastAsia="FangSong" w:hAnsi="Times New Roman" w:cs="Times New Roman"/>
          <w:sz w:val="24"/>
          <w:szCs w:val="24"/>
        </w:rPr>
      </w:pPr>
      <w:r w:rsidRPr="00B43C05">
        <w:rPr>
          <w:rFonts w:ascii="Times New Roman" w:hAnsi="Times New Roman" w:cs="Times New Roman"/>
          <w:b/>
          <w:bCs/>
          <w:szCs w:val="21"/>
        </w:rPr>
        <w:t>Extended Data Fig. 9 | Schematic of causes of data-model discrepancies in heat storage over the North Pacific.</w:t>
      </w:r>
      <w:r w:rsidRPr="00B43C05">
        <w:rPr>
          <w:rFonts w:ascii="Times New Roman" w:hAnsi="Times New Roman" w:cs="Times New Roman"/>
          <w:szCs w:val="21"/>
        </w:rPr>
        <w:t xml:space="preserve"> The phase shift of the PDO in recent decades has led to significant meridional heat redistribution through Rossby waves and variability of the KE system, strongly masking the anthropogenic fingerprints.</w:t>
      </w:r>
    </w:p>
    <w:p w14:paraId="7B4185EE" w14:textId="77777777" w:rsidR="00F553FF" w:rsidRDefault="00F553FF"/>
    <w:sectPr w:rsidR="00F553FF" w:rsidSect="00AF522B">
      <w:headerReference w:type="even" r:id="rId13"/>
      <w:headerReference w:type="default" r:id="rId14"/>
      <w:footerReference w:type="default" r:id="rId15"/>
      <w:pgSz w:w="11906" w:h="16838"/>
      <w:pgMar w:top="1440" w:right="1588" w:bottom="1440" w:left="1588" w:header="851" w:footer="992" w:gutter="0"/>
      <w:lnNumType w:countBy="1" w:restart="continuous"/>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8162664"/>
      <w:docPartObj>
        <w:docPartGallery w:val="Page Numbers (Bottom of Page)"/>
        <w:docPartUnique/>
      </w:docPartObj>
    </w:sdtPr>
    <w:sdtContent>
      <w:sdt>
        <w:sdtPr>
          <w:id w:val="1728636285"/>
          <w:docPartObj>
            <w:docPartGallery w:val="Page Numbers (Top of Page)"/>
            <w:docPartUnique/>
          </w:docPartObj>
        </w:sdtPr>
        <w:sdtContent>
          <w:p w14:paraId="2680CAE8" w14:textId="77777777" w:rsidR="00000000" w:rsidRDefault="00000000">
            <w:pPr>
              <w:pStyle w:val="Footer"/>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35F4E5D2"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186E2" w14:textId="77777777" w:rsidR="00000000" w:rsidRDefault="00000000" w:rsidP="00DF625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06342" w14:textId="77777777" w:rsidR="00000000" w:rsidRDefault="00000000" w:rsidP="00DF6259">
    <w:pPr>
      <w:pStyle w:val="Header"/>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22B"/>
    <w:rsid w:val="003C2EF4"/>
    <w:rsid w:val="00AF522B"/>
    <w:rsid w:val="00B7328A"/>
    <w:rsid w:val="00B74216"/>
    <w:rsid w:val="00F55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1566D"/>
  <w15:chartTrackingRefBased/>
  <w15:docId w15:val="{2E8C4B0D-D83A-4AFA-9BC5-9E1BA87E7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22B"/>
    <w:pPr>
      <w:widowControl w:val="0"/>
      <w:spacing w:after="0" w:line="240" w:lineRule="auto"/>
      <w:jc w:val="both"/>
    </w:pPr>
    <w:rPr>
      <w:rFonts w:eastAsiaTheme="minorEastAsia"/>
      <w:sz w:val="21"/>
      <w:lang w:eastAsia="zh-CN"/>
      <w14:ligatures w14:val="none"/>
    </w:rPr>
  </w:style>
  <w:style w:type="paragraph" w:styleId="Heading1">
    <w:name w:val="heading 1"/>
    <w:basedOn w:val="Normal"/>
    <w:next w:val="Normal"/>
    <w:link w:val="Heading1Char"/>
    <w:uiPriority w:val="9"/>
    <w:qFormat/>
    <w:rsid w:val="00AF522B"/>
    <w:pPr>
      <w:keepNext/>
      <w:keepLines/>
      <w:widowControl/>
      <w:spacing w:before="360" w:after="80" w:line="259" w:lineRule="auto"/>
      <w:jc w:val="left"/>
      <w:outlineLvl w:val="0"/>
    </w:pPr>
    <w:rPr>
      <w:rFonts w:asciiTheme="majorHAnsi" w:eastAsiaTheme="majorEastAsia" w:hAnsiTheme="majorHAnsi" w:cstheme="majorBidi"/>
      <w:color w:val="0F4761" w:themeColor="accent1" w:themeShade="BF"/>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AF522B"/>
    <w:pPr>
      <w:keepNext/>
      <w:keepLines/>
      <w:widowControl/>
      <w:spacing w:before="160" w:after="80" w:line="259" w:lineRule="auto"/>
      <w:jc w:val="left"/>
      <w:outlineLvl w:val="1"/>
    </w:pPr>
    <w:rPr>
      <w:rFonts w:asciiTheme="majorHAnsi" w:eastAsiaTheme="majorEastAsia" w:hAnsiTheme="majorHAnsi" w:cstheme="majorBidi"/>
      <w:color w:val="0F4761" w:themeColor="accent1" w:themeShade="BF"/>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AF522B"/>
    <w:pPr>
      <w:keepNext/>
      <w:keepLines/>
      <w:widowControl/>
      <w:spacing w:before="160" w:after="80" w:line="259" w:lineRule="auto"/>
      <w:jc w:val="left"/>
      <w:outlineLvl w:val="2"/>
    </w:pPr>
    <w:rPr>
      <w:rFonts w:eastAsiaTheme="majorEastAsia" w:cstheme="majorBidi"/>
      <w:color w:val="0F4761" w:themeColor="accent1" w:themeShade="BF"/>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AF522B"/>
    <w:pPr>
      <w:keepNext/>
      <w:keepLines/>
      <w:widowControl/>
      <w:spacing w:before="80" w:after="40" w:line="259" w:lineRule="auto"/>
      <w:jc w:val="left"/>
      <w:outlineLvl w:val="3"/>
    </w:pPr>
    <w:rPr>
      <w:rFonts w:eastAsiaTheme="majorEastAsia" w:cstheme="majorBidi"/>
      <w:i/>
      <w:iCs/>
      <w:color w:val="0F4761" w:themeColor="accent1" w:themeShade="BF"/>
      <w:sz w:val="22"/>
      <w:lang w:eastAsia="en-US"/>
      <w14:ligatures w14:val="standardContextual"/>
    </w:rPr>
  </w:style>
  <w:style w:type="paragraph" w:styleId="Heading5">
    <w:name w:val="heading 5"/>
    <w:basedOn w:val="Normal"/>
    <w:next w:val="Normal"/>
    <w:link w:val="Heading5Char"/>
    <w:uiPriority w:val="9"/>
    <w:semiHidden/>
    <w:unhideWhenUsed/>
    <w:qFormat/>
    <w:rsid w:val="00AF522B"/>
    <w:pPr>
      <w:keepNext/>
      <w:keepLines/>
      <w:widowControl/>
      <w:spacing w:before="80" w:after="40" w:line="259" w:lineRule="auto"/>
      <w:jc w:val="left"/>
      <w:outlineLvl w:val="4"/>
    </w:pPr>
    <w:rPr>
      <w:rFonts w:eastAsiaTheme="majorEastAsia" w:cstheme="majorBidi"/>
      <w:color w:val="0F4761" w:themeColor="accent1" w:themeShade="BF"/>
      <w:sz w:val="22"/>
      <w:lang w:eastAsia="en-US"/>
      <w14:ligatures w14:val="standardContextual"/>
    </w:rPr>
  </w:style>
  <w:style w:type="paragraph" w:styleId="Heading6">
    <w:name w:val="heading 6"/>
    <w:basedOn w:val="Normal"/>
    <w:next w:val="Normal"/>
    <w:link w:val="Heading6Char"/>
    <w:uiPriority w:val="9"/>
    <w:semiHidden/>
    <w:unhideWhenUsed/>
    <w:qFormat/>
    <w:rsid w:val="00AF522B"/>
    <w:pPr>
      <w:keepNext/>
      <w:keepLines/>
      <w:widowControl/>
      <w:spacing w:before="40" w:line="259" w:lineRule="auto"/>
      <w:jc w:val="left"/>
      <w:outlineLvl w:val="5"/>
    </w:pPr>
    <w:rPr>
      <w:rFonts w:eastAsiaTheme="majorEastAsia" w:cstheme="majorBidi"/>
      <w:i/>
      <w:iCs/>
      <w:color w:val="595959" w:themeColor="text1" w:themeTint="A6"/>
      <w:sz w:val="22"/>
      <w:lang w:eastAsia="en-US"/>
      <w14:ligatures w14:val="standardContextual"/>
    </w:rPr>
  </w:style>
  <w:style w:type="paragraph" w:styleId="Heading7">
    <w:name w:val="heading 7"/>
    <w:basedOn w:val="Normal"/>
    <w:next w:val="Normal"/>
    <w:link w:val="Heading7Char"/>
    <w:uiPriority w:val="9"/>
    <w:semiHidden/>
    <w:unhideWhenUsed/>
    <w:qFormat/>
    <w:rsid w:val="00AF522B"/>
    <w:pPr>
      <w:keepNext/>
      <w:keepLines/>
      <w:widowControl/>
      <w:spacing w:before="40" w:line="259" w:lineRule="auto"/>
      <w:jc w:val="left"/>
      <w:outlineLvl w:val="6"/>
    </w:pPr>
    <w:rPr>
      <w:rFonts w:eastAsiaTheme="majorEastAsia" w:cstheme="majorBidi"/>
      <w:color w:val="595959" w:themeColor="text1" w:themeTint="A6"/>
      <w:sz w:val="22"/>
      <w:lang w:eastAsia="en-US"/>
      <w14:ligatures w14:val="standardContextual"/>
    </w:rPr>
  </w:style>
  <w:style w:type="paragraph" w:styleId="Heading8">
    <w:name w:val="heading 8"/>
    <w:basedOn w:val="Normal"/>
    <w:next w:val="Normal"/>
    <w:link w:val="Heading8Char"/>
    <w:uiPriority w:val="9"/>
    <w:semiHidden/>
    <w:unhideWhenUsed/>
    <w:qFormat/>
    <w:rsid w:val="00AF522B"/>
    <w:pPr>
      <w:keepNext/>
      <w:keepLines/>
      <w:widowControl/>
      <w:spacing w:line="259" w:lineRule="auto"/>
      <w:jc w:val="left"/>
      <w:outlineLvl w:val="7"/>
    </w:pPr>
    <w:rPr>
      <w:rFonts w:eastAsiaTheme="majorEastAsia" w:cstheme="majorBidi"/>
      <w:i/>
      <w:iCs/>
      <w:color w:val="272727" w:themeColor="text1" w:themeTint="D8"/>
      <w:sz w:val="22"/>
      <w:lang w:eastAsia="en-US"/>
      <w14:ligatures w14:val="standardContextual"/>
    </w:rPr>
  </w:style>
  <w:style w:type="paragraph" w:styleId="Heading9">
    <w:name w:val="heading 9"/>
    <w:basedOn w:val="Normal"/>
    <w:next w:val="Normal"/>
    <w:link w:val="Heading9Char"/>
    <w:uiPriority w:val="9"/>
    <w:semiHidden/>
    <w:unhideWhenUsed/>
    <w:qFormat/>
    <w:rsid w:val="00AF522B"/>
    <w:pPr>
      <w:keepNext/>
      <w:keepLines/>
      <w:widowControl/>
      <w:spacing w:line="259" w:lineRule="auto"/>
      <w:jc w:val="left"/>
      <w:outlineLvl w:val="8"/>
    </w:pPr>
    <w:rPr>
      <w:rFonts w:eastAsiaTheme="majorEastAsia" w:cstheme="majorBidi"/>
      <w:color w:val="272727" w:themeColor="text1" w:themeTint="D8"/>
      <w:sz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52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52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52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52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52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52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52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52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522B"/>
    <w:rPr>
      <w:rFonts w:eastAsiaTheme="majorEastAsia" w:cstheme="majorBidi"/>
      <w:color w:val="272727" w:themeColor="text1" w:themeTint="D8"/>
    </w:rPr>
  </w:style>
  <w:style w:type="paragraph" w:styleId="Title">
    <w:name w:val="Title"/>
    <w:basedOn w:val="Normal"/>
    <w:next w:val="Normal"/>
    <w:link w:val="TitleChar"/>
    <w:uiPriority w:val="10"/>
    <w:qFormat/>
    <w:rsid w:val="00AF522B"/>
    <w:pPr>
      <w:widowControl/>
      <w:spacing w:after="80"/>
      <w:contextualSpacing/>
      <w:jc w:val="left"/>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AF52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522B"/>
    <w:pPr>
      <w:widowControl/>
      <w:numPr>
        <w:ilvl w:val="1"/>
      </w:numPr>
      <w:spacing w:after="160" w:line="259" w:lineRule="auto"/>
      <w:jc w:val="left"/>
    </w:pPr>
    <w:rPr>
      <w:rFonts w:eastAsiaTheme="majorEastAsia" w:cstheme="majorBidi"/>
      <w:color w:val="595959" w:themeColor="text1" w:themeTint="A6"/>
      <w:spacing w:val="15"/>
      <w:sz w:val="28"/>
      <w:szCs w:val="28"/>
      <w:lang w:eastAsia="en-US"/>
      <w14:ligatures w14:val="standardContextual"/>
    </w:rPr>
  </w:style>
  <w:style w:type="character" w:customStyle="1" w:styleId="SubtitleChar">
    <w:name w:val="Subtitle Char"/>
    <w:basedOn w:val="DefaultParagraphFont"/>
    <w:link w:val="Subtitle"/>
    <w:uiPriority w:val="11"/>
    <w:rsid w:val="00AF52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522B"/>
    <w:pPr>
      <w:widowControl/>
      <w:spacing w:before="160" w:after="160" w:line="259" w:lineRule="auto"/>
      <w:jc w:val="center"/>
    </w:pPr>
    <w:rPr>
      <w:rFonts w:eastAsiaTheme="minorHAnsi"/>
      <w:i/>
      <w:iCs/>
      <w:color w:val="404040" w:themeColor="text1" w:themeTint="BF"/>
      <w:sz w:val="22"/>
      <w:lang w:eastAsia="en-US"/>
      <w14:ligatures w14:val="standardContextual"/>
    </w:rPr>
  </w:style>
  <w:style w:type="character" w:customStyle="1" w:styleId="QuoteChar">
    <w:name w:val="Quote Char"/>
    <w:basedOn w:val="DefaultParagraphFont"/>
    <w:link w:val="Quote"/>
    <w:uiPriority w:val="29"/>
    <w:rsid w:val="00AF522B"/>
    <w:rPr>
      <w:i/>
      <w:iCs/>
      <w:color w:val="404040" w:themeColor="text1" w:themeTint="BF"/>
    </w:rPr>
  </w:style>
  <w:style w:type="paragraph" w:styleId="ListParagraph">
    <w:name w:val="List Paragraph"/>
    <w:basedOn w:val="Normal"/>
    <w:uiPriority w:val="34"/>
    <w:qFormat/>
    <w:rsid w:val="00AF522B"/>
    <w:pPr>
      <w:widowControl/>
      <w:spacing w:after="160" w:line="259" w:lineRule="auto"/>
      <w:ind w:left="720"/>
      <w:contextualSpacing/>
      <w:jc w:val="left"/>
    </w:pPr>
    <w:rPr>
      <w:rFonts w:eastAsiaTheme="minorHAnsi"/>
      <w:sz w:val="22"/>
      <w:lang w:eastAsia="en-US"/>
      <w14:ligatures w14:val="standardContextual"/>
    </w:rPr>
  </w:style>
  <w:style w:type="character" w:styleId="IntenseEmphasis">
    <w:name w:val="Intense Emphasis"/>
    <w:basedOn w:val="DefaultParagraphFont"/>
    <w:uiPriority w:val="21"/>
    <w:qFormat/>
    <w:rsid w:val="00AF522B"/>
    <w:rPr>
      <w:i/>
      <w:iCs/>
      <w:color w:val="0F4761" w:themeColor="accent1" w:themeShade="BF"/>
    </w:rPr>
  </w:style>
  <w:style w:type="paragraph" w:styleId="IntenseQuote">
    <w:name w:val="Intense Quote"/>
    <w:basedOn w:val="Normal"/>
    <w:next w:val="Normal"/>
    <w:link w:val="IntenseQuoteChar"/>
    <w:uiPriority w:val="30"/>
    <w:qFormat/>
    <w:rsid w:val="00AF522B"/>
    <w:pPr>
      <w:widowControl/>
      <w:pBdr>
        <w:top w:val="single" w:sz="4" w:space="10" w:color="0F4761" w:themeColor="accent1" w:themeShade="BF"/>
        <w:bottom w:val="single" w:sz="4" w:space="10" w:color="0F4761" w:themeColor="accent1" w:themeShade="BF"/>
      </w:pBdr>
      <w:spacing w:before="360" w:after="360" w:line="259" w:lineRule="auto"/>
      <w:ind w:left="864" w:right="864"/>
      <w:jc w:val="center"/>
    </w:pPr>
    <w:rPr>
      <w:rFonts w:eastAsiaTheme="minorHAnsi"/>
      <w:i/>
      <w:iCs/>
      <w:color w:val="0F4761" w:themeColor="accent1" w:themeShade="BF"/>
      <w:sz w:val="22"/>
      <w:lang w:eastAsia="en-US"/>
      <w14:ligatures w14:val="standardContextual"/>
    </w:rPr>
  </w:style>
  <w:style w:type="character" w:customStyle="1" w:styleId="IntenseQuoteChar">
    <w:name w:val="Intense Quote Char"/>
    <w:basedOn w:val="DefaultParagraphFont"/>
    <w:link w:val="IntenseQuote"/>
    <w:uiPriority w:val="30"/>
    <w:rsid w:val="00AF522B"/>
    <w:rPr>
      <w:i/>
      <w:iCs/>
      <w:color w:val="0F4761" w:themeColor="accent1" w:themeShade="BF"/>
    </w:rPr>
  </w:style>
  <w:style w:type="character" w:styleId="IntenseReference">
    <w:name w:val="Intense Reference"/>
    <w:basedOn w:val="DefaultParagraphFont"/>
    <w:uiPriority w:val="32"/>
    <w:qFormat/>
    <w:rsid w:val="00AF522B"/>
    <w:rPr>
      <w:b/>
      <w:bCs/>
      <w:smallCaps/>
      <w:color w:val="0F4761" w:themeColor="accent1" w:themeShade="BF"/>
      <w:spacing w:val="5"/>
    </w:rPr>
  </w:style>
  <w:style w:type="paragraph" w:styleId="Header">
    <w:name w:val="header"/>
    <w:basedOn w:val="Normal"/>
    <w:link w:val="HeaderChar"/>
    <w:uiPriority w:val="99"/>
    <w:unhideWhenUsed/>
    <w:rsid w:val="00AF522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F522B"/>
    <w:rPr>
      <w:rFonts w:eastAsiaTheme="minorEastAsia"/>
      <w:sz w:val="18"/>
      <w:szCs w:val="18"/>
      <w:lang w:eastAsia="zh-CN"/>
      <w14:ligatures w14:val="none"/>
    </w:rPr>
  </w:style>
  <w:style w:type="paragraph" w:styleId="Footer">
    <w:name w:val="footer"/>
    <w:basedOn w:val="Normal"/>
    <w:link w:val="FooterChar"/>
    <w:uiPriority w:val="99"/>
    <w:unhideWhenUsed/>
    <w:rsid w:val="00AF522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F522B"/>
    <w:rPr>
      <w:rFonts w:eastAsiaTheme="minorEastAsia"/>
      <w:sz w:val="18"/>
      <w:szCs w:val="18"/>
      <w:lang w:eastAsia="zh-CN"/>
      <w14:ligatures w14:val="none"/>
    </w:rPr>
  </w:style>
  <w:style w:type="character" w:styleId="LineNumber">
    <w:name w:val="line number"/>
    <w:basedOn w:val="DefaultParagraphFont"/>
    <w:uiPriority w:val="99"/>
    <w:semiHidden/>
    <w:unhideWhenUsed/>
    <w:rsid w:val="00AF5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tiff"/><Relationship Id="rId5" Type="http://schemas.openxmlformats.org/officeDocument/2006/relationships/image" Target="media/image2.tiff"/><Relationship Id="rId15" Type="http://schemas.openxmlformats.org/officeDocument/2006/relationships/footer" Target="footer1.xml"/><Relationship Id="rId10" Type="http://schemas.openxmlformats.org/officeDocument/2006/relationships/image" Target="media/image7.png"/><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669</Words>
  <Characters>3815</Characters>
  <Application>Microsoft Office Word</Application>
  <DocSecurity>0</DocSecurity>
  <Lines>31</Lines>
  <Paragraphs>8</Paragraphs>
  <ScaleCrop>false</ScaleCrop>
  <Company>Springer Nature</Company>
  <LinksUpToDate>false</LinksUpToDate>
  <CharactersWithSpaces>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Rizwan Khan</dc:creator>
  <cp:keywords/>
  <dc:description/>
  <cp:lastModifiedBy>Rizwan Khan</cp:lastModifiedBy>
  <cp:revision>1</cp:revision>
  <dcterms:created xsi:type="dcterms:W3CDTF">2024-09-04T05:33:00Z</dcterms:created>
  <dcterms:modified xsi:type="dcterms:W3CDTF">2024-09-04T05:34:00Z</dcterms:modified>
</cp:coreProperties>
</file>