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0D48F823" w14:textId="77777777" w:rsidR="00D230EE" w:rsidRDefault="00D230EE" w:rsidP="00D230EE">
      <w:pPr>
        <w:spacing w:line="13.80pt" w:lineRule="auto"/>
        <w:rPr>
          <w:rFonts w:ascii="Trebuchet MS" w:eastAsia="Trebuchet MS" w:hAnsi="Trebuchet MS" w:cs="Trebuchet MS"/>
          <w:b/>
          <w:color w:val="1B3051"/>
          <w:sz w:val="39"/>
          <w:szCs w:val="39"/>
        </w:rPr>
      </w:pPr>
      <w:r>
        <w:rPr>
          <w:rFonts w:ascii="Trebuchet MS" w:eastAsia="Trebuchet MS" w:hAnsi="Trebuchet MS" w:cs="Trebuchet MS"/>
          <w:b/>
          <w:color w:val="1B3051"/>
          <w:sz w:val="39"/>
          <w:szCs w:val="39"/>
        </w:rPr>
        <w:t>Supplementary Materials</w:t>
      </w:r>
    </w:p>
    <w:p w14:paraId="4363FFC7" w14:textId="77777777" w:rsidR="00D230EE" w:rsidRDefault="00D230EE" w:rsidP="00D230EE">
      <w:pPr>
        <w:spacing w:line="13.80pt" w:lineRule="auto"/>
        <w:rPr>
          <w:rFonts w:ascii="Trebuchet MS" w:eastAsia="Trebuchet MS" w:hAnsi="Trebuchet MS" w:cs="Trebuchet MS"/>
          <w:b/>
          <w:color w:val="1B3051"/>
          <w:sz w:val="39"/>
          <w:szCs w:val="39"/>
        </w:rPr>
      </w:pPr>
    </w:p>
    <w:p w14:paraId="6E583D72" w14:textId="77777777" w:rsidR="00D230EE" w:rsidRDefault="00D230EE" w:rsidP="00D230EE">
      <w:pPr>
        <w:spacing w:line="13.80pt" w:lineRule="auto"/>
        <w:rPr>
          <w:rFonts w:ascii="Trebuchet MS" w:eastAsia="Trebuchet MS" w:hAnsi="Trebuchet MS" w:cs="Trebuchet MS"/>
          <w:b/>
          <w:color w:val="1B3051"/>
          <w:sz w:val="39"/>
          <w:szCs w:val="39"/>
        </w:rPr>
      </w:pPr>
      <w:r>
        <w:rPr>
          <w:rFonts w:ascii="Trebuchet MS" w:eastAsia="Trebuchet MS" w:hAnsi="Trebuchet MS" w:cs="Trebuchet MS"/>
          <w:b/>
          <w:color w:val="1B3051"/>
          <w:sz w:val="39"/>
          <w:szCs w:val="39"/>
        </w:rPr>
        <w:t>ICD-9CM codes used for CVD definition</w:t>
      </w:r>
    </w:p>
    <w:p w14:paraId="4A3A3B8B" w14:textId="77777777" w:rsidR="00D230EE" w:rsidRDefault="00D230EE" w:rsidP="00D230EE">
      <w:pPr>
        <w:spacing w:line="13.80pt" w:lineRule="auto"/>
        <w:rPr>
          <w:rFonts w:ascii="Trebuchet MS" w:eastAsia="Trebuchet MS" w:hAnsi="Trebuchet MS" w:cs="Trebuchet MS"/>
          <w:b/>
          <w:color w:val="1B3051"/>
          <w:sz w:val="39"/>
          <w:szCs w:val="39"/>
        </w:rPr>
      </w:pPr>
    </w:p>
    <w:p w14:paraId="370B2A86" w14:textId="77777777" w:rsidR="00D230EE" w:rsidRPr="00CE6C0C" w:rsidRDefault="00D230EE" w:rsidP="00D230EE">
      <w:pPr>
        <w:rPr>
          <w:rFonts w:eastAsia="Roboto"/>
          <w:color w:val="333333"/>
          <w:sz w:val="28"/>
          <w:szCs w:val="28"/>
        </w:rPr>
      </w:pPr>
      <w:r w:rsidRPr="00DB7A6B">
        <w:rPr>
          <w:rFonts w:eastAsia="Roboto"/>
          <w:b/>
          <w:bCs/>
          <w:color w:val="333333"/>
          <w:sz w:val="28"/>
          <w:szCs w:val="28"/>
        </w:rPr>
        <w:t>Coronary Heart Events</w:t>
      </w:r>
      <w:r w:rsidRPr="00CE6C0C">
        <w:rPr>
          <w:rFonts w:eastAsia="Roboto"/>
          <w:color w:val="333333"/>
          <w:sz w:val="28"/>
          <w:szCs w:val="28"/>
        </w:rPr>
        <w:t xml:space="preserve"> (CHE) (ICD-9CM codes: 411; 411.0; 411.8; 411.81, </w:t>
      </w:r>
      <w:r>
        <w:rPr>
          <w:rFonts w:eastAsia="Roboto"/>
          <w:color w:val="333333"/>
          <w:sz w:val="28"/>
          <w:szCs w:val="28"/>
        </w:rPr>
        <w:t>4</w:t>
      </w:r>
      <w:r w:rsidRPr="00CE6C0C">
        <w:rPr>
          <w:rFonts w:eastAsia="Roboto"/>
          <w:color w:val="333333"/>
          <w:sz w:val="28"/>
          <w:szCs w:val="28"/>
        </w:rPr>
        <w:t>11.89;414.9) includes ischemic heart disease and angina pectoris (ICD-9CM codes 411.1; 413; 413.0; 413.1; 413.9), previous heart ischemic events (ICD-9CM codes from 410:1 to 410.92; 412), ischemic heart failure (ICD-9 CMCodes:402.01;402.11402.91;404.01;404.11;404.91;428;428.0;428.1; 428.9) or procedures such as coronary angioplasty (ICD-9CM codes: from 36.0 to 36.06; 36.09) and coronary heart bypass (ICD-9CM codes 36.1; from 36.10 to 36.17; 36.19; 36.2; 36.3)</w:t>
      </w:r>
    </w:p>
    <w:p w14:paraId="426B2727" w14:textId="77777777" w:rsidR="00D230EE" w:rsidRPr="00CE6C0C" w:rsidRDefault="00D230EE" w:rsidP="00D230EE">
      <w:pPr>
        <w:rPr>
          <w:sz w:val="28"/>
          <w:szCs w:val="28"/>
        </w:rPr>
      </w:pPr>
    </w:p>
    <w:p w14:paraId="23C9E028" w14:textId="77777777" w:rsidR="00D230EE" w:rsidRPr="00CE6C0C" w:rsidRDefault="00D230EE" w:rsidP="00D230EE">
      <w:pPr>
        <w:rPr>
          <w:rFonts w:eastAsia="Roboto"/>
          <w:color w:val="333333"/>
          <w:sz w:val="28"/>
          <w:szCs w:val="28"/>
        </w:rPr>
      </w:pPr>
      <w:r w:rsidRPr="00DB7A6B">
        <w:rPr>
          <w:rFonts w:eastAsia="Roboto"/>
          <w:b/>
          <w:bCs/>
          <w:color w:val="333333"/>
          <w:sz w:val="28"/>
          <w:szCs w:val="28"/>
        </w:rPr>
        <w:t>Cerebrovascular events</w:t>
      </w:r>
      <w:r w:rsidRPr="00CE6C0C">
        <w:rPr>
          <w:rFonts w:eastAsia="Roboto"/>
          <w:color w:val="333333"/>
          <w:sz w:val="28"/>
          <w:szCs w:val="28"/>
        </w:rPr>
        <w:t xml:space="preserve"> (CVE) included ischemic stroke ​​ (ICD-9CM codes: 430;431; 432; 432.0; 432.1; 432.9; 433.01; 433.11; 433.21; 433.31; 433.81;433.91;434.01434.91 and codes: 433.01; 433.11; 433.21; 433.31; 433.81; 433.91; 434.01; 434.91) or hemorrhagic stroke (ICD-9CM codes: 430;431;432; 432.0; 432.1; 432.9), transient ischemic attack (TIA) (ICD-9CM codes from 435.0 to 435.3; 435.8; 435.9;436), cerebral endovascular revascularization procedures (ICD-9CM codes: 434.90;437; 437.0; 437.1). The definition of ischemic stroke included diagnoses of ischemic stroke and unspecified stroke (ICD9CM codes: 433.01; 433.11; 433.21; 433.31; 433.81; 433.91; 434.01; 434.91), as the majority of unspecified strokes are of ischemic origin.</w:t>
      </w:r>
    </w:p>
    <w:p w14:paraId="12A921F8" w14:textId="77777777" w:rsidR="00D230EE" w:rsidRPr="00CE6C0C" w:rsidRDefault="00D230EE" w:rsidP="00D230EE">
      <w:pPr>
        <w:rPr>
          <w:b/>
          <w:sz w:val="28"/>
          <w:szCs w:val="28"/>
        </w:rPr>
      </w:pPr>
    </w:p>
    <w:p w14:paraId="7D88ECD9" w14:textId="77777777" w:rsidR="00D230EE" w:rsidRPr="00CE6C0C" w:rsidRDefault="00D230EE" w:rsidP="00D230EE">
      <w:pPr>
        <w:rPr>
          <w:rFonts w:eastAsia="Roboto"/>
          <w:color w:val="333333"/>
          <w:sz w:val="28"/>
          <w:szCs w:val="28"/>
        </w:rPr>
      </w:pPr>
      <w:r w:rsidRPr="00DB7A6B">
        <w:rPr>
          <w:rFonts w:eastAsia="Roboto"/>
          <w:b/>
          <w:bCs/>
          <w:color w:val="333333"/>
          <w:sz w:val="28"/>
          <w:szCs w:val="28"/>
        </w:rPr>
        <w:t>Peripheral artery disease events</w:t>
      </w:r>
      <w:r w:rsidRPr="00CE6C0C">
        <w:rPr>
          <w:rFonts w:eastAsia="Roboto"/>
          <w:color w:val="333333"/>
          <w:sz w:val="28"/>
          <w:szCs w:val="28"/>
        </w:rPr>
        <w:t xml:space="preserve"> (PAD) (IC9CM codes: 440.2; 440.20-440.24; 440.29; 440.3-440.32; 443.81; 250.7-250.73) included clinical diagnosis of peripheral artery disease as well as related procedures such as lower extremities angioplasty: (ICD9CM codes: 39.50; 38.18; 38.08; 39.90) or lower extremities bypass (ICD9CM codes: 39.25; 39.26; 39.29).</w:t>
      </w:r>
    </w:p>
    <w:p w14:paraId="08F34529" w14:textId="77777777" w:rsidR="00D230EE" w:rsidRDefault="00D230EE" w:rsidP="00D230EE">
      <w:pPr>
        <w:spacing w:line="13.80pt" w:lineRule="auto"/>
        <w:rPr>
          <w:rFonts w:ascii="Trebuchet MS" w:eastAsia="Trebuchet MS" w:hAnsi="Trebuchet MS" w:cs="Trebuchet MS"/>
          <w:b/>
          <w:color w:val="1B3051"/>
          <w:sz w:val="39"/>
          <w:szCs w:val="39"/>
          <w:lang w:eastAsia="it-IT"/>
        </w:rPr>
      </w:pPr>
      <w:r>
        <w:rPr>
          <w:rFonts w:ascii="Trebuchet MS" w:eastAsia="Trebuchet MS" w:hAnsi="Trebuchet MS" w:cs="Trebuchet MS"/>
          <w:b/>
          <w:color w:val="1B3051"/>
          <w:sz w:val="39"/>
          <w:szCs w:val="39"/>
        </w:rPr>
        <w:br w:type="page"/>
      </w:r>
    </w:p>
    <w:p w14:paraId="5F32D9C5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Trebuchet MS">
    <w:altName w:val="﷽﷽﷽﷽﷽﷽﷽﷽t MS"/>
    <w:panose1 w:val="020B0603020202020204"/>
    <w:charset w:characterSet="iso-8859-1"/>
    <w:family w:val="swiss"/>
    <w:pitch w:val="variable"/>
    <w:sig w:usb0="00000687" w:usb1="00000000" w:usb2="00000000" w:usb3="00000000" w:csb0="0000009F" w:csb1="00000000"/>
  </w:font>
  <w:font w:name="Roboto">
    <w:charset w:characterSet="iso-8859-1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EE"/>
    <w:rsid w:val="002A5090"/>
    <w:rsid w:val="003F36CB"/>
    <w:rsid w:val="00857132"/>
    <w:rsid w:val="008C374B"/>
    <w:rsid w:val="00954821"/>
    <w:rsid w:val="00AF416B"/>
    <w:rsid w:val="00D230EE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F2416E"/>
  <w15:chartTrackingRefBased/>
  <w15:docId w15:val="{1B52FB11-2F12-4F40-A574-8FE14625840F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0EE"/>
    <w:pPr>
      <w:spacing w:after="0pt" w:line="12pt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30EE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0EE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0EE"/>
    <w:pPr>
      <w:keepNext/>
      <w:keepLines/>
      <w:spacing w:before="8pt" w:after="4pt" w:line="12.95pt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0EE"/>
    <w:pPr>
      <w:keepNext/>
      <w:keepLines/>
      <w:spacing w:before="4pt" w:after="2pt" w:line="12.95pt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0EE"/>
    <w:pPr>
      <w:keepNext/>
      <w:keepLines/>
      <w:spacing w:before="4pt" w:after="2pt" w:line="12.95pt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0EE"/>
    <w:pPr>
      <w:keepNext/>
      <w:keepLines/>
      <w:spacing w:before="2pt" w:line="12.95pt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0EE"/>
    <w:pPr>
      <w:keepNext/>
      <w:keepLines/>
      <w:spacing w:before="2pt" w:line="12.95pt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0EE"/>
    <w:pPr>
      <w:keepNext/>
      <w:keepLines/>
      <w:spacing w:line="12.95pt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0EE"/>
    <w:pPr>
      <w:keepNext/>
      <w:keepLines/>
      <w:spacing w:line="12.95pt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0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0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0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0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0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0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0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0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0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0EE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3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0EE"/>
    <w:pPr>
      <w:numPr>
        <w:ilvl w:val="1"/>
      </w:numPr>
      <w:spacing w:after="8pt" w:line="12.95pt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3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0EE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30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0EE"/>
    <w:pPr>
      <w:spacing w:after="8pt" w:line="12.95pt" w:lineRule="auto"/>
      <w:ind w:start="36pt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30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0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0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0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252</Words>
  <Characters>1440</Characters>
  <Application>Microsoft Office Word</Application>
  <DocSecurity>0</DocSecurity>
  <Lines>12</Lines>
  <Paragraphs>3</Paragraphs>
  <ScaleCrop>false</ScaleCrop>
  <Company>Springer Nature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2024-09-11T11:01:00Z</dcterms:created>
  <dcterms:modified xsi:type="dcterms:W3CDTF">2024-09-11T11:01:00Z</dcterms:modified>
</cp:coreProperties>
</file>