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0AF07" w14:textId="31061217" w:rsidR="00732319" w:rsidRDefault="00A73469" w:rsidP="00E77CBE">
      <w:pPr>
        <w:jc w:val="center"/>
      </w:pPr>
      <w:r>
        <w:rPr>
          <w:noProof/>
        </w:rPr>
        <w:drawing>
          <wp:inline distT="0" distB="0" distL="0" distR="0" wp14:anchorId="3377EE29" wp14:editId="23D4AD38">
            <wp:extent cx="4191000" cy="93229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326" cy="9325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0C08A" w14:textId="2468D76E" w:rsidR="00A73469" w:rsidRPr="00F063A5" w:rsidRDefault="00A73469" w:rsidP="009407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Fig. 1 </w:t>
      </w:r>
      <w:r w:rsidRPr="00A73469">
        <w:rPr>
          <w:rFonts w:ascii="Times New Roman" w:hAnsi="Times New Roman" w:cs="Times New Roman"/>
          <w:sz w:val="24"/>
          <w:szCs w:val="24"/>
        </w:rPr>
        <w:t>Gating and sample analysis by flow cytometry</w:t>
      </w:r>
      <w:r w:rsidRPr="00A73469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 </w:t>
      </w:r>
      <w:r>
        <w:rPr>
          <w:rFonts w:ascii="Times New Roman" w:hAnsi="Times New Roman" w:cs="Times New Roman"/>
          <w:sz w:val="24"/>
          <w:szCs w:val="24"/>
        </w:rPr>
        <w:t xml:space="preserve">Single negative control, and samples with antibodies against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 xml:space="preserve">H4,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 </w:t>
      </w:r>
      <w:r>
        <w:rPr>
          <w:rFonts w:ascii="Times New Roman" w:hAnsi="Times New Roman" w:cs="Times New Roman"/>
          <w:sz w:val="24"/>
          <w:szCs w:val="24"/>
        </w:rPr>
        <w:t xml:space="preserve">Protamine-2,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r>
        <w:rPr>
          <w:rFonts w:ascii="Times New Roman" w:hAnsi="Times New Roman" w:cs="Times New Roman"/>
          <w:sz w:val="24"/>
          <w:szCs w:val="24"/>
        </w:rPr>
        <w:t xml:space="preserve">H4Ac,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 xml:space="preserve">H3K4me3,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H3K27me3, </w:t>
      </w:r>
      <w:r w:rsidR="00F063A5">
        <w:rPr>
          <w:rFonts w:ascii="Times New Roman" w:hAnsi="Times New Roman" w:cs="Times New Roman"/>
          <w:b/>
          <w:bCs/>
          <w:sz w:val="24"/>
          <w:szCs w:val="24"/>
        </w:rPr>
        <w:t xml:space="preserve">G </w:t>
      </w:r>
      <w:r w:rsidR="00F063A5">
        <w:rPr>
          <w:rFonts w:ascii="Times New Roman" w:hAnsi="Times New Roman" w:cs="Times New Roman"/>
          <w:sz w:val="24"/>
          <w:szCs w:val="24"/>
        </w:rPr>
        <w:t>H3K9me3. Events- 20,000. Gates: P1-Homogenous sperm population, P2-DAPI positive (intact) cells.</w:t>
      </w:r>
    </w:p>
    <w:sectPr w:rsidR="00A73469" w:rsidRPr="00F063A5" w:rsidSect="00A73469">
      <w:pgSz w:w="12240" w:h="15840"/>
      <w:pgMar w:top="426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469"/>
    <w:rsid w:val="00732319"/>
    <w:rsid w:val="00940777"/>
    <w:rsid w:val="00A73469"/>
    <w:rsid w:val="00AF0148"/>
    <w:rsid w:val="00E77CBE"/>
    <w:rsid w:val="00F06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FC61C"/>
  <w15:chartTrackingRefBased/>
  <w15:docId w15:val="{58B1AA55-53A4-4FBA-88A6-072523581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Delna Irani</dc:creator>
  <cp:keywords/>
  <dc:description/>
  <cp:lastModifiedBy>Delna Irani</cp:lastModifiedBy>
  <cp:revision>3</cp:revision>
  <dcterms:created xsi:type="dcterms:W3CDTF">2024-05-30T05:50:00Z</dcterms:created>
  <dcterms:modified xsi:type="dcterms:W3CDTF">2024-05-30T06:03:00Z</dcterms:modified>
</cp:coreProperties>
</file>