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F23CAF" w14:textId="690F8272" w:rsidR="00A3283A" w:rsidRDefault="00A3283A" w:rsidP="00A3283A">
      <w:pPr>
        <w:spacing w:line="360" w:lineRule="auto"/>
        <w:ind w:left="567" w:hanging="567"/>
        <w:jc w:val="both"/>
      </w:pPr>
      <w:r w:rsidRPr="00D46CA7">
        <w:rPr>
          <w:b/>
          <w:bCs/>
        </w:rPr>
        <w:t>Table (</w:t>
      </w:r>
      <w:r>
        <w:rPr>
          <w:b/>
          <w:bCs/>
        </w:rPr>
        <w:t>1</w:t>
      </w:r>
      <w:r w:rsidRPr="00D46CA7">
        <w:rPr>
          <w:b/>
          <w:bCs/>
        </w:rPr>
        <w:t xml:space="preserve">) </w:t>
      </w:r>
      <w:bookmarkStart w:id="0" w:name="_Hlk159626713"/>
      <w:r w:rsidRPr="00F64B8E">
        <w:t xml:space="preserve">Comparison of marginal bone level bone </w:t>
      </w:r>
      <w:r w:rsidR="006E6E2C">
        <w:t>(</w:t>
      </w:r>
      <w:r w:rsidRPr="00F64B8E">
        <w:t>caliper</w:t>
      </w:r>
      <w:r w:rsidR="006E6E2C">
        <w:t>)</w:t>
      </w:r>
      <w:r w:rsidRPr="00F64B8E">
        <w:t xml:space="preserve"> (mm) in the two studied groups pre-surgically and six months post-surgically</w:t>
      </w:r>
      <w:bookmarkEnd w:id="0"/>
    </w:p>
    <w:tbl>
      <w:tblPr>
        <w:tblStyle w:val="GridTable4-Accent5"/>
        <w:tblW w:w="5000" w:type="pct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635"/>
        <w:gridCol w:w="1895"/>
        <w:gridCol w:w="1895"/>
        <w:gridCol w:w="1845"/>
      </w:tblGrid>
      <w:tr w:rsidR="00A3283A" w:rsidRPr="00D53F90" w14:paraId="1066C273" w14:textId="77777777" w:rsidTr="00A328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vMerge w:val="restart"/>
            <w:tcBorders>
              <w:top w:val="thinThickSmallGap" w:sz="24" w:space="0" w:color="auto"/>
              <w:left w:val="thinThickSmallGap" w:sz="2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D0EC3D7" w14:textId="65027281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color w:val="auto"/>
                <w:sz w:val="20"/>
                <w:szCs w:val="20"/>
              </w:rPr>
              <w:t xml:space="preserve">Marginal Bone Level Bone </w:t>
            </w:r>
            <w:r w:rsidR="006E6E2C">
              <w:rPr>
                <w:rFonts w:asciiTheme="majorBidi" w:hAnsiTheme="majorBidi" w:cstheme="majorBidi"/>
                <w:color w:val="auto"/>
                <w:sz w:val="20"/>
                <w:szCs w:val="20"/>
              </w:rPr>
              <w:t>(</w:t>
            </w:r>
            <w:r w:rsidRPr="00D53F90">
              <w:rPr>
                <w:rFonts w:asciiTheme="majorBidi" w:hAnsiTheme="majorBidi" w:cstheme="majorBidi"/>
                <w:color w:val="auto"/>
                <w:sz w:val="20"/>
                <w:szCs w:val="20"/>
              </w:rPr>
              <w:t>Caliper</w:t>
            </w:r>
            <w:r w:rsidR="006E6E2C">
              <w:rPr>
                <w:rFonts w:asciiTheme="majorBidi" w:hAnsiTheme="majorBidi" w:cstheme="majorBidi"/>
                <w:color w:val="auto"/>
                <w:sz w:val="20"/>
                <w:szCs w:val="20"/>
              </w:rPr>
              <w:t>)</w:t>
            </w:r>
            <w:r w:rsidRPr="00D53F90">
              <w:rPr>
                <w:rFonts w:asciiTheme="majorBidi" w:hAnsiTheme="majorBidi" w:cstheme="majorBidi"/>
                <w:color w:val="auto"/>
                <w:sz w:val="20"/>
                <w:szCs w:val="20"/>
              </w:rPr>
              <w:t xml:space="preserve"> (mm)</w:t>
            </w:r>
          </w:p>
        </w:tc>
        <w:tc>
          <w:tcPr>
            <w:tcW w:w="2044" w:type="pct"/>
            <w:gridSpan w:val="2"/>
            <w:tcBorders>
              <w:top w:val="thinThickSmallGap" w:sz="2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A7BE6C5" w14:textId="77777777" w:rsidR="00A3283A" w:rsidRPr="00D53F90" w:rsidRDefault="00A3283A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  <w:rtl/>
              </w:rPr>
            </w:pPr>
            <w:r w:rsidRPr="00D53F90">
              <w:rPr>
                <w:rFonts w:asciiTheme="majorBidi" w:hAnsiTheme="majorBidi" w:cstheme="majorBidi"/>
                <w:color w:val="auto"/>
                <w:sz w:val="20"/>
                <w:szCs w:val="20"/>
              </w:rPr>
              <w:t>Group</w:t>
            </w:r>
          </w:p>
        </w:tc>
        <w:tc>
          <w:tcPr>
            <w:tcW w:w="995" w:type="pct"/>
            <w:vMerge w:val="restart"/>
            <w:tcBorders>
              <w:top w:val="thinThickSmallGap" w:sz="24" w:space="0" w:color="auto"/>
              <w:left w:val="single" w:sz="4" w:space="0" w:color="auto"/>
              <w:right w:val="thickThinSmallGap" w:sz="2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E510157" w14:textId="77777777" w:rsidR="00A3283A" w:rsidRPr="00D53F90" w:rsidRDefault="00A3283A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color w:val="auto"/>
                <w:sz w:val="20"/>
                <w:szCs w:val="20"/>
              </w:rPr>
              <w:t>Test of significance</w:t>
            </w:r>
          </w:p>
          <w:p w14:paraId="54AD1E0D" w14:textId="77777777" w:rsidR="00A3283A" w:rsidRPr="00D53F90" w:rsidRDefault="00A3283A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i/>
                <w:iCs/>
                <w:color w:val="auto"/>
                <w:sz w:val="20"/>
                <w:szCs w:val="20"/>
              </w:rPr>
              <w:t>p</w:t>
            </w:r>
            <w:r w:rsidRPr="00D53F90">
              <w:rPr>
                <w:rFonts w:asciiTheme="majorBidi" w:hAnsiTheme="majorBidi" w:cstheme="majorBidi"/>
                <w:color w:val="auto"/>
                <w:sz w:val="20"/>
                <w:szCs w:val="20"/>
              </w:rPr>
              <w:t xml:space="preserve"> value</w:t>
            </w:r>
          </w:p>
        </w:tc>
      </w:tr>
      <w:tr w:rsidR="00A3283A" w:rsidRPr="00D53F90" w14:paraId="647836A8" w14:textId="77777777" w:rsidTr="00A328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vMerge/>
            <w:tcBorders>
              <w:top w:val="single" w:sz="6" w:space="0" w:color="auto"/>
              <w:bottom w:val="thickThinSmallGap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E7491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rPr>
                <w:rFonts w:eastAsia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22" w:type="pct"/>
            <w:tcBorders>
              <w:left w:val="single" w:sz="4" w:space="0" w:color="auto"/>
              <w:bottom w:val="thickThinSmallGap" w:sz="24" w:space="0" w:color="auto"/>
            </w:tcBorders>
            <w:shd w:val="clear" w:color="auto" w:fill="auto"/>
            <w:vAlign w:val="center"/>
            <w:hideMark/>
          </w:tcPr>
          <w:p w14:paraId="640AC0C1" w14:textId="77777777" w:rsidR="00A3283A" w:rsidRDefault="00A3283A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Ridge Splitting</w:t>
            </w:r>
          </w:p>
          <w:p w14:paraId="5B027B83" w14:textId="77777777" w:rsidR="00A3283A" w:rsidRPr="00D53F90" w:rsidRDefault="00A3283A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0B91A367" w14:textId="77777777" w:rsidR="00A3283A" w:rsidRPr="00D53F90" w:rsidRDefault="00A3283A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n=7</w:t>
            </w:r>
          </w:p>
        </w:tc>
        <w:tc>
          <w:tcPr>
            <w:tcW w:w="1022" w:type="pct"/>
            <w:tcBorders>
              <w:bottom w:val="thickThinSmallGap" w:sz="2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6607C" w14:textId="011A1629" w:rsidR="00A3283A" w:rsidRPr="00D53F90" w:rsidRDefault="00A3283A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Onlay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</w:t>
            </w:r>
            <w:r w:rsidRPr="00D53F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ticky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</w:t>
            </w:r>
            <w:r w:rsidRPr="00D53F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one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</w:t>
            </w:r>
            <w:r w:rsidRPr="00D53F9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raft</w:t>
            </w:r>
          </w:p>
          <w:p w14:paraId="5A206C7B" w14:textId="77777777" w:rsidR="00A3283A" w:rsidRPr="00D53F90" w:rsidRDefault="00A3283A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n=7</w:t>
            </w:r>
          </w:p>
        </w:tc>
        <w:tc>
          <w:tcPr>
            <w:tcW w:w="995" w:type="pct"/>
            <w:vMerge/>
            <w:tcBorders>
              <w:left w:val="single" w:sz="4" w:space="0" w:color="auto"/>
              <w:bottom w:val="thickThinSmallGap" w:sz="24" w:space="0" w:color="auto"/>
            </w:tcBorders>
            <w:shd w:val="clear" w:color="auto" w:fill="auto"/>
            <w:vAlign w:val="center"/>
            <w:hideMark/>
          </w:tcPr>
          <w:p w14:paraId="28EE9934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A3283A" w:rsidRPr="00D53F90" w14:paraId="2F6625C6" w14:textId="77777777" w:rsidTr="006E6E2C">
        <w:trPr>
          <w:trHeight w:val="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tcBorders>
              <w:top w:val="thickThinSmallGap" w:sz="2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72D5B1E8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Pre-surgically</w:t>
            </w:r>
          </w:p>
          <w:p w14:paraId="0B16FA2F" w14:textId="77777777" w:rsidR="00A3283A" w:rsidRPr="00A3283A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Min-Max</w:t>
            </w:r>
          </w:p>
          <w:p w14:paraId="0B889BF1" w14:textId="77777777" w:rsidR="00A3283A" w:rsidRPr="00A3283A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Mean ± Std. Deviation</w:t>
            </w:r>
          </w:p>
          <w:p w14:paraId="4AC803F6" w14:textId="77777777" w:rsidR="00A3283A" w:rsidRPr="00A3283A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95% CI for mean</w:t>
            </w:r>
          </w:p>
          <w:p w14:paraId="764CD52C" w14:textId="06EE9649" w:rsidR="00A3283A" w:rsidRPr="00D53F90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25</w:t>
            </w: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percentile – 75</w:t>
            </w: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percentile</w:t>
            </w:r>
          </w:p>
        </w:tc>
        <w:tc>
          <w:tcPr>
            <w:tcW w:w="1022" w:type="pct"/>
            <w:tcBorders>
              <w:top w:val="thickThinSmallGap" w:sz="2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7C9AECE5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E7F0D64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3.05-5.00</w:t>
            </w:r>
          </w:p>
          <w:p w14:paraId="4B31AD70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4.05 ± 0.68</w:t>
            </w:r>
          </w:p>
          <w:p w14:paraId="25A4D077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3.63-4.46</w:t>
            </w:r>
          </w:p>
          <w:p w14:paraId="3EDE315C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3.42-4.50</w:t>
            </w:r>
          </w:p>
        </w:tc>
        <w:tc>
          <w:tcPr>
            <w:tcW w:w="1022" w:type="pct"/>
            <w:tcBorders>
              <w:top w:val="thickThinSmallGap" w:sz="2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6D185EE0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AFCAA04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3.35-4.26</w:t>
            </w:r>
          </w:p>
          <w:p w14:paraId="2A1331FF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3.89 ± 0.35</w:t>
            </w:r>
          </w:p>
          <w:p w14:paraId="531C9092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3.68-4.10</w:t>
            </w:r>
          </w:p>
          <w:p w14:paraId="09E31526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3.52-4.22</w:t>
            </w:r>
          </w:p>
        </w:tc>
        <w:tc>
          <w:tcPr>
            <w:tcW w:w="995" w:type="pct"/>
            <w:tcBorders>
              <w:top w:val="thickThinSmallGap" w:sz="2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542CA047" w14:textId="77777777" w:rsidR="006E6E2C" w:rsidRDefault="006E6E2C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9C0F1E0" w14:textId="77777777" w:rsidR="006E6E2C" w:rsidRDefault="006E6E2C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82FC84D" w14:textId="77777777" w:rsidR="006E6E2C" w:rsidRDefault="006E6E2C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7AEF9B1" w14:textId="76D4A6A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 xml:space="preserve">(W) </w:t>
            </w:r>
            <w:r w:rsidRPr="00D53F90">
              <w:rPr>
                <w:rFonts w:asciiTheme="majorBidi" w:hAnsiTheme="majorBidi" w:cstheme="majorBidi"/>
                <w:sz w:val="20"/>
                <w:szCs w:val="20"/>
              </w:rPr>
              <w:t>=0.731</w:t>
            </w:r>
          </w:p>
          <w:p w14:paraId="3EADDF8E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D53F90">
              <w:rPr>
                <w:rFonts w:asciiTheme="majorBidi" w:hAnsiTheme="majorBidi" w:cstheme="majorBidi"/>
                <w:sz w:val="20"/>
                <w:szCs w:val="20"/>
              </w:rPr>
              <w:t>=.474 NS</w:t>
            </w:r>
          </w:p>
        </w:tc>
      </w:tr>
      <w:tr w:rsidR="00A3283A" w:rsidRPr="00D53F90" w14:paraId="47D21C5D" w14:textId="77777777" w:rsidTr="006E6E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7CC3F8F0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Six months post-surgically</w:t>
            </w:r>
          </w:p>
          <w:p w14:paraId="0532117E" w14:textId="77777777" w:rsidR="00A3283A" w:rsidRPr="00A3283A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Min-Max</w:t>
            </w:r>
          </w:p>
          <w:p w14:paraId="6CD5BD74" w14:textId="77777777" w:rsidR="00A3283A" w:rsidRPr="00A3283A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Mean ± Std. Deviation</w:t>
            </w:r>
          </w:p>
          <w:p w14:paraId="3638D846" w14:textId="77777777" w:rsidR="00A3283A" w:rsidRPr="00A3283A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95% CI for mean</w:t>
            </w:r>
          </w:p>
          <w:p w14:paraId="3DCDB99D" w14:textId="52CD64F4" w:rsidR="00A3283A" w:rsidRPr="00D53F90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25</w:t>
            </w: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percentile – 75</w:t>
            </w: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percentile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1856A11E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E6FB0A6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6.25-9.56</w:t>
            </w:r>
          </w:p>
          <w:p w14:paraId="2DD8A55A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7.40 ± 0.83</w:t>
            </w:r>
          </w:p>
          <w:p w14:paraId="638FFBEC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6.90-7.90</w:t>
            </w:r>
          </w:p>
          <w:p w14:paraId="25C0696C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7.00-7.75</w:t>
            </w:r>
          </w:p>
        </w:tc>
        <w:tc>
          <w:tcPr>
            <w:tcW w:w="1022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61992228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AC05523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6.26-8.89</w:t>
            </w:r>
          </w:p>
          <w:p w14:paraId="4F8EFC2D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7.51 ± 0.95</w:t>
            </w:r>
          </w:p>
          <w:p w14:paraId="65E6CD8A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6.93-8.08</w:t>
            </w:r>
          </w:p>
          <w:p w14:paraId="62680278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6.43-8.13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14:paraId="4B339F8B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B2B7BAA" w14:textId="77777777" w:rsidR="006E6E2C" w:rsidRDefault="006E6E2C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67C6B32" w14:textId="74B42D2B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 xml:space="preserve"> </w:t>
            </w:r>
            <w:r w:rsidRPr="00D53F90">
              <w:rPr>
                <w:rFonts w:asciiTheme="majorBidi" w:hAnsiTheme="majorBidi" w:cstheme="majorBidi"/>
                <w:sz w:val="20"/>
                <w:szCs w:val="20"/>
              </w:rPr>
              <w:t>=0.311</w:t>
            </w:r>
          </w:p>
          <w:p w14:paraId="3E290C85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D53F90">
              <w:rPr>
                <w:rFonts w:asciiTheme="majorBidi" w:hAnsiTheme="majorBidi" w:cstheme="majorBidi"/>
                <w:sz w:val="20"/>
                <w:szCs w:val="20"/>
              </w:rPr>
              <w:t>=.759 NS</w:t>
            </w:r>
          </w:p>
        </w:tc>
      </w:tr>
      <w:tr w:rsidR="00A3283A" w:rsidRPr="00D53F90" w14:paraId="486F9A42" w14:textId="77777777" w:rsidTr="006E6E2C">
        <w:trPr>
          <w:trHeight w:val="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6296F1A7" w14:textId="77777777" w:rsidR="00A3283A" w:rsidRPr="00D53F90" w:rsidRDefault="00A3283A" w:rsidP="00605548">
            <w:pPr>
              <w:autoSpaceDE w:val="0"/>
              <w:autoSpaceDN w:val="0"/>
              <w:adjustRightInd w:val="0"/>
              <w:spacing w:line="240" w:lineRule="exact"/>
              <w:ind w:left="284" w:hanging="284"/>
              <w:contextualSpacing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Paired t test</w:t>
            </w:r>
          </w:p>
          <w:p w14:paraId="53C173A6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D53F90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value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hideMark/>
          </w:tcPr>
          <w:p w14:paraId="3F7E9B4B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</w:t>
            </w:r>
            <w:proofErr w:type="spellStart"/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df</w:t>
            </w:r>
            <w:proofErr w:type="spellEnd"/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=</w:t>
            </w:r>
            <w:proofErr w:type="gramStart"/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12)</w:t>
            </w:r>
            <w:r w:rsidRPr="00D53F90">
              <w:rPr>
                <w:rFonts w:asciiTheme="majorBidi" w:hAnsiTheme="majorBidi" w:cstheme="majorBidi"/>
                <w:sz w:val="20"/>
                <w:szCs w:val="20"/>
              </w:rPr>
              <w:t>=</w:t>
            </w:r>
            <w:proofErr w:type="gramEnd"/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 xml:space="preserve"> </w:t>
            </w:r>
            <w:r w:rsidRPr="00D53F90">
              <w:rPr>
                <w:rFonts w:asciiTheme="majorBidi" w:hAnsiTheme="majorBidi" w:cstheme="majorBidi"/>
                <w:sz w:val="20"/>
                <w:szCs w:val="20"/>
              </w:rPr>
              <w:t>15.634</w:t>
            </w:r>
          </w:p>
          <w:p w14:paraId="77186CFA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D53F90">
              <w:rPr>
                <w:rFonts w:asciiTheme="majorBidi" w:hAnsiTheme="majorBidi" w:cstheme="majorBidi"/>
                <w:sz w:val="20"/>
                <w:szCs w:val="20"/>
              </w:rPr>
              <w:t>&lt;.001*</w:t>
            </w:r>
          </w:p>
        </w:tc>
        <w:tc>
          <w:tcPr>
            <w:tcW w:w="1022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F199FC3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(</w:t>
            </w:r>
            <w:proofErr w:type="spellStart"/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df</w:t>
            </w:r>
            <w:proofErr w:type="spellEnd"/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=</w:t>
            </w:r>
            <w:proofErr w:type="gramStart"/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12)</w:t>
            </w:r>
            <w:r w:rsidRPr="00D53F90">
              <w:rPr>
                <w:rFonts w:asciiTheme="majorBidi" w:hAnsiTheme="majorBidi" w:cstheme="majorBidi"/>
                <w:sz w:val="20"/>
                <w:szCs w:val="20"/>
              </w:rPr>
              <w:t>=</w:t>
            </w:r>
            <w:proofErr w:type="gramEnd"/>
            <w:r w:rsidRPr="00D53F9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 xml:space="preserve"> </w:t>
            </w:r>
            <w:r w:rsidRPr="00D53F90">
              <w:rPr>
                <w:rFonts w:asciiTheme="majorBidi" w:hAnsiTheme="majorBidi" w:cstheme="majorBidi"/>
                <w:sz w:val="20"/>
                <w:szCs w:val="20"/>
              </w:rPr>
              <w:t>14.866</w:t>
            </w:r>
          </w:p>
          <w:p w14:paraId="1513003E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D53F90">
              <w:rPr>
                <w:rFonts w:asciiTheme="majorBidi" w:hAnsiTheme="majorBidi" w:cstheme="majorBidi"/>
                <w:sz w:val="20"/>
                <w:szCs w:val="20"/>
              </w:rPr>
              <w:t>&lt;.001*</w:t>
            </w:r>
          </w:p>
        </w:tc>
        <w:tc>
          <w:tcPr>
            <w:tcW w:w="995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14FCFC81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A3283A" w:rsidRPr="00D53F90" w14:paraId="66EC3E8A" w14:textId="77777777" w:rsidTr="006904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pct"/>
            <w:tcBorders>
              <w:top w:val="single" w:sz="6" w:space="0" w:color="auto"/>
              <w:bottom w:val="thickThinSmallGap" w:sz="24" w:space="0" w:color="auto"/>
              <w:right w:val="single" w:sz="4" w:space="0" w:color="auto"/>
            </w:tcBorders>
            <w:shd w:val="clear" w:color="auto" w:fill="auto"/>
          </w:tcPr>
          <w:p w14:paraId="7C7DB50F" w14:textId="77777777" w:rsidR="00A3283A" w:rsidRPr="00D53F90" w:rsidRDefault="00A3283A" w:rsidP="00605548">
            <w:pPr>
              <w:spacing w:line="240" w:lineRule="exact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Percentage Change (%) (six months post-surgically vs. pre-surgically)</w:t>
            </w:r>
          </w:p>
          <w:p w14:paraId="7D97ED8B" w14:textId="77777777" w:rsidR="00A3283A" w:rsidRPr="00D53F90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Min-Max</w:t>
            </w:r>
          </w:p>
          <w:p w14:paraId="4880D951" w14:textId="77777777" w:rsidR="00A3283A" w:rsidRPr="00D53F90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Me an ± Std. Deviation</w:t>
            </w:r>
          </w:p>
          <w:p w14:paraId="1F4BB308" w14:textId="77777777" w:rsidR="00A3283A" w:rsidRPr="00D53F90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95% CI for mean</w:t>
            </w:r>
          </w:p>
          <w:p w14:paraId="361FEAD6" w14:textId="1A6DD0ED" w:rsidR="00A3283A" w:rsidRPr="00D53F90" w:rsidRDefault="00A3283A" w:rsidP="00A3283A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300" w:hanging="30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25</w:t>
            </w: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percentile – 75</w:t>
            </w:r>
            <w:r w:rsidRPr="00A3283A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  <w:r w:rsidRPr="00D53F90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percentile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4" w:space="0" w:color="auto"/>
              <w:bottom w:val="thickThinSmallGap" w:sz="24" w:space="0" w:color="auto"/>
            </w:tcBorders>
            <w:shd w:val="clear" w:color="auto" w:fill="auto"/>
          </w:tcPr>
          <w:p w14:paraId="0180DEAD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7EB3889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5E4C7A0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53.33-142.01</w:t>
            </w:r>
          </w:p>
          <w:p w14:paraId="54CAFA9F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86.33 ± 28.57</w:t>
            </w:r>
          </w:p>
          <w:p w14:paraId="610E9AD6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69.06-103.59</w:t>
            </w:r>
          </w:p>
          <w:p w14:paraId="0856DC16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63.73-105.26</w:t>
            </w:r>
          </w:p>
        </w:tc>
        <w:tc>
          <w:tcPr>
            <w:tcW w:w="1022" w:type="pct"/>
            <w:tcBorders>
              <w:top w:val="single" w:sz="6" w:space="0" w:color="auto"/>
              <w:bottom w:val="thickThinSmallGap" w:sz="24" w:space="0" w:color="auto"/>
            </w:tcBorders>
            <w:shd w:val="clear" w:color="auto" w:fill="auto"/>
          </w:tcPr>
          <w:p w14:paraId="0745F164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214A420D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38D4B375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50.94-130.45</w:t>
            </w:r>
          </w:p>
          <w:p w14:paraId="52F554F6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93.61 ± 23.41</w:t>
            </w:r>
          </w:p>
          <w:p w14:paraId="4D21B8B5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79.47-107.76</w:t>
            </w:r>
          </w:p>
          <w:p w14:paraId="21B7D32B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87.94-110.23</w:t>
            </w:r>
          </w:p>
        </w:tc>
        <w:tc>
          <w:tcPr>
            <w:tcW w:w="995" w:type="pct"/>
            <w:tcBorders>
              <w:top w:val="single" w:sz="6" w:space="0" w:color="auto"/>
              <w:bottom w:val="thickThinSmallGap" w:sz="24" w:space="0" w:color="auto"/>
            </w:tcBorders>
            <w:shd w:val="clear" w:color="auto" w:fill="auto"/>
          </w:tcPr>
          <w:p w14:paraId="242CE32D" w14:textId="77777777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471EB543" w14:textId="77777777" w:rsidR="006E6E2C" w:rsidRDefault="006E6E2C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91404EB" w14:textId="4B8FB692" w:rsidR="00A3283A" w:rsidRPr="00D53F90" w:rsidRDefault="00A3283A" w:rsidP="00605548">
            <w:pPr>
              <w:spacing w:line="240" w:lineRule="exact"/>
              <w:ind w:left="288" w:hanging="288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sz w:val="20"/>
                <w:szCs w:val="20"/>
              </w:rPr>
              <w:t>t=0.711</w:t>
            </w:r>
          </w:p>
          <w:p w14:paraId="400DA7D4" w14:textId="77777777" w:rsidR="00A3283A" w:rsidRPr="00D53F90" w:rsidRDefault="00A3283A" w:rsidP="00605548">
            <w:pPr>
              <w:spacing w:line="240" w:lineRule="exact"/>
              <w:ind w:left="284" w:hanging="284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D53F90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D53F90">
              <w:rPr>
                <w:rFonts w:asciiTheme="majorBidi" w:hAnsiTheme="majorBidi" w:cstheme="majorBidi"/>
                <w:sz w:val="20"/>
                <w:szCs w:val="20"/>
              </w:rPr>
              <w:t>=.484 NS</w:t>
            </w:r>
          </w:p>
        </w:tc>
      </w:tr>
    </w:tbl>
    <w:p w14:paraId="10281BC3" w14:textId="5FC8D612" w:rsidR="00A3283A" w:rsidRPr="00BB2010" w:rsidRDefault="00A3283A" w:rsidP="001B1B91">
      <w:pPr>
        <w:spacing w:line="220" w:lineRule="exact"/>
        <w:rPr>
          <w:rFonts w:asciiTheme="majorBidi" w:eastAsia="Times New Roman" w:hAnsiTheme="majorBidi" w:cstheme="majorBidi"/>
          <w:sz w:val="18"/>
          <w:szCs w:val="18"/>
        </w:rPr>
      </w:pPr>
      <w:proofErr w:type="gramStart"/>
      <w:r w:rsidRPr="00BB2010">
        <w:rPr>
          <w:rFonts w:asciiTheme="majorBidi" w:eastAsia="Times New Roman" w:hAnsiTheme="majorBidi" w:cstheme="majorBidi"/>
          <w:sz w:val="18"/>
          <w:szCs w:val="18"/>
        </w:rPr>
        <w:t>n :</w:t>
      </w:r>
      <w:proofErr w:type="gramEnd"/>
      <w:r w:rsidRPr="00BB2010">
        <w:rPr>
          <w:rFonts w:asciiTheme="majorBidi" w:eastAsia="Times New Roman" w:hAnsiTheme="majorBidi" w:cstheme="majorBidi"/>
          <w:sz w:val="18"/>
          <w:szCs w:val="18"/>
        </w:rPr>
        <w:t xml:space="preserve"> Number of patients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ab/>
        <w:t xml:space="preserve"> </w:t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 w:rsidRPr="00BB2010">
        <w:rPr>
          <w:rFonts w:asciiTheme="majorBidi" w:eastAsia="Times New Roman" w:hAnsiTheme="majorBidi" w:cstheme="majorBidi"/>
          <w:sz w:val="18"/>
          <w:szCs w:val="18"/>
        </w:rPr>
        <w:t>Min-Max: Minimum – Maximum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ab/>
      </w:r>
      <w:r w:rsidR="001B1B91">
        <w:rPr>
          <w:rFonts w:asciiTheme="majorBidi" w:eastAsia="Times New Roman" w:hAnsiTheme="majorBidi" w:cstheme="majorBidi"/>
          <w:sz w:val="18"/>
          <w:szCs w:val="18"/>
        </w:rPr>
        <w:tab/>
      </w:r>
      <w:r w:rsidRPr="00BB2010">
        <w:rPr>
          <w:rFonts w:asciiTheme="majorBidi" w:eastAsia="Times New Roman" w:hAnsiTheme="majorBidi" w:cstheme="majorBidi"/>
          <w:sz w:val="18"/>
          <w:szCs w:val="18"/>
        </w:rPr>
        <w:t>CI: Confidence interval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ab/>
      </w:r>
      <w:r w:rsidR="001B1B91">
        <w:rPr>
          <w:rFonts w:asciiTheme="majorBidi" w:eastAsia="Times New Roman" w:hAnsiTheme="majorBidi" w:cstheme="majorBidi"/>
          <w:sz w:val="18"/>
          <w:szCs w:val="18"/>
        </w:rPr>
        <w:tab/>
      </w:r>
    </w:p>
    <w:p w14:paraId="68949A5A" w14:textId="635BDEA5" w:rsidR="001B1B91" w:rsidRPr="00BB2010" w:rsidRDefault="001B1B91" w:rsidP="001B1B91">
      <w:pPr>
        <w:spacing w:line="220" w:lineRule="exact"/>
        <w:rPr>
          <w:rFonts w:asciiTheme="majorBidi" w:eastAsia="Times New Roman" w:hAnsiTheme="majorBidi" w:cstheme="majorBidi"/>
          <w:sz w:val="18"/>
          <w:szCs w:val="18"/>
        </w:rPr>
      </w:pPr>
      <w:r>
        <w:rPr>
          <w:rFonts w:asciiTheme="majorBidi" w:eastAsia="Times New Roman" w:hAnsiTheme="majorBidi" w:cstheme="majorBidi"/>
          <w:sz w:val="18"/>
          <w:szCs w:val="18"/>
        </w:rPr>
        <w:t>t: Independent Sample t-test</w:t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proofErr w:type="gramStart"/>
      <w:r w:rsidRPr="00BB2010">
        <w:rPr>
          <w:rFonts w:asciiTheme="majorBidi" w:eastAsia="Times New Roman" w:hAnsiTheme="majorBidi" w:cstheme="majorBidi"/>
          <w:sz w:val="18"/>
          <w:szCs w:val="18"/>
        </w:rPr>
        <w:t>W :</w:t>
      </w:r>
      <w:proofErr w:type="gramEnd"/>
      <w:r w:rsidRPr="00BB2010">
        <w:rPr>
          <w:rFonts w:asciiTheme="majorBidi" w:eastAsia="Times New Roman" w:hAnsiTheme="majorBidi" w:cstheme="majorBidi"/>
          <w:sz w:val="18"/>
          <w:szCs w:val="18"/>
        </w:rPr>
        <w:t xml:space="preserve"> Welch's t-test</w:t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>
        <w:rPr>
          <w:rFonts w:asciiTheme="majorBidi" w:eastAsia="Times New Roman" w:hAnsiTheme="majorBidi" w:cstheme="majorBidi"/>
          <w:sz w:val="18"/>
          <w:szCs w:val="18"/>
        </w:rPr>
        <w:tab/>
      </w:r>
    </w:p>
    <w:p w14:paraId="74FA2D19" w14:textId="48F886AB" w:rsidR="001B1B91" w:rsidRDefault="00A3283A" w:rsidP="00A3283A">
      <w:pPr>
        <w:spacing w:line="220" w:lineRule="exact"/>
        <w:rPr>
          <w:rFonts w:asciiTheme="majorBidi" w:eastAsia="Times New Roman" w:hAnsiTheme="majorBidi" w:cstheme="majorBidi"/>
          <w:sz w:val="18"/>
          <w:szCs w:val="18"/>
        </w:rPr>
      </w:pPr>
      <w:proofErr w:type="gramStart"/>
      <w:r w:rsidRPr="00BB2010">
        <w:rPr>
          <w:rFonts w:asciiTheme="majorBidi" w:eastAsia="Times New Roman" w:hAnsiTheme="majorBidi" w:cstheme="majorBidi"/>
          <w:sz w:val="18"/>
          <w:szCs w:val="18"/>
        </w:rPr>
        <w:t>* :</w:t>
      </w:r>
      <w:proofErr w:type="gramEnd"/>
      <w:r w:rsidRPr="00BB2010">
        <w:rPr>
          <w:rFonts w:asciiTheme="majorBidi" w:eastAsia="Times New Roman" w:hAnsiTheme="majorBidi" w:cstheme="majorBidi"/>
          <w:sz w:val="18"/>
          <w:szCs w:val="18"/>
        </w:rPr>
        <w:t xml:space="preserve"> Statistically significant (</w:t>
      </w:r>
      <w:r w:rsidRPr="00BB2010">
        <w:rPr>
          <w:rFonts w:asciiTheme="majorBidi" w:eastAsia="Times New Roman" w:hAnsiTheme="majorBidi" w:cstheme="majorBidi"/>
          <w:i/>
          <w:iCs/>
          <w:sz w:val="18"/>
          <w:szCs w:val="18"/>
        </w:rPr>
        <w:t>p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 xml:space="preserve">&lt;.05) </w:t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 w:rsidRPr="00BB2010">
        <w:rPr>
          <w:rFonts w:asciiTheme="majorBidi" w:eastAsia="Times New Roman" w:hAnsiTheme="majorBidi" w:cstheme="majorBidi"/>
          <w:sz w:val="18"/>
          <w:szCs w:val="18"/>
        </w:rPr>
        <w:t>NS: Statistically not significant (</w:t>
      </w:r>
      <w:r w:rsidRPr="00BB2010">
        <w:rPr>
          <w:rFonts w:asciiTheme="majorBidi" w:eastAsia="Times New Roman" w:hAnsiTheme="majorBidi" w:cstheme="majorBidi"/>
          <w:i/>
          <w:iCs/>
          <w:sz w:val="18"/>
          <w:szCs w:val="18"/>
        </w:rPr>
        <w:t>p</w:t>
      </w:r>
      <w:r w:rsidRPr="00BB2010">
        <w:rPr>
          <w:rFonts w:asciiTheme="majorBidi" w:eastAsia="Times New Roman" w:hAnsiTheme="majorBidi" w:cstheme="majorBidi"/>
          <w:sz w:val="18"/>
          <w:szCs w:val="18"/>
          <w:u w:val="single"/>
        </w:rPr>
        <w:t>&gt;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 xml:space="preserve">.05) </w:t>
      </w:r>
    </w:p>
    <w:p w14:paraId="23FB7643" w14:textId="77777777" w:rsidR="00A3283A" w:rsidRDefault="00A3283A" w:rsidP="00A3283A">
      <w:pPr>
        <w:spacing w:line="220" w:lineRule="exact"/>
        <w:rPr>
          <w:rFonts w:eastAsia="Calibri"/>
          <w:b/>
          <w:bCs/>
        </w:rPr>
      </w:pPr>
    </w:p>
    <w:p w14:paraId="00F4AEDA" w14:textId="77777777" w:rsidR="00775C69" w:rsidRDefault="00775C69"/>
    <w:sectPr w:rsidR="00775C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ource Sans Pro Light">
    <w:altName w:val="Arial"/>
    <w:charset w:val="00"/>
    <w:family w:val="swiss"/>
    <w:pitch w:val="variable"/>
    <w:sig w:usb0="600002F7" w:usb1="02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default"/>
    <w:sig w:usb0="00000000" w:usb1="00000000" w:usb2="00000000" w:usb3="00000000" w:csb0="003E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93527A"/>
    <w:multiLevelType w:val="hybridMultilevel"/>
    <w:tmpl w:val="A8A2DE9E"/>
    <w:lvl w:ilvl="0" w:tplc="CBFADB88">
      <w:start w:val="1"/>
      <w:numFmt w:val="bullet"/>
      <w:lvlText w:val="-"/>
      <w:lvlJc w:val="left"/>
      <w:pPr>
        <w:ind w:left="360" w:hanging="360"/>
      </w:pPr>
      <w:rPr>
        <w:rFonts w:ascii="Source Sans Pro Light" w:hAnsi="Source Sans Pro Ligh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96043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UzNzYwNDcytzA2MjFQ0lEKTi0uzszPAykwqwUAPF8kQiwAAAA="/>
  </w:docVars>
  <w:rsids>
    <w:rsidRoot w:val="00A3283A"/>
    <w:rsid w:val="001B1B91"/>
    <w:rsid w:val="006904FB"/>
    <w:rsid w:val="006E6E2C"/>
    <w:rsid w:val="00775C69"/>
    <w:rsid w:val="009654FE"/>
    <w:rsid w:val="00A3283A"/>
    <w:rsid w:val="00BE7FAA"/>
    <w:rsid w:val="00E25F03"/>
    <w:rsid w:val="00E9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22A82"/>
  <w15:chartTrackingRefBased/>
  <w15:docId w15:val="{4BE5120C-6EED-4E2A-AA3C-C4D94AB7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83A"/>
    <w:pPr>
      <w:spacing w:after="0" w:line="240" w:lineRule="auto"/>
    </w:pPr>
    <w:rPr>
      <w:rFonts w:eastAsia="Arial Unicode MS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3283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3283A"/>
    <w:rPr>
      <w:rFonts w:asciiTheme="minorHAnsi" w:hAnsiTheme="minorHAnsi" w:cstheme="minorBidi"/>
      <w:kern w:val="0"/>
      <w:sz w:val="22"/>
      <w:szCs w:val="22"/>
      <w14:ligatures w14:val="none"/>
    </w:rPr>
  </w:style>
  <w:style w:type="table" w:styleId="GridTable4-Accent5">
    <w:name w:val="Grid Table 4 Accent 5"/>
    <w:basedOn w:val="TableNormal"/>
    <w:uiPriority w:val="49"/>
    <w:rsid w:val="00A3283A"/>
    <w:pPr>
      <w:spacing w:after="0" w:line="240" w:lineRule="auto"/>
    </w:pPr>
    <w:rPr>
      <w:rFonts w:ascii="Calibri" w:eastAsia="Calibri" w:hAnsi="Calibri" w:cs="Arial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elsayedamr basma</dc:creator>
  <cp:keywords/>
  <dc:description/>
  <cp:lastModifiedBy>elsayedamr basma</cp:lastModifiedBy>
  <cp:revision>6</cp:revision>
  <dcterms:created xsi:type="dcterms:W3CDTF">2024-03-23T13:10:00Z</dcterms:created>
  <dcterms:modified xsi:type="dcterms:W3CDTF">2024-06-03T16:24:00Z</dcterms:modified>
</cp:coreProperties>
</file>