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B82E13" w:rsidRPr="00755918" w:rsidRDefault="00B82E13" w:rsidP="00B82E13">
      <w:pPr>
        <w:pStyle w:val="a3"/>
      </w:pPr>
      <w:bookmarkStart w:id="0" w:name="_GoBack"/>
      <w:bookmarkEnd w:id="0"/>
      <w:r w:rsidRPr="00FB5A8D">
        <w:rPr>
          <w:rFonts w:ascii="Times" w:hAnsi="Times"/>
        </w:rPr>
        <w:t>Supplemental Figure 1</w:t>
      </w:r>
      <w:r>
        <w:rPr>
          <w:rFonts w:ascii="Times" w:hAnsi="Times"/>
        </w:rPr>
        <w:t>.</w:t>
      </w:r>
      <w:r w:rsidRPr="00755918">
        <w:rPr>
          <w:rFonts w:ascii="Times" w:hAnsi="Times"/>
        </w:rPr>
        <w:t xml:space="preserve"> Selection criteria for cases to include in study. </w:t>
      </w:r>
    </w:p>
    <w:tbl>
      <w:tblPr>
        <w:tblStyle w:val="a5"/>
        <w:tblW w:w="20407" w:type="dxa"/>
        <w:tblLayout w:type="fixed"/>
        <w:tblLook w:val="04A0" w:firstRow="1" w:lastRow="0" w:firstColumn="1" w:lastColumn="0" w:noHBand="0" w:noVBand="1"/>
      </w:tblPr>
      <w:tblGrid>
        <w:gridCol w:w="1555"/>
        <w:gridCol w:w="3969"/>
        <w:gridCol w:w="4819"/>
        <w:gridCol w:w="4678"/>
        <w:gridCol w:w="5386"/>
      </w:tblGrid>
      <w:tr w:rsidR="00B82E13" w:rsidTr="00B82E13">
        <w:tc>
          <w:tcPr>
            <w:tcW w:w="1555" w:type="dxa"/>
            <w:vAlign w:val="center"/>
          </w:tcPr>
          <w:p w:rsidR="00B82E13" w:rsidRDefault="00B82E13" w:rsidP="00B82E13">
            <w:pPr>
              <w:widowControl/>
              <w:jc w:val="left"/>
            </w:pPr>
          </w:p>
        </w:tc>
        <w:tc>
          <w:tcPr>
            <w:tcW w:w="3969" w:type="dxa"/>
            <w:vAlign w:val="center"/>
          </w:tcPr>
          <w:p w:rsidR="00B82E13" w:rsidRPr="00B82E13" w:rsidRDefault="00B82E13" w:rsidP="00B82E13">
            <w:pPr>
              <w:rPr>
                <w:rFonts w:ascii="Helvetica Neue" w:eastAsia="DengXian" w:hAnsi="Helvetica Neue"/>
                <w:color w:val="000000"/>
                <w:sz w:val="30"/>
                <w:szCs w:val="30"/>
              </w:rPr>
            </w:pPr>
            <w:r>
              <w:rPr>
                <w:rFonts w:ascii="Helvetica Neue" w:eastAsia="DengXian" w:hAnsi="Helvetica Neue"/>
                <w:color w:val="000000"/>
                <w:sz w:val="30"/>
                <w:szCs w:val="30"/>
              </w:rPr>
              <w:t>Psoriasis</w:t>
            </w:r>
            <w:r>
              <w:rPr>
                <w:rFonts w:ascii="Helvetica Neue" w:eastAsia="DengXian" w:hAnsi="Helvetica Neue" w:hint="eastAsia"/>
                <w:color w:val="000000"/>
                <w:sz w:val="30"/>
                <w:szCs w:val="30"/>
              </w:rPr>
              <w:t xml:space="preserve"> </w:t>
            </w:r>
            <w:r>
              <w:rPr>
                <w:rFonts w:ascii="Helvetica Neue" w:eastAsia="DengXian" w:hAnsi="Helvetica Neue"/>
                <w:color w:val="000000"/>
                <w:sz w:val="30"/>
                <w:szCs w:val="30"/>
              </w:rPr>
              <w:t>(PSO)</w:t>
            </w:r>
          </w:p>
        </w:tc>
        <w:tc>
          <w:tcPr>
            <w:tcW w:w="4819" w:type="dxa"/>
            <w:vAlign w:val="center"/>
          </w:tcPr>
          <w:p w:rsidR="00B82E13" w:rsidRDefault="00B82E13" w:rsidP="00B82E13">
            <w:pPr>
              <w:rPr>
                <w:rFonts w:ascii="Helvetica Neue" w:eastAsia="DengXian" w:hAnsi="Helvetica Neue"/>
                <w:color w:val="000000"/>
                <w:sz w:val="30"/>
                <w:szCs w:val="30"/>
              </w:rPr>
            </w:pPr>
            <w:r>
              <w:rPr>
                <w:rFonts w:ascii="Helvetica Neue" w:eastAsia="DengXian" w:hAnsi="Helvetica Neue"/>
                <w:color w:val="000000"/>
                <w:sz w:val="30"/>
                <w:szCs w:val="30"/>
              </w:rPr>
              <w:t>Psoriatic Arthritis (</w:t>
            </w:r>
            <w:proofErr w:type="spellStart"/>
            <w:r>
              <w:rPr>
                <w:rFonts w:ascii="Helvetica Neue" w:eastAsia="DengXian" w:hAnsi="Helvetica Neue"/>
                <w:color w:val="000000"/>
                <w:sz w:val="30"/>
                <w:szCs w:val="30"/>
              </w:rPr>
              <w:t>PsA</w:t>
            </w:r>
            <w:proofErr w:type="spellEnd"/>
            <w:r>
              <w:rPr>
                <w:rFonts w:ascii="Helvetica Neue" w:eastAsia="DengXian" w:hAnsi="Helvetica Neue"/>
                <w:color w:val="000000"/>
                <w:sz w:val="30"/>
                <w:szCs w:val="30"/>
              </w:rPr>
              <w:t>)</w:t>
            </w:r>
          </w:p>
        </w:tc>
        <w:tc>
          <w:tcPr>
            <w:tcW w:w="4678" w:type="dxa"/>
            <w:vAlign w:val="center"/>
          </w:tcPr>
          <w:p w:rsidR="00B82E13" w:rsidRDefault="00B82E13" w:rsidP="00B82E13">
            <w:pPr>
              <w:rPr>
                <w:rFonts w:ascii="Helvetica Neue" w:eastAsia="DengXian" w:hAnsi="Helvetica Neue"/>
                <w:color w:val="000000"/>
                <w:sz w:val="30"/>
                <w:szCs w:val="30"/>
              </w:rPr>
            </w:pPr>
            <w:r>
              <w:rPr>
                <w:rFonts w:ascii="Helvetica Neue" w:eastAsia="DengXian" w:hAnsi="Helvetica Neue"/>
                <w:color w:val="000000"/>
                <w:sz w:val="30"/>
                <w:szCs w:val="30"/>
              </w:rPr>
              <w:t>Ankylosing Spondylitis (AS)</w:t>
            </w:r>
          </w:p>
        </w:tc>
        <w:tc>
          <w:tcPr>
            <w:tcW w:w="5386" w:type="dxa"/>
            <w:vAlign w:val="center"/>
          </w:tcPr>
          <w:p w:rsidR="00B82E13" w:rsidRDefault="00B82E13" w:rsidP="00B82E13">
            <w:pPr>
              <w:rPr>
                <w:rFonts w:ascii="Helvetica Neue" w:eastAsia="DengXian" w:hAnsi="Helvetica Neue"/>
                <w:color w:val="000000"/>
                <w:sz w:val="30"/>
                <w:szCs w:val="30"/>
              </w:rPr>
            </w:pPr>
            <w:r>
              <w:rPr>
                <w:rFonts w:ascii="Helvetica Neue" w:eastAsia="DengXian" w:hAnsi="Helvetica Neue"/>
                <w:color w:val="000000"/>
                <w:sz w:val="30"/>
                <w:szCs w:val="30"/>
              </w:rPr>
              <w:t>Rheumatoid Arthritis (RA)</w:t>
            </w:r>
          </w:p>
        </w:tc>
      </w:tr>
      <w:tr w:rsidR="00B82E13" w:rsidTr="00B82E13">
        <w:tc>
          <w:tcPr>
            <w:tcW w:w="1555" w:type="dxa"/>
            <w:vAlign w:val="center"/>
          </w:tcPr>
          <w:p w:rsidR="00B82E13" w:rsidRDefault="00B82E13" w:rsidP="00B82E13">
            <w:pPr>
              <w:rPr>
                <w:rFonts w:ascii="Helvetica Neue" w:eastAsia="DengXian" w:hAnsi="Helvetica Neue"/>
                <w:color w:val="000000"/>
                <w:sz w:val="30"/>
                <w:szCs w:val="30"/>
              </w:rPr>
            </w:pPr>
            <w:r>
              <w:rPr>
                <w:rFonts w:ascii="Helvetica Neue" w:eastAsia="DengXian" w:hAnsi="Helvetica Neue"/>
                <w:color w:val="000000"/>
                <w:sz w:val="30"/>
                <w:szCs w:val="30"/>
              </w:rPr>
              <w:t>Inclusion Criteria</w:t>
            </w:r>
          </w:p>
        </w:tc>
        <w:tc>
          <w:tcPr>
            <w:tcW w:w="3969" w:type="dxa"/>
            <w:vAlign w:val="center"/>
          </w:tcPr>
          <w:p w:rsidR="00B82E13" w:rsidRDefault="00B82E13" w:rsidP="00B82E13">
            <w:pPr>
              <w:jc w:val="left"/>
              <w:rPr>
                <w:rFonts w:ascii="Helvetica Neue" w:eastAsia="DengXian" w:hAnsi="Helvetica Neue"/>
                <w:color w:val="000000"/>
                <w:sz w:val="24"/>
              </w:rPr>
            </w:pPr>
            <w:r>
              <w:rPr>
                <w:rFonts w:ascii="Helvetica Neue" w:eastAsia="DengXian" w:hAnsi="Helvetica Neue"/>
                <w:color w:val="000000"/>
              </w:rPr>
              <w:t>1. Men or women at least 18 years of age at time of screening.                         2. Have had a diagnosis of plaque-type psoriasis at least 6 months.</w:t>
            </w:r>
            <w:r>
              <w:rPr>
                <w:rFonts w:ascii="Helvetica Neue" w:eastAsia="DengXian" w:hAnsi="Helvetica Neue"/>
                <w:color w:val="000000"/>
              </w:rPr>
              <w:br/>
              <w:t>3. Plaque-type psoriasis covering at least 10% of total body surface areas(BSA).</w:t>
            </w:r>
            <w:r>
              <w:rPr>
                <w:rFonts w:ascii="Helvetica Neue" w:eastAsia="DengXian" w:hAnsi="Helvetica Neue"/>
                <w:color w:val="000000"/>
              </w:rPr>
              <w:br/>
              <w:t>4. Psoriasis area-and-severity index score of &gt;=12 at screening and baseline.</w:t>
            </w:r>
            <w:r>
              <w:rPr>
                <w:rFonts w:ascii="Helvetica Neue" w:eastAsia="DengXian" w:hAnsi="Helvetica Neue"/>
                <w:color w:val="000000"/>
              </w:rPr>
              <w:br/>
              <w:t>5. Candidate for phototherapy and/or systemic therapy.</w:t>
            </w:r>
          </w:p>
        </w:tc>
        <w:tc>
          <w:tcPr>
            <w:tcW w:w="4819" w:type="dxa"/>
            <w:vAlign w:val="center"/>
          </w:tcPr>
          <w:p w:rsidR="00B82E13" w:rsidRDefault="00B82E13" w:rsidP="00B82E13">
            <w:pPr>
              <w:jc w:val="left"/>
              <w:rPr>
                <w:rFonts w:ascii="Helvetica Neue" w:eastAsia="DengXian" w:hAnsi="Helvetica Neue"/>
                <w:color w:val="000000"/>
              </w:rPr>
            </w:pPr>
            <w:r>
              <w:rPr>
                <w:rFonts w:ascii="Helvetica Neue" w:eastAsia="DengXian" w:hAnsi="Helvetica Neue"/>
                <w:color w:val="000000"/>
              </w:rPr>
              <w:t xml:space="preserve">1. Diagnosis of </w:t>
            </w:r>
            <w:proofErr w:type="spellStart"/>
            <w:r>
              <w:rPr>
                <w:rFonts w:ascii="Helvetica Neue" w:eastAsia="DengXian" w:hAnsi="Helvetica Neue"/>
                <w:color w:val="000000"/>
              </w:rPr>
              <w:t>PsA</w:t>
            </w:r>
            <w:proofErr w:type="spellEnd"/>
            <w:r>
              <w:rPr>
                <w:rFonts w:ascii="Helvetica Neue" w:eastAsia="DengXian" w:hAnsi="Helvetica Neue"/>
                <w:color w:val="000000"/>
              </w:rPr>
              <w:t xml:space="preserve"> classified by CASPAR criteria and with symptoms for at least 6 months.</w:t>
            </w:r>
            <w:r>
              <w:rPr>
                <w:rFonts w:ascii="Helvetica Neue" w:eastAsia="DengXian" w:hAnsi="Helvetica Neue"/>
                <w:color w:val="000000"/>
              </w:rPr>
              <w:br/>
              <w:t>2. Male or non-pregnant, non-lactating female patients at least 18 years of age.</w:t>
            </w:r>
            <w:r>
              <w:rPr>
                <w:rFonts w:ascii="Helvetica Neue" w:eastAsia="DengXian" w:hAnsi="Helvetica Neue"/>
                <w:color w:val="000000"/>
              </w:rPr>
              <w:br/>
              <w:t>3. Rheumatoid factor and Anti-Cyclic Citrullinated Peptide(CCP) antibodies negative.</w:t>
            </w:r>
            <w:r>
              <w:rPr>
                <w:rFonts w:ascii="Helvetica Neue" w:eastAsia="DengXian" w:hAnsi="Helvetica Neue"/>
                <w:color w:val="000000"/>
              </w:rPr>
              <w:br/>
              <w:t xml:space="preserve">4. Presence of active psoriatic skin lesion or a personal history of plaque psoriasis. </w:t>
            </w:r>
          </w:p>
        </w:tc>
        <w:tc>
          <w:tcPr>
            <w:tcW w:w="4678" w:type="dxa"/>
            <w:vAlign w:val="center"/>
          </w:tcPr>
          <w:p w:rsidR="00B82E13" w:rsidRDefault="00B82E13" w:rsidP="00B82E13">
            <w:pPr>
              <w:jc w:val="left"/>
              <w:rPr>
                <w:rFonts w:ascii="Helvetica Neue" w:eastAsia="DengXian" w:hAnsi="Helvetica Neue"/>
                <w:color w:val="000000"/>
              </w:rPr>
            </w:pPr>
            <w:r>
              <w:rPr>
                <w:rFonts w:ascii="Helvetica Neue" w:eastAsia="DengXian" w:hAnsi="Helvetica Neue"/>
                <w:color w:val="000000"/>
              </w:rPr>
              <w:t>1. Male or non-pregnant, non-lactating female patients at least 18 years of age.</w:t>
            </w:r>
            <w:r>
              <w:rPr>
                <w:rFonts w:ascii="Helvetica Neue" w:eastAsia="DengXian" w:hAnsi="Helvetica Neue"/>
                <w:color w:val="000000"/>
              </w:rPr>
              <w:br/>
              <w:t>2. Diagnosis of moderate to severe AS with prior documented radiologic evidence (X-ray) fulfilling the Modified New York criteria for AS (1984).</w:t>
            </w:r>
            <w:r>
              <w:rPr>
                <w:rFonts w:ascii="Helvetica Neue" w:eastAsia="DengXian" w:hAnsi="Helvetica Neue"/>
                <w:color w:val="000000"/>
              </w:rPr>
              <w:br/>
              <w:t>3. Patients should have been on NSAIDs with an inadequate response.</w:t>
            </w:r>
            <w:r>
              <w:rPr>
                <w:rFonts w:ascii="Helvetica Neue" w:eastAsia="DengXian" w:hAnsi="Helvetica Neue"/>
                <w:color w:val="000000"/>
              </w:rPr>
              <w:br/>
              <w:t>4. Patients who are regularly taking NSAIDs as part of their AS therapy are required to be on a stable dose.</w:t>
            </w:r>
            <w:r>
              <w:rPr>
                <w:rFonts w:ascii="Helvetica Neue" w:eastAsia="DengXian" w:hAnsi="Helvetica Neue"/>
                <w:color w:val="000000"/>
              </w:rPr>
              <w:br/>
              <w:t>5. Patients who have been on an anti-TNFα agent (not more than one) must have experienced an inadequate response.</w:t>
            </w:r>
          </w:p>
        </w:tc>
        <w:tc>
          <w:tcPr>
            <w:tcW w:w="5386" w:type="dxa"/>
            <w:vAlign w:val="center"/>
          </w:tcPr>
          <w:p w:rsidR="00B82E13" w:rsidRDefault="00B82E13" w:rsidP="00B82E13">
            <w:pPr>
              <w:jc w:val="left"/>
              <w:rPr>
                <w:rFonts w:ascii="Helvetica Neue" w:eastAsia="DengXian" w:hAnsi="Helvetica Neue"/>
                <w:color w:val="000000"/>
              </w:rPr>
            </w:pPr>
            <w:r>
              <w:rPr>
                <w:rFonts w:ascii="Helvetica Neue" w:eastAsia="DengXian" w:hAnsi="Helvetica Neue"/>
                <w:color w:val="000000"/>
              </w:rPr>
              <w:t>1. Male or non-pregnant, non-lactating female patients at least 18 years of age.</w:t>
            </w:r>
            <w:r>
              <w:rPr>
                <w:rFonts w:ascii="Helvetica Neue" w:eastAsia="DengXian" w:hAnsi="Helvetica Neue"/>
                <w:color w:val="000000"/>
              </w:rPr>
              <w:br/>
              <w:t>2. Presence of RA classified by American College of Rheumatology (ACR) 2010 revised criteria for at least 3 months before screening.</w:t>
            </w:r>
            <w:r>
              <w:rPr>
                <w:rFonts w:ascii="Helvetica Neue" w:eastAsia="DengXian" w:hAnsi="Helvetica Neue"/>
                <w:color w:val="000000"/>
              </w:rPr>
              <w:br/>
              <w:t>3. At Baseline: Disease activity criteria defined by &gt;6 tender joints out of 68 and &gt;6 swollen joints out of 66 and with at least 1 of the following at screening: Anti-Cyclic Citrullinated Peptide(CCP) antibodies positive or Rheumatoid Factor positive and with at least 1 of the following at screening: High sensitivity C-reactive protein (</w:t>
            </w:r>
            <w:proofErr w:type="spellStart"/>
            <w:r>
              <w:rPr>
                <w:rFonts w:ascii="Helvetica Neue" w:eastAsia="DengXian" w:hAnsi="Helvetica Neue"/>
                <w:color w:val="000000"/>
              </w:rPr>
              <w:t>hsCRP</w:t>
            </w:r>
            <w:proofErr w:type="spellEnd"/>
            <w:r>
              <w:rPr>
                <w:rFonts w:ascii="Helvetica Neue" w:eastAsia="DengXian" w:hAnsi="Helvetica Neue"/>
                <w:color w:val="000000"/>
              </w:rPr>
              <w:t>) ≥ 10 mg/L OR ESR ≥ 28.</w:t>
            </w:r>
          </w:p>
        </w:tc>
      </w:tr>
      <w:tr w:rsidR="00B82E13" w:rsidTr="00B82E13">
        <w:tc>
          <w:tcPr>
            <w:tcW w:w="1555" w:type="dxa"/>
            <w:vAlign w:val="center"/>
          </w:tcPr>
          <w:p w:rsidR="00B82E13" w:rsidRDefault="00B82E13" w:rsidP="00B82E13">
            <w:pPr>
              <w:rPr>
                <w:rFonts w:ascii="Helvetica Neue" w:eastAsia="DengXian" w:hAnsi="Helvetica Neue"/>
                <w:color w:val="000000"/>
                <w:sz w:val="30"/>
                <w:szCs w:val="30"/>
              </w:rPr>
            </w:pPr>
            <w:r>
              <w:rPr>
                <w:rFonts w:ascii="Helvetica Neue" w:eastAsia="DengXian" w:hAnsi="Helvetica Neue"/>
                <w:color w:val="000000"/>
                <w:sz w:val="30"/>
                <w:szCs w:val="30"/>
              </w:rPr>
              <w:t>Exclusion Criteria</w:t>
            </w:r>
          </w:p>
        </w:tc>
        <w:tc>
          <w:tcPr>
            <w:tcW w:w="3969" w:type="dxa"/>
            <w:vAlign w:val="center"/>
          </w:tcPr>
          <w:p w:rsidR="00B82E13" w:rsidRDefault="00B82E13" w:rsidP="00B82E13">
            <w:pPr>
              <w:jc w:val="left"/>
              <w:rPr>
                <w:rFonts w:ascii="Helvetica Neue" w:eastAsia="DengXian" w:hAnsi="Helvetica Neue"/>
                <w:color w:val="000000"/>
                <w:sz w:val="24"/>
              </w:rPr>
            </w:pPr>
            <w:r>
              <w:rPr>
                <w:rFonts w:ascii="Helvetica Neue" w:eastAsia="DengXian" w:hAnsi="Helvetica Neue"/>
                <w:color w:val="000000"/>
              </w:rPr>
              <w:t>1. Forms of psoriasis other than chronic plaque-type at Screening or Baseline.</w:t>
            </w:r>
            <w:r>
              <w:rPr>
                <w:rFonts w:ascii="Helvetica Neue" w:eastAsia="DengXian" w:hAnsi="Helvetica Neue"/>
                <w:color w:val="000000"/>
              </w:rPr>
              <w:br/>
              <w:t>2. Drug-induced psoriasis.</w:t>
            </w:r>
            <w:r>
              <w:rPr>
                <w:rFonts w:ascii="Helvetica Neue" w:eastAsia="DengXian" w:hAnsi="Helvetica Neue"/>
                <w:color w:val="000000"/>
              </w:rPr>
              <w:br/>
              <w:t>3. Ongoing use of prohibited treatments.</w:t>
            </w:r>
            <w:r>
              <w:rPr>
                <w:rFonts w:ascii="Helvetica Neue" w:eastAsia="DengXian" w:hAnsi="Helvetica Neue"/>
                <w:color w:val="000000"/>
              </w:rPr>
              <w:br/>
              <w:t>4. Previous exposure to or any other biologic drug directly targeting IL-17, the IL-17 receptor or IL-23.</w:t>
            </w:r>
            <w:r>
              <w:rPr>
                <w:rFonts w:ascii="Helvetica Neue" w:eastAsia="DengXian" w:hAnsi="Helvetica Neue"/>
                <w:color w:val="000000"/>
              </w:rPr>
              <w:br/>
              <w:t>5. Significant medical problems such as uncontrolled hypertension, congestive heart failure or a condition that significantly immunocompromises the subject.</w:t>
            </w:r>
            <w:r>
              <w:rPr>
                <w:rFonts w:ascii="Helvetica Neue" w:eastAsia="DengXian" w:hAnsi="Helvetica Neue"/>
                <w:color w:val="000000"/>
              </w:rPr>
              <w:br/>
              <w:t>6. Pregnant or nursing (lactating) women.</w:t>
            </w:r>
            <w:r>
              <w:rPr>
                <w:rFonts w:ascii="Helvetica Neue" w:eastAsia="DengXian" w:hAnsi="Helvetica Neue"/>
                <w:color w:val="000000"/>
              </w:rPr>
              <w:br/>
              <w:t>7. History or symptoms of malignancy of any organ system, treated or untreated, within the past 5 years.</w:t>
            </w:r>
          </w:p>
        </w:tc>
        <w:tc>
          <w:tcPr>
            <w:tcW w:w="4819" w:type="dxa"/>
            <w:vAlign w:val="center"/>
          </w:tcPr>
          <w:p w:rsidR="00B82E13" w:rsidRDefault="00B82E13" w:rsidP="00B82E13">
            <w:pPr>
              <w:jc w:val="left"/>
              <w:rPr>
                <w:rFonts w:ascii="Helvetica Neue" w:eastAsia="DengXian" w:hAnsi="Helvetica Neue"/>
                <w:color w:val="000000"/>
              </w:rPr>
            </w:pPr>
            <w:r>
              <w:rPr>
                <w:rFonts w:ascii="Helvetica Neue" w:eastAsia="DengXian" w:hAnsi="Helvetica Neue"/>
                <w:color w:val="000000"/>
              </w:rPr>
              <w:t>1. Have other inflammatory diseases, including but not limited to rheumatoid arthritis, ankylosing spondylitis, systemic lupus erythematosus, or Lyme disease.</w:t>
            </w:r>
            <w:r>
              <w:rPr>
                <w:rFonts w:ascii="Helvetica Neue" w:eastAsia="DengXian" w:hAnsi="Helvetica Neue"/>
                <w:color w:val="000000"/>
              </w:rPr>
              <w:br/>
              <w:t>2. Have used any therapeutic agent targeted at reducing IL-17 or IL-23.</w:t>
            </w:r>
            <w:r>
              <w:rPr>
                <w:rFonts w:ascii="Helvetica Neue" w:eastAsia="DengXian" w:hAnsi="Helvetica Neue"/>
                <w:color w:val="000000"/>
              </w:rPr>
              <w:br/>
              <w:t>3. Have a medical history of latent or active granulomatous infection, including TB, histoplasmosis, or coccidioidomycosis, prior to screening.</w:t>
            </w:r>
            <w:r>
              <w:rPr>
                <w:rFonts w:ascii="Helvetica Neue" w:eastAsia="DengXian" w:hAnsi="Helvetica Neue"/>
                <w:color w:val="000000"/>
              </w:rPr>
              <w:br/>
              <w:t>4. Pregnant or nursing (lactating) women.</w:t>
            </w:r>
          </w:p>
        </w:tc>
        <w:tc>
          <w:tcPr>
            <w:tcW w:w="4678" w:type="dxa"/>
            <w:vAlign w:val="center"/>
          </w:tcPr>
          <w:p w:rsidR="00B82E13" w:rsidRDefault="00B82E13" w:rsidP="00B82E13">
            <w:pPr>
              <w:jc w:val="left"/>
              <w:rPr>
                <w:rFonts w:ascii="Helvetica Neue" w:eastAsia="DengXian" w:hAnsi="Helvetica Neue"/>
                <w:color w:val="000000"/>
              </w:rPr>
            </w:pPr>
            <w:r>
              <w:rPr>
                <w:rFonts w:ascii="Helvetica Neue" w:eastAsia="DengXian" w:hAnsi="Helvetica Neue"/>
                <w:color w:val="000000"/>
              </w:rPr>
              <w:t>1.Chest X-ray with evidence of ongoing infectious or malignant process.</w:t>
            </w:r>
            <w:r>
              <w:rPr>
                <w:rFonts w:ascii="Helvetica Neue" w:eastAsia="DengXian" w:hAnsi="Helvetica Neue"/>
                <w:color w:val="000000"/>
              </w:rPr>
              <w:br/>
              <w:t>2.Patients with total ankylosis of the spine.</w:t>
            </w:r>
            <w:r>
              <w:rPr>
                <w:rFonts w:ascii="Helvetica Neue" w:eastAsia="DengXian" w:hAnsi="Helvetica Neue"/>
                <w:color w:val="000000"/>
              </w:rPr>
              <w:br/>
              <w:t>3.Patients previously treated with any biological immunomodulating agents except for those targeting TNFα.</w:t>
            </w:r>
            <w:r>
              <w:rPr>
                <w:rFonts w:ascii="Helvetica Neue" w:eastAsia="DengXian" w:hAnsi="Helvetica Neue"/>
                <w:color w:val="000000"/>
              </w:rPr>
              <w:br/>
              <w:t>4.Previous treatment with any cell-depleting therapies.</w:t>
            </w:r>
          </w:p>
        </w:tc>
        <w:tc>
          <w:tcPr>
            <w:tcW w:w="5386" w:type="dxa"/>
            <w:vAlign w:val="center"/>
          </w:tcPr>
          <w:p w:rsidR="00B82E13" w:rsidRDefault="00B82E13" w:rsidP="00B82E13">
            <w:pPr>
              <w:jc w:val="left"/>
              <w:rPr>
                <w:rFonts w:ascii="Helvetica Neue" w:eastAsia="DengXian" w:hAnsi="Helvetica Neue"/>
                <w:color w:val="000000"/>
              </w:rPr>
            </w:pPr>
            <w:r>
              <w:rPr>
                <w:rFonts w:ascii="Helvetica Neue" w:eastAsia="DengXian" w:hAnsi="Helvetica Neue"/>
                <w:color w:val="000000"/>
              </w:rPr>
              <w:t>1. RA patients functional status class IV according to the ACR 1991 revised criteria.</w:t>
            </w:r>
            <w:r>
              <w:rPr>
                <w:rFonts w:ascii="Helvetica Neue" w:eastAsia="DengXian" w:hAnsi="Helvetica Neue"/>
                <w:color w:val="000000"/>
              </w:rPr>
              <w:br/>
              <w:t>2. Previous exposure to or any other biologic drug directly targeting IL-17, the IL-17 receptor or IL-23.</w:t>
            </w:r>
            <w:r>
              <w:rPr>
                <w:rFonts w:ascii="Helvetica Neue" w:eastAsia="DengXian" w:hAnsi="Helvetica Neue"/>
                <w:color w:val="000000"/>
              </w:rPr>
              <w:br/>
              <w:t>3. Previous treatment with any cell-depleting therapies.</w:t>
            </w:r>
          </w:p>
        </w:tc>
      </w:tr>
    </w:tbl>
    <w:p w:rsidR="001B62C2" w:rsidRPr="00B82E13" w:rsidRDefault="001B62C2"/>
    <w:sectPr w:rsidR="001B62C2" w:rsidRPr="00B82E13" w:rsidSect="0080349C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normal"/>
  <w:zoom w:percent="10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2E13"/>
    <w:rsid w:val="000F3CEC"/>
    <w:rsid w:val="001B62C2"/>
    <w:rsid w:val="001D7E68"/>
    <w:rsid w:val="0022641F"/>
    <w:rsid w:val="00261CE3"/>
    <w:rsid w:val="002C0938"/>
    <w:rsid w:val="002C5A13"/>
    <w:rsid w:val="0031364B"/>
    <w:rsid w:val="00391BF4"/>
    <w:rsid w:val="0040783D"/>
    <w:rsid w:val="004E4357"/>
    <w:rsid w:val="004E6069"/>
    <w:rsid w:val="005A7E37"/>
    <w:rsid w:val="0064384E"/>
    <w:rsid w:val="006B6DD6"/>
    <w:rsid w:val="0080349C"/>
    <w:rsid w:val="00846FCC"/>
    <w:rsid w:val="008D1806"/>
    <w:rsid w:val="008E34A7"/>
    <w:rsid w:val="0092468F"/>
    <w:rsid w:val="00941564"/>
    <w:rsid w:val="009E6F11"/>
    <w:rsid w:val="00A60528"/>
    <w:rsid w:val="00A967C1"/>
    <w:rsid w:val="00B42BF9"/>
    <w:rsid w:val="00B82E13"/>
    <w:rsid w:val="00BD3169"/>
    <w:rsid w:val="00BE1938"/>
    <w:rsid w:val="00C158E9"/>
    <w:rsid w:val="00C16E44"/>
    <w:rsid w:val="00C378F3"/>
    <w:rsid w:val="00C41316"/>
    <w:rsid w:val="00C746FE"/>
    <w:rsid w:val="00C93693"/>
    <w:rsid w:val="00D4581B"/>
    <w:rsid w:val="00D9782C"/>
    <w:rsid w:val="00DE2F8B"/>
    <w:rsid w:val="00F048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CC79430"/>
  <w15:chartTrackingRefBased/>
  <w15:docId w15:val="{8A0C9A67-0072-4A47-9A94-65CC4F3611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link w:val="a4"/>
    <w:uiPriority w:val="99"/>
    <w:unhideWhenUsed/>
    <w:rsid w:val="00B82E1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customStyle="1" w:styleId="a4">
    <w:name w:val="普通(网站) 字符"/>
    <w:basedOn w:val="a0"/>
    <w:link w:val="a3"/>
    <w:uiPriority w:val="99"/>
    <w:rsid w:val="00B82E13"/>
    <w:rPr>
      <w:rFonts w:ascii="宋体" w:eastAsia="宋体" w:hAnsi="宋体" w:cs="宋体"/>
      <w:kern w:val="0"/>
      <w:sz w:val="24"/>
    </w:rPr>
  </w:style>
  <w:style w:type="table" w:styleId="a5">
    <w:name w:val="Table Grid"/>
    <w:basedOn w:val="a1"/>
    <w:uiPriority w:val="39"/>
    <w:rsid w:val="00B82E1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63422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527</Words>
  <Characters>3005</Characters>
  <Application>Microsoft Office Word</Application>
  <DocSecurity>0</DocSecurity>
  <Lines>25</Lines>
  <Paragraphs>7</Paragraphs>
  <ScaleCrop>false</ScaleCrop>
  <Company/>
  <LinksUpToDate>false</LinksUpToDate>
  <CharactersWithSpaces>3525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Office365</dc:creator>
  <cp:keywords/>
  <dc:description/>
  <cp:lastModifiedBy>Office365</cp:lastModifiedBy>
  <cp:revision>1</cp:revision>
  <dcterms:created xsi:type="dcterms:W3CDTF">2020-07-25T05:09:00Z</dcterms:created>
  <dcterms:modified xsi:type="dcterms:W3CDTF">2020-07-25T05:18:00Z</dcterms:modified>
</cp:coreProperties>
</file>