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E92434">
      <w:pPr>
        <w:widowControl/>
        <w:spacing w:line="360" w:lineRule="auto"/>
        <w:ind w:firstLine="482"/>
        <w:jc w:val="center"/>
        <w:rPr>
          <w:rFonts w:ascii="Times New Roman" w:hAnsi="Times New Roman" w:eastAsia="宋体" w:cs="Times New Roman"/>
          <w:b/>
          <w:bCs/>
          <w:sz w:val="22"/>
          <w:szCs w:val="22"/>
        </w:rPr>
      </w:pPr>
      <w:r>
        <w:rPr>
          <w:rFonts w:ascii="Times New Roman" w:hAnsi="Times New Roman" w:eastAsia="宋体" w:cs="Times New Roman"/>
          <w:b/>
          <w:bCs/>
          <w:sz w:val="22"/>
          <w:szCs w:val="22"/>
        </w:rPr>
        <w:t>Chitosan modified diatomite cross-linked with sodium alginate and polyethyleneimine composite gel particles for efficient removal of copper and lead ions</w:t>
      </w:r>
    </w:p>
    <w:p w14:paraId="14924641">
      <w:pPr>
        <w:spacing w:line="360" w:lineRule="auto"/>
        <w:rPr>
          <w:rFonts w:hint="default" w:ascii="Times New Roman" w:hAnsi="Times New Roman" w:cs="Times New Roman"/>
          <w:sz w:val="20"/>
          <w:szCs w:val="20"/>
          <w:vertAlign w:val="superscript"/>
        </w:rPr>
      </w:pPr>
      <w:r>
        <w:rPr>
          <w:rFonts w:hint="default" w:ascii="Times New Roman" w:hAnsi="Times New Roman" w:cs="Times New Roman"/>
          <w:sz w:val="20"/>
          <w:szCs w:val="20"/>
        </w:rPr>
        <w:t>J</w:t>
      </w:r>
      <w:bookmarkStart w:id="0" w:name="OLE_LINK4"/>
      <w:r>
        <w:rPr>
          <w:rFonts w:hint="default" w:ascii="Times New Roman" w:hAnsi="Times New Roman" w:cs="Times New Roman"/>
          <w:sz w:val="20"/>
          <w:szCs w:val="20"/>
        </w:rPr>
        <w:t>ianjun S</w:t>
      </w:r>
      <w:bookmarkStart w:id="5" w:name="_GoBack"/>
      <w:bookmarkEnd w:id="5"/>
      <w:r>
        <w:rPr>
          <w:rFonts w:hint="default" w:ascii="Times New Roman" w:hAnsi="Times New Roman" w:cs="Times New Roman"/>
          <w:sz w:val="20"/>
          <w:szCs w:val="20"/>
        </w:rPr>
        <w:t>un</w:t>
      </w:r>
      <w:bookmarkStart w:id="1" w:name="OLE_LINK6"/>
      <w:r>
        <w:rPr>
          <w:rFonts w:hint="default" w:ascii="Times New Roman" w:hAnsi="Times New Roman" w:cs="Times New Roman"/>
          <w:sz w:val="20"/>
          <w:szCs w:val="20"/>
          <w:vertAlign w:val="superscript"/>
        </w:rPr>
        <w:t>1</w:t>
      </w:r>
      <w:bookmarkEnd w:id="1"/>
      <w:r>
        <w:rPr>
          <w:rFonts w:hint="eastAsia" w:ascii="Times New Roman" w:hAnsi="Times New Roman" w:cs="Times New Roman"/>
          <w:sz w:val="20"/>
          <w:szCs w:val="20"/>
          <w:vertAlign w:val="superscript"/>
          <w:lang w:val="en-US" w:eastAsia="zh-CN"/>
        </w:rPr>
        <w:t xml:space="preserve"> </w:t>
      </w:r>
      <w:r>
        <w:rPr>
          <w:rFonts w:hint="default" w:ascii="Times New Roman" w:hAnsi="Times New Roman" w:eastAsia="宋体" w:cs="Times New Roman"/>
          <w:sz w:val="20"/>
          <w:szCs w:val="20"/>
        </w:rPr>
        <w:t>·</w:t>
      </w:r>
      <w:r>
        <w:rPr>
          <w:rFonts w:hint="default" w:ascii="Times New Roman" w:hAnsi="Times New Roman" w:cs="Times New Roman"/>
          <w:sz w:val="20"/>
          <w:szCs w:val="20"/>
        </w:rPr>
        <w:t xml:space="preserve"> Zongrui Zhang</w:t>
      </w:r>
      <w:r>
        <w:rPr>
          <w:rFonts w:hint="default" w:ascii="Times New Roman" w:hAnsi="Times New Roman" w:cs="Times New Roman"/>
          <w:sz w:val="20"/>
          <w:szCs w:val="20"/>
          <w:vertAlign w:val="superscript"/>
        </w:rPr>
        <w:t>1</w:t>
      </w:r>
      <w:r>
        <w:rPr>
          <w:rFonts w:hint="eastAsia" w:ascii="Times New Roman" w:hAnsi="Times New Roman" w:cs="Times New Roman"/>
          <w:sz w:val="20"/>
          <w:szCs w:val="20"/>
          <w:vertAlign w:val="superscript"/>
          <w:lang w:val="en-US" w:eastAsia="zh-CN"/>
        </w:rPr>
        <w:t xml:space="preserve"> </w:t>
      </w:r>
      <w:r>
        <w:rPr>
          <w:rFonts w:hint="default" w:ascii="Times New Roman" w:hAnsi="Times New Roman" w:eastAsia="宋体" w:cs="Times New Roman"/>
          <w:sz w:val="20"/>
          <w:szCs w:val="20"/>
        </w:rPr>
        <w:t>·</w:t>
      </w:r>
      <w:r>
        <w:rPr>
          <w:rFonts w:hint="default" w:ascii="Times New Roman" w:hAnsi="Times New Roman" w:cs="Times New Roman"/>
          <w:sz w:val="20"/>
          <w:szCs w:val="20"/>
        </w:rPr>
        <w:t xml:space="preserve"> Mengyun Yu</w:t>
      </w:r>
      <w:r>
        <w:rPr>
          <w:rFonts w:hint="default" w:ascii="Times New Roman" w:hAnsi="Times New Roman" w:cs="Times New Roman"/>
          <w:sz w:val="20"/>
          <w:szCs w:val="20"/>
          <w:vertAlign w:val="superscript"/>
        </w:rPr>
        <w:t>1</w:t>
      </w:r>
      <w:r>
        <w:rPr>
          <w:rFonts w:hint="eastAsia" w:ascii="Times New Roman" w:hAnsi="Times New Roman" w:cs="Times New Roman"/>
          <w:sz w:val="20"/>
          <w:szCs w:val="20"/>
          <w:vertAlign w:val="superscript"/>
          <w:lang w:val="en-US" w:eastAsia="zh-CN"/>
        </w:rPr>
        <w:t xml:space="preserve"> </w:t>
      </w:r>
      <w:r>
        <w:rPr>
          <w:rFonts w:hint="default" w:ascii="Times New Roman" w:hAnsi="Times New Roman" w:eastAsia="宋体" w:cs="Times New Roman"/>
          <w:sz w:val="20"/>
          <w:szCs w:val="20"/>
        </w:rPr>
        <w:t>·</w:t>
      </w:r>
      <w:r>
        <w:rPr>
          <w:rFonts w:hint="default" w:ascii="Times New Roman" w:hAnsi="Times New Roman" w:cs="Times New Roman"/>
          <w:sz w:val="20"/>
          <w:szCs w:val="20"/>
        </w:rPr>
        <w:t xml:space="preserve"> Weiwei Xu</w:t>
      </w:r>
      <w:r>
        <w:rPr>
          <w:rFonts w:hint="default" w:ascii="Times New Roman" w:hAnsi="Times New Roman" w:cs="Times New Roman"/>
          <w:sz w:val="20"/>
          <w:szCs w:val="20"/>
          <w:vertAlign w:val="superscript"/>
        </w:rPr>
        <w:t>1</w:t>
      </w:r>
      <w:r>
        <w:rPr>
          <w:rFonts w:hint="eastAsia" w:ascii="Times New Roman" w:hAnsi="Times New Roman" w:cs="Times New Roman"/>
          <w:sz w:val="20"/>
          <w:szCs w:val="20"/>
          <w:lang w:val="en-US" w:eastAsia="zh-CN"/>
        </w:rPr>
        <w:t xml:space="preserve"> </w:t>
      </w:r>
      <w:r>
        <w:rPr>
          <w:rFonts w:hint="default" w:ascii="Times New Roman" w:hAnsi="Times New Roman" w:eastAsia="宋体" w:cs="Times New Roman"/>
          <w:sz w:val="20"/>
          <w:szCs w:val="20"/>
        </w:rPr>
        <w:t>·</w:t>
      </w:r>
      <w:r>
        <w:rPr>
          <w:rFonts w:hint="default" w:ascii="Times New Roman" w:hAnsi="Times New Roman" w:cs="Times New Roman"/>
          <w:sz w:val="20"/>
          <w:szCs w:val="20"/>
        </w:rPr>
        <w:t xml:space="preserve"> Guona Bai</w:t>
      </w:r>
      <w:r>
        <w:rPr>
          <w:rFonts w:hint="default" w:ascii="Times New Roman" w:hAnsi="Times New Roman" w:cs="Times New Roman"/>
          <w:sz w:val="20"/>
          <w:szCs w:val="20"/>
          <w:vertAlign w:val="superscript"/>
        </w:rPr>
        <w:t>1</w:t>
      </w:r>
      <w:r>
        <w:rPr>
          <w:rFonts w:hint="eastAsia" w:ascii="Times New Roman" w:hAnsi="Times New Roman" w:cs="Times New Roman"/>
          <w:sz w:val="20"/>
          <w:szCs w:val="20"/>
          <w:lang w:val="en-US" w:eastAsia="zh-CN"/>
        </w:rPr>
        <w:t xml:space="preserve"> </w:t>
      </w:r>
      <w:r>
        <w:rPr>
          <w:rFonts w:hint="default" w:ascii="Times New Roman" w:hAnsi="Times New Roman" w:eastAsia="宋体" w:cs="Times New Roman"/>
          <w:sz w:val="20"/>
          <w:szCs w:val="20"/>
        </w:rPr>
        <w:t>·</w:t>
      </w:r>
      <w:r>
        <w:rPr>
          <w:rFonts w:hint="default" w:ascii="Times New Roman" w:hAnsi="Times New Roman" w:cs="Times New Roman"/>
          <w:sz w:val="20"/>
          <w:szCs w:val="20"/>
        </w:rPr>
        <w:t xml:space="preserve"> Yixin Xiang</w:t>
      </w:r>
      <w:r>
        <w:rPr>
          <w:rFonts w:hint="default" w:ascii="Times New Roman" w:hAnsi="Times New Roman" w:cs="Times New Roman"/>
          <w:sz w:val="20"/>
          <w:szCs w:val="20"/>
          <w:vertAlign w:val="superscript"/>
        </w:rPr>
        <w:t>1</w:t>
      </w:r>
      <w:r>
        <w:rPr>
          <w:rFonts w:hint="eastAsia" w:ascii="Times New Roman" w:hAnsi="Times New Roman" w:cs="Times New Roman"/>
          <w:sz w:val="20"/>
          <w:szCs w:val="20"/>
          <w:vertAlign w:val="superscript"/>
          <w:lang w:val="en-US" w:eastAsia="zh-CN"/>
        </w:rPr>
        <w:t xml:space="preserve"> </w:t>
      </w:r>
      <w:r>
        <w:rPr>
          <w:rFonts w:hint="default" w:ascii="Times New Roman" w:hAnsi="Times New Roman" w:eastAsia="宋体" w:cs="Times New Roman"/>
          <w:sz w:val="20"/>
          <w:szCs w:val="20"/>
        </w:rPr>
        <w:t>·</w:t>
      </w:r>
      <w:r>
        <w:rPr>
          <w:rFonts w:hint="default" w:ascii="Times New Roman" w:hAnsi="Times New Roman" w:cs="Times New Roman"/>
          <w:sz w:val="20"/>
          <w:szCs w:val="20"/>
        </w:rPr>
        <w:t xml:space="preserve"> Mengqun Li</w:t>
      </w:r>
      <w:r>
        <w:rPr>
          <w:rFonts w:hint="default" w:ascii="Times New Roman" w:hAnsi="Times New Roman" w:cs="Times New Roman"/>
          <w:sz w:val="20"/>
          <w:szCs w:val="20"/>
          <w:vertAlign w:val="superscript"/>
        </w:rPr>
        <w:t>1</w:t>
      </w:r>
      <w:bookmarkEnd w:id="0"/>
    </w:p>
    <w:p w14:paraId="2DFE057B">
      <w:pPr>
        <w:spacing w:line="360" w:lineRule="auto"/>
        <w:rPr>
          <w:rFonts w:hint="default" w:ascii="Times New Roman" w:hAnsi="Times New Roman" w:cs="Times New Roman"/>
          <w:sz w:val="20"/>
          <w:szCs w:val="20"/>
          <w:vertAlign w:val="superscript"/>
        </w:rPr>
      </w:pPr>
    </w:p>
    <w:p w14:paraId="398162FD">
      <w:pPr>
        <w:spacing w:line="360" w:lineRule="auto"/>
        <w:rPr>
          <w:rFonts w:hint="default" w:ascii="Arial" w:hAnsi="Arial" w:eastAsia="MS Mincho" w:cs="Arial"/>
          <w:b/>
          <w:sz w:val="22"/>
          <w:szCs w:val="22"/>
        </w:rPr>
      </w:pPr>
      <w:r>
        <w:rPr>
          <w:rFonts w:hint="default" w:ascii="Arial" w:hAnsi="Arial" w:eastAsia="MS Mincho" w:cs="Arial"/>
          <w:b/>
          <w:sz w:val="22"/>
          <w:szCs w:val="22"/>
          <w:lang w:bidi="ar"/>
        </w:rPr>
        <w:t>Materials and methods</w:t>
      </w:r>
    </w:p>
    <w:p w14:paraId="33BF5AFB">
      <w:pPr>
        <w:spacing w:line="360" w:lineRule="auto"/>
        <w:rPr>
          <w:rFonts w:hint="default" w:ascii="Arial" w:hAnsi="Arial" w:eastAsia="MS Mincho" w:cs="Arial"/>
          <w:i w:val="0"/>
          <w:iCs/>
          <w:sz w:val="20"/>
          <w:szCs w:val="20"/>
        </w:rPr>
      </w:pPr>
      <w:r>
        <w:rPr>
          <w:rFonts w:hint="default" w:ascii="Arial" w:hAnsi="Arial" w:eastAsia="MS Mincho" w:cs="Arial"/>
          <w:b/>
          <w:bCs/>
          <w:i w:val="0"/>
          <w:iCs/>
          <w:sz w:val="20"/>
          <w:szCs w:val="20"/>
          <w:lang w:bidi="ar"/>
        </w:rPr>
        <w:t>Preparation of DE/CS-PEI@SA</w:t>
      </w:r>
      <w:r>
        <w:rPr>
          <w:rFonts w:hint="default" w:ascii="Arial" w:hAnsi="Arial" w:eastAsia="宋体" w:cs="Arial"/>
          <w:b/>
          <w:bCs/>
          <w:i w:val="0"/>
          <w:iCs/>
          <w:sz w:val="20"/>
          <w:szCs w:val="20"/>
          <w:lang w:bidi="ar"/>
        </w:rPr>
        <w:t xml:space="preserve"> </w:t>
      </w:r>
      <w:r>
        <w:rPr>
          <w:rFonts w:hint="default" w:ascii="Arial" w:hAnsi="Arial" w:eastAsia="MS Mincho" w:cs="Arial"/>
          <w:b/>
          <w:bCs/>
          <w:i w:val="0"/>
          <w:iCs/>
          <w:sz w:val="20"/>
          <w:szCs w:val="20"/>
          <w:lang w:bidi="ar"/>
        </w:rPr>
        <w:t>composite gel particles</w:t>
      </w:r>
    </w:p>
    <w:p w14:paraId="4F121398">
      <w:pPr>
        <w:adjustRightInd w:val="0"/>
        <w:snapToGrid w:val="0"/>
        <w:spacing w:line="400" w:lineRule="exact"/>
        <w:ind w:firstLine="400" w:firstLineChars="200"/>
        <w:rPr>
          <w:rFonts w:ascii="Times New Roman" w:hAnsi="Times New Roman" w:eastAsia="宋体" w:cs="Times New Roman"/>
          <w:sz w:val="20"/>
          <w:szCs w:val="20"/>
          <w:lang w:bidi="ar"/>
        </w:rPr>
      </w:pPr>
      <w:r>
        <w:rPr>
          <w:rFonts w:ascii="Times New Roman" w:hAnsi="Times New Roman" w:eastAsia="宋体" w:cs="Times New Roman"/>
          <w:sz w:val="20"/>
          <w:szCs w:val="20"/>
          <w:lang w:bidi="ar"/>
        </w:rPr>
        <w:t xml:space="preserve">The impact of varying proportions of SA and PEI on the gel particles morphology was investigated during the preparation of composite gels. Various combinations of SA and PEI were utilized to produce composite gel samples, with the specific components detailed in </w:t>
      </w:r>
      <w:r>
        <w:rPr>
          <w:rFonts w:ascii="Times New Roman" w:hAnsi="Times New Roman" w:eastAsia="宋体" w:cs="Times New Roman"/>
          <w:color w:val="auto"/>
          <w:sz w:val="20"/>
          <w:szCs w:val="20"/>
          <w:lang w:bidi="ar"/>
        </w:rPr>
        <w:t>Table</w:t>
      </w:r>
      <w:r>
        <w:rPr>
          <w:rFonts w:ascii="Times New Roman" w:hAnsi="Times New Roman" w:eastAsia="宋体" w:cs="Times New Roman"/>
          <w:color w:val="00B0F0"/>
          <w:sz w:val="20"/>
          <w:szCs w:val="20"/>
          <w:lang w:bidi="ar"/>
        </w:rPr>
        <w:t xml:space="preserve"> </w:t>
      </w:r>
      <w:r>
        <w:rPr>
          <w:rFonts w:ascii="Times New Roman" w:hAnsi="Times New Roman" w:eastAsia="宋体" w:cs="Times New Roman"/>
          <w:color w:val="0000FF"/>
          <w:sz w:val="20"/>
          <w:szCs w:val="20"/>
          <w:lang w:bidi="ar"/>
        </w:rPr>
        <w:t>S1</w:t>
      </w:r>
      <w:r>
        <w:rPr>
          <w:rFonts w:ascii="Times New Roman" w:hAnsi="Times New Roman" w:eastAsia="宋体" w:cs="Times New Roman"/>
          <w:sz w:val="20"/>
          <w:szCs w:val="20"/>
          <w:lang w:bidi="ar"/>
        </w:rPr>
        <w:t>.</w:t>
      </w:r>
    </w:p>
    <w:p w14:paraId="038681D8">
      <w:pPr>
        <w:spacing w:line="360" w:lineRule="auto"/>
        <w:ind w:firstLine="442"/>
        <w:jc w:val="center"/>
        <w:rPr>
          <w:rFonts w:ascii="Times New Roman" w:hAnsi="Times New Roman" w:eastAsia="宋体" w:cs="Times New Roman"/>
          <w:sz w:val="20"/>
          <w:szCs w:val="20"/>
        </w:rPr>
      </w:pPr>
      <w:r>
        <w:rPr>
          <w:rFonts w:hint="default" w:ascii="Arial" w:hAnsi="Arial" w:eastAsia="宋体" w:cs="Arial"/>
          <w:b/>
          <w:bCs/>
          <w:sz w:val="20"/>
          <w:szCs w:val="20"/>
          <w:lang w:bidi="ar"/>
        </w:rPr>
        <w:t>Table S1.</w:t>
      </w:r>
      <w:r>
        <w:rPr>
          <w:rFonts w:ascii="Times New Roman" w:hAnsi="Times New Roman" w:eastAsia="宋体" w:cs="Times New Roman"/>
          <w:sz w:val="20"/>
          <w:szCs w:val="20"/>
          <w:lang w:bidi="ar"/>
        </w:rPr>
        <w:t xml:space="preserve"> Components of DE/CS-PEI@SA composite gel particles</w:t>
      </w:r>
    </w:p>
    <w:tbl>
      <w:tblPr>
        <w:tblStyle w:val="13"/>
        <w:tblpPr w:leftFromText="180" w:rightFromText="180" w:vertAnchor="text" w:horzAnchor="page" w:tblpXSpec="center" w:tblpY="178"/>
        <w:tblOverlap w:val="never"/>
        <w:tblW w:w="4608" w:type="pct"/>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3492"/>
        <w:gridCol w:w="1601"/>
        <w:gridCol w:w="1453"/>
        <w:gridCol w:w="1308"/>
      </w:tblGrid>
      <w:tr w14:paraId="3CE01D8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16" w:hRule="atLeast"/>
        </w:trPr>
        <w:tc>
          <w:tcPr>
            <w:tcW w:w="2223" w:type="pct"/>
            <w:tcBorders>
              <w:top w:val="single" w:color="auto" w:sz="8" w:space="0"/>
              <w:left w:val="nil"/>
              <w:bottom w:val="single" w:color="auto" w:sz="4" w:space="0"/>
              <w:right w:val="nil"/>
            </w:tcBorders>
            <w:shd w:val="clear" w:color="auto" w:fill="FFFFFF"/>
            <w:vAlign w:val="center"/>
          </w:tcPr>
          <w:p w14:paraId="5A2FE3DB">
            <w:pPr>
              <w:spacing w:line="360" w:lineRule="auto"/>
              <w:jc w:val="center"/>
              <w:rPr>
                <w:rFonts w:ascii="Times New Roman" w:hAnsi="Times New Roman" w:eastAsia="宋体" w:cs="Times New Roman"/>
                <w:bCs/>
                <w:kern w:val="0"/>
                <w:sz w:val="20"/>
                <w:szCs w:val="20"/>
              </w:rPr>
            </w:pPr>
            <w:r>
              <w:rPr>
                <w:rFonts w:ascii="Times New Roman" w:hAnsi="Times New Roman" w:eastAsia="宋体" w:cs="Times New Roman"/>
                <w:b/>
                <w:kern w:val="0"/>
                <w:sz w:val="20"/>
                <w:szCs w:val="20"/>
                <w:lang w:bidi="ar"/>
              </w:rPr>
              <w:t>sample</w:t>
            </w:r>
          </w:p>
        </w:tc>
        <w:tc>
          <w:tcPr>
            <w:tcW w:w="1019" w:type="pct"/>
            <w:tcBorders>
              <w:top w:val="single" w:color="auto" w:sz="8" w:space="0"/>
              <w:left w:val="nil"/>
              <w:bottom w:val="single" w:color="auto" w:sz="4" w:space="0"/>
              <w:right w:val="nil"/>
            </w:tcBorders>
            <w:shd w:val="clear" w:color="auto" w:fill="FFFFFF"/>
            <w:vAlign w:val="center"/>
          </w:tcPr>
          <w:p w14:paraId="7A451EB9">
            <w:pPr>
              <w:spacing w:line="360" w:lineRule="auto"/>
              <w:rPr>
                <w:rFonts w:ascii="Times New Roman" w:hAnsi="Times New Roman" w:eastAsia="宋体" w:cs="Times New Roman"/>
                <w:bCs/>
                <w:kern w:val="0"/>
                <w:sz w:val="20"/>
                <w:szCs w:val="20"/>
              </w:rPr>
            </w:pPr>
            <w:r>
              <w:rPr>
                <w:rFonts w:ascii="Times New Roman" w:hAnsi="Times New Roman" w:eastAsia="宋体" w:cs="Times New Roman"/>
                <w:b/>
                <w:kern w:val="0"/>
                <w:sz w:val="20"/>
                <w:szCs w:val="20"/>
                <w:lang w:bidi="ar"/>
              </w:rPr>
              <w:t>DE/CS mass (g)</w:t>
            </w:r>
          </w:p>
        </w:tc>
        <w:tc>
          <w:tcPr>
            <w:tcW w:w="925" w:type="pct"/>
            <w:tcBorders>
              <w:top w:val="single" w:color="auto" w:sz="8" w:space="0"/>
              <w:left w:val="nil"/>
              <w:bottom w:val="single" w:color="auto" w:sz="4" w:space="0"/>
              <w:right w:val="nil"/>
            </w:tcBorders>
            <w:shd w:val="clear" w:color="auto" w:fill="FFFFFF"/>
            <w:vAlign w:val="center"/>
          </w:tcPr>
          <w:p w14:paraId="48B89B10">
            <w:pPr>
              <w:spacing w:line="360" w:lineRule="auto"/>
              <w:jc w:val="center"/>
              <w:rPr>
                <w:rFonts w:ascii="Times New Roman" w:hAnsi="Times New Roman" w:eastAsia="宋体" w:cs="Times New Roman"/>
                <w:b/>
                <w:kern w:val="0"/>
                <w:sz w:val="20"/>
                <w:szCs w:val="20"/>
              </w:rPr>
            </w:pPr>
            <w:r>
              <w:rPr>
                <w:rFonts w:ascii="Times New Roman" w:hAnsi="Times New Roman" w:eastAsia="宋体" w:cs="Times New Roman"/>
                <w:b/>
                <w:kern w:val="0"/>
                <w:sz w:val="20"/>
                <w:szCs w:val="20"/>
                <w:lang w:bidi="ar"/>
              </w:rPr>
              <w:t>PEI mass (g)</w:t>
            </w:r>
          </w:p>
        </w:tc>
        <w:tc>
          <w:tcPr>
            <w:tcW w:w="833" w:type="pct"/>
            <w:tcBorders>
              <w:top w:val="single" w:color="auto" w:sz="8" w:space="0"/>
              <w:left w:val="nil"/>
              <w:bottom w:val="single" w:color="auto" w:sz="4" w:space="0"/>
              <w:right w:val="nil"/>
            </w:tcBorders>
            <w:shd w:val="clear" w:color="auto" w:fill="FFFFFF"/>
            <w:vAlign w:val="center"/>
          </w:tcPr>
          <w:p w14:paraId="6D219864">
            <w:pPr>
              <w:spacing w:line="360" w:lineRule="auto"/>
              <w:rPr>
                <w:rFonts w:ascii="Times New Roman" w:hAnsi="Times New Roman" w:eastAsia="宋体" w:cs="Times New Roman"/>
                <w:b/>
                <w:kern w:val="0"/>
                <w:sz w:val="20"/>
                <w:szCs w:val="20"/>
              </w:rPr>
            </w:pPr>
            <w:r>
              <w:rPr>
                <w:rFonts w:ascii="Times New Roman" w:hAnsi="Times New Roman" w:eastAsia="宋体" w:cs="Times New Roman"/>
                <w:b/>
                <w:kern w:val="0"/>
                <w:sz w:val="20"/>
                <w:szCs w:val="20"/>
                <w:lang w:bidi="ar"/>
              </w:rPr>
              <w:t>SA mass(g)</w:t>
            </w:r>
          </w:p>
        </w:tc>
      </w:tr>
      <w:tr w14:paraId="25DB0E6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11" w:hRule="atLeast"/>
        </w:trPr>
        <w:tc>
          <w:tcPr>
            <w:tcW w:w="2223" w:type="pct"/>
            <w:tcBorders>
              <w:top w:val="single" w:color="auto" w:sz="4" w:space="0"/>
              <w:left w:val="nil"/>
              <w:bottom w:val="nil"/>
              <w:right w:val="nil"/>
            </w:tcBorders>
            <w:vAlign w:val="center"/>
          </w:tcPr>
          <w:p w14:paraId="7CD99EC7">
            <w:pPr>
              <w:spacing w:line="360" w:lineRule="auto"/>
              <w:jc w:val="center"/>
              <w:rPr>
                <w:rFonts w:ascii="Times New Roman" w:hAnsi="Times New Roman" w:eastAsia="宋体" w:cs="Times New Roman"/>
                <w:kern w:val="0"/>
                <w:sz w:val="20"/>
                <w:szCs w:val="20"/>
              </w:rPr>
            </w:pPr>
            <w:bookmarkStart w:id="2" w:name="OLE_LINK1"/>
            <w:r>
              <w:rPr>
                <w:rFonts w:ascii="Times New Roman" w:hAnsi="Times New Roman" w:eastAsia="宋体" w:cs="Times New Roman"/>
                <w:kern w:val="0"/>
                <w:sz w:val="20"/>
                <w:szCs w:val="20"/>
              </w:rPr>
              <w:t>DE/CS-PEI@SA(2:1) composite gel</w:t>
            </w:r>
          </w:p>
        </w:tc>
        <w:tc>
          <w:tcPr>
            <w:tcW w:w="1019" w:type="pct"/>
            <w:tcBorders>
              <w:top w:val="single" w:color="auto" w:sz="4" w:space="0"/>
              <w:left w:val="nil"/>
              <w:bottom w:val="nil"/>
              <w:right w:val="nil"/>
            </w:tcBorders>
            <w:vAlign w:val="center"/>
          </w:tcPr>
          <w:p w14:paraId="43AD3739">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0.5</w:t>
            </w:r>
          </w:p>
        </w:tc>
        <w:tc>
          <w:tcPr>
            <w:tcW w:w="925" w:type="pct"/>
            <w:tcBorders>
              <w:top w:val="single" w:color="auto" w:sz="4" w:space="0"/>
              <w:left w:val="nil"/>
              <w:bottom w:val="nil"/>
              <w:right w:val="nil"/>
            </w:tcBorders>
            <w:vAlign w:val="center"/>
          </w:tcPr>
          <w:p w14:paraId="672C5428">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0.5</w:t>
            </w:r>
          </w:p>
        </w:tc>
        <w:tc>
          <w:tcPr>
            <w:tcW w:w="833" w:type="pct"/>
            <w:tcBorders>
              <w:top w:val="single" w:color="auto" w:sz="4" w:space="0"/>
              <w:left w:val="nil"/>
              <w:bottom w:val="nil"/>
              <w:right w:val="nil"/>
            </w:tcBorders>
            <w:vAlign w:val="center"/>
          </w:tcPr>
          <w:p w14:paraId="2AA56331">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0.25</w:t>
            </w:r>
          </w:p>
        </w:tc>
      </w:tr>
      <w:bookmarkEnd w:id="2"/>
      <w:tr w14:paraId="22C18BA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58" w:hRule="atLeast"/>
        </w:trPr>
        <w:tc>
          <w:tcPr>
            <w:tcW w:w="2223" w:type="pct"/>
            <w:vAlign w:val="center"/>
          </w:tcPr>
          <w:p w14:paraId="5FC4DA83">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DE/CS-PEI@SA(1:1) composite gel</w:t>
            </w:r>
          </w:p>
        </w:tc>
        <w:tc>
          <w:tcPr>
            <w:tcW w:w="1019" w:type="pct"/>
            <w:vAlign w:val="center"/>
          </w:tcPr>
          <w:p w14:paraId="1DFFC3E9">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0.5</w:t>
            </w:r>
          </w:p>
        </w:tc>
        <w:tc>
          <w:tcPr>
            <w:tcW w:w="925" w:type="pct"/>
            <w:vAlign w:val="center"/>
          </w:tcPr>
          <w:p w14:paraId="780B7FD5">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0.5</w:t>
            </w:r>
          </w:p>
        </w:tc>
        <w:tc>
          <w:tcPr>
            <w:tcW w:w="833" w:type="pct"/>
            <w:vAlign w:val="center"/>
          </w:tcPr>
          <w:p w14:paraId="6C340570">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0.5</w:t>
            </w:r>
          </w:p>
        </w:tc>
      </w:tr>
      <w:tr w14:paraId="7F50EC1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46" w:hRule="atLeast"/>
        </w:trPr>
        <w:tc>
          <w:tcPr>
            <w:tcW w:w="2223" w:type="pct"/>
            <w:vAlign w:val="center"/>
          </w:tcPr>
          <w:p w14:paraId="76176A25">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DE/CS-PEI@SA(1:1.5) composite gel</w:t>
            </w:r>
          </w:p>
        </w:tc>
        <w:tc>
          <w:tcPr>
            <w:tcW w:w="1019" w:type="pct"/>
            <w:vAlign w:val="center"/>
          </w:tcPr>
          <w:p w14:paraId="7B4FFD88">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0.5</w:t>
            </w:r>
          </w:p>
        </w:tc>
        <w:tc>
          <w:tcPr>
            <w:tcW w:w="925" w:type="pct"/>
            <w:vAlign w:val="center"/>
          </w:tcPr>
          <w:p w14:paraId="46BE406B">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0.5</w:t>
            </w:r>
          </w:p>
        </w:tc>
        <w:tc>
          <w:tcPr>
            <w:tcW w:w="833" w:type="pct"/>
            <w:vAlign w:val="center"/>
          </w:tcPr>
          <w:p w14:paraId="0BBA2603">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0.75</w:t>
            </w:r>
          </w:p>
        </w:tc>
      </w:tr>
      <w:tr w14:paraId="489FA31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53" w:hRule="atLeast"/>
        </w:trPr>
        <w:tc>
          <w:tcPr>
            <w:tcW w:w="2223" w:type="pct"/>
            <w:vAlign w:val="center"/>
          </w:tcPr>
          <w:p w14:paraId="5E7E5EF6">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DE/CS-PEI@SA(1:3) composite gel</w:t>
            </w:r>
          </w:p>
        </w:tc>
        <w:tc>
          <w:tcPr>
            <w:tcW w:w="1019" w:type="pct"/>
            <w:vAlign w:val="center"/>
          </w:tcPr>
          <w:p w14:paraId="310DE227">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0.5</w:t>
            </w:r>
          </w:p>
        </w:tc>
        <w:tc>
          <w:tcPr>
            <w:tcW w:w="925" w:type="pct"/>
            <w:vAlign w:val="center"/>
          </w:tcPr>
          <w:p w14:paraId="7CA9C363">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0.5</w:t>
            </w:r>
          </w:p>
        </w:tc>
        <w:tc>
          <w:tcPr>
            <w:tcW w:w="833" w:type="pct"/>
            <w:vAlign w:val="center"/>
          </w:tcPr>
          <w:p w14:paraId="17B9A946">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1.5</w:t>
            </w:r>
          </w:p>
        </w:tc>
      </w:tr>
      <w:tr w14:paraId="5D2E1C5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53" w:hRule="atLeast"/>
        </w:trPr>
        <w:tc>
          <w:tcPr>
            <w:tcW w:w="2223" w:type="pct"/>
            <w:vAlign w:val="center"/>
          </w:tcPr>
          <w:p w14:paraId="2F40A031">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DE/CS-PEI@SA(1:2) composite gel</w:t>
            </w:r>
          </w:p>
        </w:tc>
        <w:tc>
          <w:tcPr>
            <w:tcW w:w="1019" w:type="pct"/>
            <w:vAlign w:val="center"/>
          </w:tcPr>
          <w:p w14:paraId="5D4E54C9">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0.5</w:t>
            </w:r>
          </w:p>
        </w:tc>
        <w:tc>
          <w:tcPr>
            <w:tcW w:w="925" w:type="pct"/>
            <w:vAlign w:val="center"/>
          </w:tcPr>
          <w:p w14:paraId="21178CD2">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0.5</w:t>
            </w:r>
          </w:p>
        </w:tc>
        <w:tc>
          <w:tcPr>
            <w:tcW w:w="833" w:type="pct"/>
            <w:vAlign w:val="center"/>
          </w:tcPr>
          <w:p w14:paraId="1F821A0D">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1.0</w:t>
            </w:r>
          </w:p>
        </w:tc>
      </w:tr>
      <w:tr w14:paraId="6E70301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53" w:hRule="atLeast"/>
        </w:trPr>
        <w:tc>
          <w:tcPr>
            <w:tcW w:w="2223" w:type="pct"/>
            <w:vAlign w:val="center"/>
          </w:tcPr>
          <w:p w14:paraId="4D014716">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DE/CS-PEI@SA(1:2) composite gel</w:t>
            </w:r>
          </w:p>
        </w:tc>
        <w:tc>
          <w:tcPr>
            <w:tcW w:w="1019" w:type="pct"/>
            <w:vAlign w:val="center"/>
          </w:tcPr>
          <w:p w14:paraId="4510F3E7">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0.5</w:t>
            </w:r>
          </w:p>
        </w:tc>
        <w:tc>
          <w:tcPr>
            <w:tcW w:w="925" w:type="pct"/>
            <w:vAlign w:val="center"/>
          </w:tcPr>
          <w:p w14:paraId="3669C7C0">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0.25</w:t>
            </w:r>
          </w:p>
        </w:tc>
        <w:tc>
          <w:tcPr>
            <w:tcW w:w="833" w:type="pct"/>
            <w:vAlign w:val="center"/>
          </w:tcPr>
          <w:p w14:paraId="1320DAA2">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1.0</w:t>
            </w:r>
          </w:p>
        </w:tc>
      </w:tr>
      <w:tr w14:paraId="14D3C01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53" w:hRule="atLeast"/>
        </w:trPr>
        <w:tc>
          <w:tcPr>
            <w:tcW w:w="2223" w:type="pct"/>
            <w:vAlign w:val="center"/>
          </w:tcPr>
          <w:p w14:paraId="60F11DB8">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DE/CS-PEI@SA(1:2) composite gel</w:t>
            </w:r>
          </w:p>
        </w:tc>
        <w:tc>
          <w:tcPr>
            <w:tcW w:w="1019" w:type="pct"/>
            <w:vAlign w:val="center"/>
          </w:tcPr>
          <w:p w14:paraId="1D0E0D5D">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0.5</w:t>
            </w:r>
          </w:p>
        </w:tc>
        <w:tc>
          <w:tcPr>
            <w:tcW w:w="925" w:type="pct"/>
            <w:vAlign w:val="center"/>
          </w:tcPr>
          <w:p w14:paraId="3F236361">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0.75</w:t>
            </w:r>
          </w:p>
        </w:tc>
        <w:tc>
          <w:tcPr>
            <w:tcW w:w="833" w:type="pct"/>
            <w:vAlign w:val="center"/>
          </w:tcPr>
          <w:p w14:paraId="4BA85BBA">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1.0</w:t>
            </w:r>
          </w:p>
        </w:tc>
      </w:tr>
      <w:tr w14:paraId="28A0979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53" w:hRule="atLeast"/>
        </w:trPr>
        <w:tc>
          <w:tcPr>
            <w:tcW w:w="2223" w:type="pct"/>
            <w:tcBorders>
              <w:top w:val="nil"/>
              <w:left w:val="nil"/>
              <w:bottom w:val="single" w:color="auto" w:sz="4" w:space="0"/>
              <w:right w:val="nil"/>
            </w:tcBorders>
            <w:vAlign w:val="center"/>
          </w:tcPr>
          <w:p w14:paraId="1A7D242D">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DE/CS-PEI@SA(1:2) composite gel</w:t>
            </w:r>
          </w:p>
        </w:tc>
        <w:tc>
          <w:tcPr>
            <w:tcW w:w="1019" w:type="pct"/>
            <w:tcBorders>
              <w:top w:val="nil"/>
              <w:left w:val="nil"/>
              <w:bottom w:val="single" w:color="auto" w:sz="4" w:space="0"/>
              <w:right w:val="nil"/>
            </w:tcBorders>
            <w:vAlign w:val="center"/>
          </w:tcPr>
          <w:p w14:paraId="4DE18273">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0.5</w:t>
            </w:r>
          </w:p>
        </w:tc>
        <w:tc>
          <w:tcPr>
            <w:tcW w:w="925" w:type="pct"/>
            <w:tcBorders>
              <w:top w:val="nil"/>
              <w:left w:val="nil"/>
              <w:bottom w:val="single" w:color="auto" w:sz="4" w:space="0"/>
              <w:right w:val="nil"/>
            </w:tcBorders>
            <w:vAlign w:val="center"/>
          </w:tcPr>
          <w:p w14:paraId="5F566724">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1.0</w:t>
            </w:r>
          </w:p>
        </w:tc>
        <w:tc>
          <w:tcPr>
            <w:tcW w:w="833" w:type="pct"/>
            <w:tcBorders>
              <w:top w:val="nil"/>
              <w:left w:val="nil"/>
              <w:bottom w:val="single" w:color="auto" w:sz="4" w:space="0"/>
              <w:right w:val="nil"/>
            </w:tcBorders>
            <w:vAlign w:val="center"/>
          </w:tcPr>
          <w:p w14:paraId="10BFC977">
            <w:pPr>
              <w:spacing w:line="360"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lang w:bidi="ar"/>
              </w:rPr>
              <w:t>1.0</w:t>
            </w:r>
          </w:p>
        </w:tc>
      </w:tr>
    </w:tbl>
    <w:p w14:paraId="33E4995B">
      <w:pPr>
        <w:spacing w:line="360" w:lineRule="auto"/>
        <w:rPr>
          <w:rFonts w:ascii="Times New Roman" w:hAnsi="Times New Roman" w:eastAsia="宋体" w:cs="Times New Roman"/>
          <w:i w:val="0"/>
          <w:iCs w:val="0"/>
          <w:sz w:val="20"/>
          <w:szCs w:val="20"/>
        </w:rPr>
      </w:pPr>
      <w:r>
        <w:rPr>
          <w:rFonts w:hint="default" w:ascii="Arial" w:hAnsi="Arial" w:eastAsia="MS Mincho" w:cs="Arial"/>
          <w:b/>
          <w:bCs/>
          <w:i w:val="0"/>
          <w:iCs/>
          <w:sz w:val="20"/>
          <w:szCs w:val="20"/>
          <w:lang w:bidi="ar"/>
        </w:rPr>
        <w:t>Adsorption experiments</w:t>
      </w:r>
    </w:p>
    <w:p w14:paraId="63DC0A8E">
      <w:pPr>
        <w:adjustRightInd w:val="0"/>
        <w:snapToGrid w:val="0"/>
        <w:spacing w:line="400" w:lineRule="exact"/>
        <w:ind w:firstLine="400" w:firstLineChars="200"/>
        <w:rPr>
          <w:rFonts w:ascii="Times New Roman" w:hAnsi="Times New Roman" w:eastAsia="宋体" w:cs="Times New Roman"/>
          <w:sz w:val="20"/>
          <w:szCs w:val="20"/>
          <w:lang w:bidi="ar"/>
        </w:rPr>
      </w:pPr>
      <w:r>
        <w:rPr>
          <w:rFonts w:ascii="Times New Roman" w:hAnsi="Times New Roman" w:eastAsia="宋体" w:cs="Times New Roman"/>
          <w:sz w:val="20"/>
          <w:szCs w:val="20"/>
          <w:lang w:bidi="ar"/>
        </w:rPr>
        <w:t>The standard curves for Cu(Ⅱ) and Pb(Ⅱ) absorbance are generated in</w:t>
      </w:r>
      <w:r>
        <w:rPr>
          <w:rFonts w:ascii="Times New Roman" w:hAnsi="Times New Roman" w:eastAsia="宋体" w:cs="Times New Roman"/>
          <w:color w:val="00B0F0"/>
          <w:sz w:val="20"/>
          <w:szCs w:val="20"/>
          <w:lang w:bidi="ar"/>
        </w:rPr>
        <w:t xml:space="preserve"> </w:t>
      </w:r>
      <w:r>
        <w:rPr>
          <w:rFonts w:ascii="Times New Roman" w:hAnsi="Times New Roman" w:eastAsia="宋体" w:cs="Times New Roman"/>
          <w:color w:val="auto"/>
          <w:sz w:val="20"/>
          <w:szCs w:val="20"/>
          <w:lang w:bidi="ar"/>
        </w:rPr>
        <w:t>Fig.</w:t>
      </w:r>
      <w:r>
        <w:rPr>
          <w:rFonts w:ascii="Times New Roman" w:hAnsi="Times New Roman" w:eastAsia="宋体" w:cs="Times New Roman"/>
          <w:color w:val="00B0F0"/>
          <w:sz w:val="20"/>
          <w:szCs w:val="20"/>
          <w:lang w:bidi="ar"/>
        </w:rPr>
        <w:t xml:space="preserve"> </w:t>
      </w:r>
      <w:r>
        <w:rPr>
          <w:rFonts w:ascii="Times New Roman" w:hAnsi="Times New Roman" w:eastAsia="宋体" w:cs="Times New Roman"/>
          <w:color w:val="0000FF"/>
          <w:sz w:val="20"/>
          <w:szCs w:val="20"/>
          <w:lang w:bidi="ar"/>
        </w:rPr>
        <w:t>S1</w:t>
      </w:r>
      <w:r>
        <w:rPr>
          <w:rFonts w:ascii="Times New Roman" w:hAnsi="Times New Roman" w:eastAsia="宋体" w:cs="Times New Roman"/>
          <w:sz w:val="20"/>
          <w:szCs w:val="20"/>
          <w:lang w:bidi="ar"/>
        </w:rPr>
        <w:t>.</w:t>
      </w:r>
    </w:p>
    <w:p w14:paraId="0B8DC2E7">
      <w:pPr>
        <w:spacing w:line="360" w:lineRule="auto"/>
        <w:jc w:val="center"/>
        <w:rPr>
          <w:rFonts w:ascii="Times New Roman" w:hAnsi="Times New Roman" w:eastAsia="宋体" w:cs="Times New Roman"/>
          <w:sz w:val="20"/>
          <w:szCs w:val="20"/>
        </w:rPr>
      </w:pPr>
      <w:r>
        <w:drawing>
          <wp:inline distT="0" distB="0" distL="0" distR="0">
            <wp:extent cx="5274310" cy="211264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2112645"/>
                    </a:xfrm>
                    <a:prstGeom prst="rect">
                      <a:avLst/>
                    </a:prstGeom>
                    <a:noFill/>
                    <a:ln>
                      <a:noFill/>
                    </a:ln>
                  </pic:spPr>
                </pic:pic>
              </a:graphicData>
            </a:graphic>
          </wp:inline>
        </w:drawing>
      </w:r>
      <w:r>
        <w:rPr>
          <w:rFonts w:ascii="Times New Roman" w:hAnsi="Times New Roman" w:eastAsia="宋体" w:cs="Times New Roman"/>
          <w:b/>
          <w:bCs/>
          <w:sz w:val="20"/>
          <w:szCs w:val="20"/>
        </w:rPr>
        <w:t xml:space="preserve"> </w:t>
      </w:r>
      <w:r>
        <w:rPr>
          <w:rFonts w:hint="default" w:ascii="Arial" w:hAnsi="Arial" w:eastAsia="宋体" w:cs="Arial"/>
          <w:b/>
          <w:bCs/>
          <w:sz w:val="20"/>
          <w:szCs w:val="20"/>
        </w:rPr>
        <w:t>Fig. S1.</w:t>
      </w:r>
      <w:r>
        <w:rPr>
          <w:rFonts w:ascii="Times New Roman" w:hAnsi="Times New Roman" w:eastAsia="宋体" w:cs="Times New Roman"/>
          <w:sz w:val="20"/>
          <w:szCs w:val="20"/>
        </w:rPr>
        <w:t xml:space="preserve"> The standard curve</w:t>
      </w:r>
      <w:r>
        <w:rPr>
          <w:rFonts w:hint="eastAsia" w:ascii="Times New Roman" w:hAnsi="Times New Roman" w:eastAsia="宋体" w:cs="Times New Roman"/>
          <w:sz w:val="20"/>
          <w:szCs w:val="20"/>
        </w:rPr>
        <w:t>s</w:t>
      </w:r>
      <w:r>
        <w:rPr>
          <w:rFonts w:ascii="Times New Roman" w:hAnsi="Times New Roman" w:eastAsia="宋体" w:cs="Times New Roman"/>
          <w:sz w:val="20"/>
          <w:szCs w:val="20"/>
        </w:rPr>
        <w:t xml:space="preserve"> of copper </w:t>
      </w:r>
      <w:r>
        <w:rPr>
          <w:rFonts w:hint="eastAsia" w:ascii="Times New Roman" w:hAnsi="Times New Roman" w:eastAsia="宋体" w:cs="Times New Roman"/>
          <w:sz w:val="20"/>
          <w:szCs w:val="20"/>
        </w:rPr>
        <w:t xml:space="preserve">Cu(II) </w:t>
      </w:r>
      <w:r>
        <w:rPr>
          <w:rFonts w:ascii="Times New Roman" w:hAnsi="Times New Roman" w:eastAsia="宋体" w:cs="Times New Roman"/>
          <w:sz w:val="20"/>
          <w:szCs w:val="20"/>
        </w:rPr>
        <w:t xml:space="preserve">and lead </w:t>
      </w:r>
      <w:r>
        <w:rPr>
          <w:rFonts w:hint="eastAsia" w:ascii="Times New Roman" w:hAnsi="Times New Roman" w:eastAsia="宋体" w:cs="Times New Roman"/>
          <w:sz w:val="20"/>
          <w:szCs w:val="20"/>
        </w:rPr>
        <w:t xml:space="preserve">Pb(II) </w:t>
      </w:r>
      <w:r>
        <w:rPr>
          <w:rFonts w:ascii="Times New Roman" w:hAnsi="Times New Roman" w:eastAsia="宋体" w:cs="Times New Roman"/>
          <w:sz w:val="20"/>
          <w:szCs w:val="20"/>
        </w:rPr>
        <w:t>absorbance.</w:t>
      </w:r>
    </w:p>
    <w:p w14:paraId="587ADF2C">
      <w:pPr>
        <w:spacing w:line="360" w:lineRule="auto"/>
        <w:rPr>
          <w:rFonts w:hint="default" w:ascii="Arial" w:hAnsi="Arial" w:eastAsia="MS Mincho" w:cs="Arial"/>
          <w:b/>
          <w:sz w:val="22"/>
          <w:szCs w:val="22"/>
        </w:rPr>
      </w:pPr>
      <w:bookmarkStart w:id="3" w:name="OLE_LINK3"/>
      <w:r>
        <w:rPr>
          <w:rFonts w:hint="default" w:ascii="Arial" w:hAnsi="Arial" w:eastAsia="MS Mincho" w:cs="Arial"/>
          <w:b/>
          <w:sz w:val="22"/>
          <w:szCs w:val="22"/>
          <w:lang w:bidi="ar"/>
        </w:rPr>
        <w:t>Results and discussion</w:t>
      </w:r>
    </w:p>
    <w:bookmarkEnd w:id="3"/>
    <w:p w14:paraId="7CD09138">
      <w:pPr>
        <w:spacing w:line="360" w:lineRule="auto"/>
        <w:rPr>
          <w:rFonts w:ascii="Times New Roman" w:hAnsi="Times New Roman" w:eastAsia="宋体" w:cs="Times New Roman"/>
          <w:i w:val="0"/>
          <w:iCs w:val="0"/>
          <w:sz w:val="20"/>
          <w:szCs w:val="20"/>
        </w:rPr>
      </w:pPr>
      <w:r>
        <w:rPr>
          <w:rFonts w:hint="default" w:ascii="Arial" w:hAnsi="Arial" w:eastAsia="MS Mincho" w:cs="Arial"/>
          <w:b/>
          <w:bCs/>
          <w:i w:val="0"/>
          <w:iCs/>
          <w:sz w:val="20"/>
          <w:szCs w:val="20"/>
          <w:lang w:bidi="ar"/>
        </w:rPr>
        <w:t>Chemical structural performance</w:t>
      </w:r>
    </w:p>
    <w:p w14:paraId="6860034F">
      <w:pPr>
        <w:spacing w:line="360" w:lineRule="auto"/>
        <w:rPr>
          <w:rFonts w:ascii="Times New Roman" w:hAnsi="Times New Roman" w:eastAsia="宋体" w:cs="Times New Roman"/>
          <w:sz w:val="20"/>
          <w:szCs w:val="20"/>
        </w:rPr>
      </w:pPr>
      <w:r>
        <w:drawing>
          <wp:inline distT="0" distB="0" distL="0" distR="0">
            <wp:extent cx="5274310" cy="208915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2089150"/>
                    </a:xfrm>
                    <a:prstGeom prst="rect">
                      <a:avLst/>
                    </a:prstGeom>
                    <a:noFill/>
                    <a:ln>
                      <a:noFill/>
                    </a:ln>
                  </pic:spPr>
                </pic:pic>
              </a:graphicData>
            </a:graphic>
          </wp:inline>
        </w:drawing>
      </w:r>
      <w:r>
        <w:rPr>
          <w:rFonts w:hint="default" w:ascii="Arial" w:hAnsi="Arial" w:cs="Arial"/>
          <w:b/>
          <w:bCs/>
          <w:sz w:val="20"/>
          <w:szCs w:val="20"/>
        </w:rPr>
        <w:t>Fig. S2.</w:t>
      </w:r>
      <w:r>
        <w:rPr>
          <w:rFonts w:ascii="Times New Roman" w:hAnsi="Times New Roman" w:cs="Times New Roman"/>
          <w:sz w:val="20"/>
          <w:szCs w:val="20"/>
        </w:rPr>
        <w:t xml:space="preserve"> </w:t>
      </w:r>
      <w:r>
        <w:rPr>
          <w:rFonts w:ascii="Times New Roman" w:hAnsi="Times New Roman" w:eastAsia="宋体" w:cs="Times New Roman"/>
          <w:sz w:val="20"/>
          <w:szCs w:val="20"/>
          <w:lang w:bidi="ar"/>
        </w:rPr>
        <w:t xml:space="preserve">The (a) FT-IR, and (b) </w:t>
      </w:r>
      <w:r>
        <w:rPr>
          <w:rFonts w:ascii="Times New Roman" w:hAnsi="Times New Roman" w:eastAsia="宋体" w:cs="Times New Roman"/>
          <w:sz w:val="20"/>
          <w:szCs w:val="20"/>
          <w:vertAlign w:val="superscript"/>
          <w:lang w:bidi="ar"/>
        </w:rPr>
        <w:t>1</w:t>
      </w:r>
      <w:r>
        <w:rPr>
          <w:rFonts w:ascii="Times New Roman" w:hAnsi="Times New Roman" w:eastAsia="宋体" w:cs="Times New Roman"/>
          <w:sz w:val="20"/>
          <w:szCs w:val="20"/>
          <w:lang w:bidi="ar"/>
        </w:rPr>
        <w:t xml:space="preserve">H NMR spectra of the composite </w:t>
      </w:r>
      <w:r>
        <w:rPr>
          <w:rFonts w:hint="eastAsia" w:ascii="Times New Roman" w:hAnsi="Times New Roman" w:cs="Times New Roman"/>
          <w:sz w:val="20"/>
          <w:szCs w:val="20"/>
          <w:lang w:bidi="ar"/>
        </w:rPr>
        <w:t>gel</w:t>
      </w:r>
      <w:r>
        <w:rPr>
          <w:rFonts w:ascii="Times New Roman" w:hAnsi="Times New Roman" w:eastAsia="宋体" w:cs="Times New Roman"/>
          <w:sz w:val="20"/>
          <w:szCs w:val="20"/>
          <w:lang w:bidi="ar"/>
        </w:rPr>
        <w:t xml:space="preserve"> DE/CS-PEI@SA</w:t>
      </w:r>
      <w:r>
        <w:rPr>
          <w:rFonts w:hint="eastAsia" w:ascii="Times New Roman" w:hAnsi="Times New Roman" w:cs="Times New Roman"/>
          <w:sz w:val="20"/>
          <w:szCs w:val="20"/>
          <w:lang w:bidi="ar"/>
        </w:rPr>
        <w:t xml:space="preserve"> and after the adso</w:t>
      </w:r>
      <w:r>
        <w:rPr>
          <w:rFonts w:hint="eastAsia" w:ascii="Times New Roman" w:hAnsi="Times New Roman"/>
          <w:sz w:val="20"/>
          <w:szCs w:val="20"/>
          <w:lang w:bidi="ar"/>
        </w:rPr>
        <w:t>r</w:t>
      </w:r>
      <w:r>
        <w:rPr>
          <w:rFonts w:hint="eastAsia" w:ascii="Times New Roman" w:hAnsi="Times New Roman" w:cs="Times New Roman"/>
          <w:sz w:val="20"/>
          <w:szCs w:val="20"/>
          <w:lang w:bidi="ar"/>
        </w:rPr>
        <w:t>ption</w:t>
      </w:r>
      <w:r>
        <w:rPr>
          <w:rFonts w:ascii="Times New Roman" w:hAnsi="Times New Roman" w:eastAsia="宋体" w:cs="Times New Roman"/>
          <w:sz w:val="20"/>
          <w:szCs w:val="20"/>
        </w:rPr>
        <w:t xml:space="preserve"> of</w:t>
      </w:r>
      <w:r>
        <w:rPr>
          <w:rFonts w:ascii="Times New Roman" w:hAnsi="Times New Roman" w:cs="Times New Roman"/>
          <w:sz w:val="20"/>
          <w:szCs w:val="20"/>
        </w:rPr>
        <w:t xml:space="preserve"> </w:t>
      </w:r>
      <w:r>
        <w:rPr>
          <w:rFonts w:hint="eastAsia" w:ascii="Times New Roman" w:hAnsi="Times New Roman" w:cs="Times New Roman"/>
          <w:sz w:val="20"/>
          <w:szCs w:val="20"/>
        </w:rPr>
        <w:t xml:space="preserve">Cu(II) </w:t>
      </w:r>
      <w:r>
        <w:rPr>
          <w:rFonts w:ascii="Times New Roman" w:hAnsi="Times New Roman" w:cs="Times New Roman"/>
          <w:sz w:val="20"/>
          <w:szCs w:val="20"/>
        </w:rPr>
        <w:t>and</w:t>
      </w:r>
      <w:r>
        <w:rPr>
          <w:rFonts w:ascii="Times New Roman" w:hAnsi="Times New Roman" w:eastAsia="宋体" w:cs="Times New Roman"/>
          <w:sz w:val="20"/>
          <w:szCs w:val="20"/>
        </w:rPr>
        <w:t xml:space="preserve"> </w:t>
      </w:r>
      <w:r>
        <w:rPr>
          <w:rFonts w:hint="eastAsia" w:ascii="Times New Roman" w:hAnsi="Times New Roman" w:cs="Times New Roman"/>
          <w:sz w:val="20"/>
          <w:szCs w:val="20"/>
        </w:rPr>
        <w:t>Pb(II)</w:t>
      </w:r>
      <w:r>
        <w:rPr>
          <w:rFonts w:ascii="Times New Roman" w:hAnsi="Times New Roman" w:eastAsia="宋体" w:cs="Times New Roman"/>
          <w:sz w:val="20"/>
          <w:szCs w:val="20"/>
        </w:rPr>
        <w:t>.</w:t>
      </w:r>
    </w:p>
    <w:p w14:paraId="466BD22E">
      <w:pPr>
        <w:spacing w:line="360" w:lineRule="auto"/>
        <w:rPr>
          <w:rFonts w:ascii="Times New Roman" w:hAnsi="Times New Roman" w:eastAsia="宋体" w:cs="Times New Roman"/>
          <w:i w:val="0"/>
          <w:iCs w:val="0"/>
          <w:sz w:val="20"/>
          <w:szCs w:val="20"/>
        </w:rPr>
      </w:pPr>
      <w:r>
        <w:rPr>
          <w:rFonts w:hint="default" w:ascii="Arial" w:hAnsi="Arial" w:eastAsia="MS Mincho" w:cs="Arial"/>
          <w:b/>
          <w:bCs/>
          <w:i w:val="0"/>
          <w:iCs/>
          <w:sz w:val="20"/>
          <w:szCs w:val="20"/>
          <w:lang w:bidi="ar"/>
        </w:rPr>
        <w:t>Crystallization and thermal properties</w:t>
      </w:r>
    </w:p>
    <w:p w14:paraId="316AF871">
      <w:pPr>
        <w:spacing w:line="360" w:lineRule="auto"/>
        <w:jc w:val="left"/>
        <w:rPr>
          <w:rFonts w:ascii="Times New Roman" w:hAnsi="Times New Roman" w:eastAsia="宋体" w:cs="Times New Roman"/>
          <w:sz w:val="20"/>
          <w:szCs w:val="20"/>
        </w:rPr>
      </w:pPr>
      <w:r>
        <w:drawing>
          <wp:inline distT="0" distB="0" distL="0" distR="0">
            <wp:extent cx="5274310" cy="213995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2139950"/>
                    </a:xfrm>
                    <a:prstGeom prst="rect">
                      <a:avLst/>
                    </a:prstGeom>
                    <a:noFill/>
                    <a:ln>
                      <a:noFill/>
                    </a:ln>
                  </pic:spPr>
                </pic:pic>
              </a:graphicData>
            </a:graphic>
          </wp:inline>
        </w:drawing>
      </w:r>
      <w:r>
        <w:rPr>
          <w:rFonts w:hint="default" w:ascii="Arial" w:hAnsi="Arial" w:cs="Arial"/>
          <w:b/>
          <w:bCs/>
          <w:sz w:val="20"/>
          <w:szCs w:val="20"/>
        </w:rPr>
        <w:t>Fig. S3.</w:t>
      </w:r>
      <w:r>
        <w:rPr>
          <w:rFonts w:ascii="Times New Roman" w:hAnsi="Times New Roman" w:cs="Times New Roman"/>
          <w:sz w:val="20"/>
          <w:szCs w:val="20"/>
        </w:rPr>
        <w:t xml:space="preserve"> </w:t>
      </w:r>
      <w:r>
        <w:rPr>
          <w:rFonts w:ascii="Times New Roman" w:hAnsi="Times New Roman" w:eastAsia="宋体" w:cs="Times New Roman"/>
          <w:sz w:val="20"/>
          <w:szCs w:val="20"/>
          <w:lang w:bidi="ar"/>
        </w:rPr>
        <w:t>The (a)</w:t>
      </w:r>
      <w:r>
        <w:rPr>
          <w:rFonts w:hint="eastAsia" w:ascii="Times New Roman" w:hAnsi="Times New Roman" w:cs="Times New Roman"/>
          <w:sz w:val="20"/>
          <w:szCs w:val="20"/>
          <w:lang w:bidi="ar"/>
        </w:rPr>
        <w:t xml:space="preserve"> </w:t>
      </w:r>
      <w:r>
        <w:rPr>
          <w:rFonts w:ascii="Times New Roman" w:hAnsi="Times New Roman" w:eastAsia="宋体" w:cs="Times New Roman"/>
          <w:sz w:val="20"/>
          <w:szCs w:val="20"/>
          <w:lang w:bidi="ar"/>
        </w:rPr>
        <w:t>XRD, and (</w:t>
      </w:r>
      <w:r>
        <w:rPr>
          <w:rFonts w:hint="eastAsia" w:ascii="Times New Roman" w:hAnsi="Times New Roman" w:cs="Times New Roman"/>
          <w:sz w:val="20"/>
          <w:szCs w:val="20"/>
          <w:lang w:bidi="ar"/>
        </w:rPr>
        <w:t>b</w:t>
      </w:r>
      <w:r>
        <w:rPr>
          <w:rFonts w:ascii="Times New Roman" w:hAnsi="Times New Roman" w:eastAsia="宋体" w:cs="Times New Roman"/>
          <w:sz w:val="20"/>
          <w:szCs w:val="20"/>
          <w:lang w:bidi="ar"/>
        </w:rPr>
        <w:t xml:space="preserve">) DSC spectra of the composite </w:t>
      </w:r>
      <w:r>
        <w:rPr>
          <w:rFonts w:hint="eastAsia" w:ascii="Times New Roman" w:hAnsi="Times New Roman" w:cs="Times New Roman"/>
          <w:sz w:val="20"/>
          <w:szCs w:val="20"/>
          <w:lang w:bidi="ar"/>
        </w:rPr>
        <w:t>gel</w:t>
      </w:r>
      <w:r>
        <w:rPr>
          <w:rFonts w:ascii="Times New Roman" w:hAnsi="Times New Roman" w:eastAsia="宋体" w:cs="Times New Roman"/>
          <w:sz w:val="20"/>
          <w:szCs w:val="20"/>
          <w:lang w:bidi="ar"/>
        </w:rPr>
        <w:t xml:space="preserve"> DE/CS-PEI@SA</w:t>
      </w:r>
      <w:r>
        <w:rPr>
          <w:rFonts w:hint="eastAsia" w:ascii="Times New Roman" w:hAnsi="Times New Roman" w:cs="Times New Roman"/>
          <w:sz w:val="20"/>
          <w:szCs w:val="20"/>
          <w:lang w:bidi="ar"/>
        </w:rPr>
        <w:t xml:space="preserve"> and after the adso</w:t>
      </w:r>
      <w:r>
        <w:rPr>
          <w:rFonts w:ascii="Times New Roman" w:hAnsi="Times New Roman"/>
          <w:sz w:val="20"/>
          <w:szCs w:val="20"/>
          <w:lang w:bidi="ar"/>
        </w:rPr>
        <w:t>r</w:t>
      </w:r>
      <w:r>
        <w:rPr>
          <w:rFonts w:hint="eastAsia" w:ascii="Times New Roman" w:hAnsi="Times New Roman" w:cs="Times New Roman"/>
          <w:sz w:val="20"/>
          <w:szCs w:val="20"/>
          <w:lang w:bidi="ar"/>
        </w:rPr>
        <w:t>ption</w:t>
      </w:r>
      <w:r>
        <w:rPr>
          <w:rFonts w:ascii="Times New Roman" w:hAnsi="Times New Roman" w:eastAsia="宋体" w:cs="Times New Roman"/>
          <w:sz w:val="20"/>
          <w:szCs w:val="20"/>
        </w:rPr>
        <w:t xml:space="preserve"> of</w:t>
      </w:r>
      <w:r>
        <w:rPr>
          <w:rFonts w:ascii="Times New Roman" w:hAnsi="Times New Roman" w:cs="Times New Roman"/>
          <w:sz w:val="20"/>
          <w:szCs w:val="20"/>
        </w:rPr>
        <w:t xml:space="preserve"> </w:t>
      </w:r>
      <w:r>
        <w:rPr>
          <w:rFonts w:hint="eastAsia" w:ascii="Times New Roman" w:hAnsi="Times New Roman" w:cs="Times New Roman"/>
          <w:sz w:val="20"/>
          <w:szCs w:val="20"/>
        </w:rPr>
        <w:t xml:space="preserve">Cu(II) </w:t>
      </w:r>
      <w:r>
        <w:rPr>
          <w:rFonts w:ascii="Times New Roman" w:hAnsi="Times New Roman" w:cs="Times New Roman"/>
          <w:sz w:val="20"/>
          <w:szCs w:val="20"/>
        </w:rPr>
        <w:t>and</w:t>
      </w:r>
      <w:r>
        <w:rPr>
          <w:rFonts w:ascii="Times New Roman" w:hAnsi="Times New Roman" w:eastAsia="宋体" w:cs="Times New Roman"/>
          <w:sz w:val="20"/>
          <w:szCs w:val="20"/>
        </w:rPr>
        <w:t xml:space="preserve"> </w:t>
      </w:r>
      <w:r>
        <w:rPr>
          <w:rFonts w:hint="eastAsia" w:ascii="Times New Roman" w:hAnsi="Times New Roman" w:cs="Times New Roman"/>
          <w:sz w:val="20"/>
          <w:szCs w:val="20"/>
        </w:rPr>
        <w:t>Pb(II)</w:t>
      </w:r>
      <w:r>
        <w:rPr>
          <w:rFonts w:ascii="Times New Roman" w:hAnsi="Times New Roman" w:eastAsia="宋体" w:cs="Times New Roman"/>
          <w:sz w:val="20"/>
          <w:szCs w:val="20"/>
        </w:rPr>
        <w:t>.</w:t>
      </w:r>
    </w:p>
    <w:p w14:paraId="6FC9D6B2">
      <w:pPr>
        <w:spacing w:line="350" w:lineRule="exact"/>
        <w:jc w:val="left"/>
        <w:rPr>
          <w:i w:val="0"/>
          <w:iCs w:val="0"/>
          <w:sz w:val="18"/>
          <w:szCs w:val="21"/>
        </w:rPr>
      </w:pPr>
      <w:r>
        <w:rPr>
          <w:rFonts w:hint="default" w:ascii="Arial" w:hAnsi="Arial" w:eastAsia="MS Mincho" w:cs="Arial"/>
          <w:b/>
          <w:bCs/>
          <w:i w:val="0"/>
          <w:iCs/>
          <w:sz w:val="20"/>
          <w:szCs w:val="20"/>
          <w:lang w:bidi="ar"/>
        </w:rPr>
        <w:t>Thermal stability</w:t>
      </w:r>
    </w:p>
    <w:p w14:paraId="2D3E6E17">
      <w:pPr>
        <w:spacing w:line="480" w:lineRule="auto"/>
        <w:rPr>
          <w:rFonts w:ascii="Times New Roman" w:hAnsi="Times New Roman" w:cs="Times New Roman"/>
          <w:b/>
          <w:bCs/>
          <w:sz w:val="20"/>
          <w:szCs w:val="20"/>
        </w:rPr>
      </w:pPr>
      <w:r>
        <w:drawing>
          <wp:inline distT="0" distB="0" distL="0" distR="0">
            <wp:extent cx="5274310" cy="215773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2157730"/>
                    </a:xfrm>
                    <a:prstGeom prst="rect">
                      <a:avLst/>
                    </a:prstGeom>
                    <a:noFill/>
                    <a:ln>
                      <a:noFill/>
                    </a:ln>
                  </pic:spPr>
                </pic:pic>
              </a:graphicData>
            </a:graphic>
          </wp:inline>
        </w:drawing>
      </w:r>
    </w:p>
    <w:p w14:paraId="4F1232E9">
      <w:pPr>
        <w:spacing w:line="360" w:lineRule="auto"/>
        <w:rPr>
          <w:sz w:val="20"/>
          <w:szCs w:val="20"/>
        </w:rPr>
      </w:pPr>
      <w:bookmarkStart w:id="4" w:name="OLE_LINK2"/>
      <w:r>
        <w:rPr>
          <w:rFonts w:hint="default" w:ascii="Arial" w:hAnsi="Arial" w:cs="Arial"/>
          <w:b/>
          <w:bCs/>
          <w:sz w:val="20"/>
          <w:szCs w:val="20"/>
        </w:rPr>
        <w:t>Fig. S4.</w:t>
      </w:r>
      <w:r>
        <w:rPr>
          <w:rFonts w:ascii="Times New Roman" w:hAnsi="Times New Roman" w:cs="Times New Roman"/>
          <w:sz w:val="20"/>
          <w:szCs w:val="20"/>
        </w:rPr>
        <w:t xml:space="preserve"> </w:t>
      </w:r>
      <w:r>
        <w:rPr>
          <w:rFonts w:ascii="Times New Roman" w:hAnsi="Times New Roman" w:eastAsia="宋体" w:cs="Times New Roman"/>
          <w:sz w:val="20"/>
          <w:szCs w:val="20"/>
          <w:lang w:bidi="ar"/>
        </w:rPr>
        <w:t xml:space="preserve">The (a) TG and (b) DTG curves of the composite </w:t>
      </w:r>
      <w:r>
        <w:rPr>
          <w:rFonts w:hint="eastAsia" w:ascii="Times New Roman" w:hAnsi="Times New Roman" w:cs="Times New Roman"/>
          <w:sz w:val="20"/>
          <w:szCs w:val="20"/>
          <w:lang w:bidi="ar"/>
        </w:rPr>
        <w:t>gel</w:t>
      </w:r>
      <w:r>
        <w:rPr>
          <w:rFonts w:ascii="Times New Roman" w:hAnsi="Times New Roman" w:eastAsia="宋体" w:cs="Times New Roman"/>
          <w:sz w:val="20"/>
          <w:szCs w:val="20"/>
          <w:lang w:bidi="ar"/>
        </w:rPr>
        <w:t xml:space="preserve"> DE/CS-PEI@SA</w:t>
      </w:r>
      <w:r>
        <w:rPr>
          <w:rFonts w:hint="eastAsia" w:ascii="Times New Roman" w:hAnsi="Times New Roman" w:cs="Times New Roman"/>
          <w:sz w:val="20"/>
          <w:szCs w:val="20"/>
          <w:lang w:bidi="ar"/>
        </w:rPr>
        <w:t xml:space="preserve"> and after the adso</w:t>
      </w:r>
      <w:r>
        <w:rPr>
          <w:rFonts w:ascii="Times New Roman" w:hAnsi="Times New Roman" w:cs="Times New Roman"/>
          <w:sz w:val="20"/>
          <w:szCs w:val="20"/>
          <w:lang w:bidi="ar"/>
        </w:rPr>
        <w:t>r</w:t>
      </w:r>
      <w:r>
        <w:rPr>
          <w:rFonts w:hint="eastAsia" w:ascii="Times New Roman" w:hAnsi="Times New Roman" w:cs="Times New Roman"/>
          <w:sz w:val="20"/>
          <w:szCs w:val="20"/>
          <w:lang w:bidi="ar"/>
        </w:rPr>
        <w:t>ption</w:t>
      </w:r>
      <w:r>
        <w:rPr>
          <w:rFonts w:ascii="Times New Roman" w:hAnsi="Times New Roman" w:eastAsia="宋体" w:cs="Times New Roman"/>
          <w:sz w:val="20"/>
          <w:szCs w:val="20"/>
        </w:rPr>
        <w:t xml:space="preserve"> of</w:t>
      </w:r>
      <w:r>
        <w:rPr>
          <w:rFonts w:ascii="Times New Roman" w:hAnsi="Times New Roman" w:cs="Times New Roman"/>
          <w:sz w:val="20"/>
          <w:szCs w:val="20"/>
        </w:rPr>
        <w:t xml:space="preserve"> </w:t>
      </w:r>
      <w:r>
        <w:rPr>
          <w:rFonts w:hint="eastAsia" w:ascii="Times New Roman" w:hAnsi="Times New Roman" w:cs="Times New Roman"/>
          <w:sz w:val="20"/>
          <w:szCs w:val="20"/>
        </w:rPr>
        <w:t xml:space="preserve">Cu(II) </w:t>
      </w:r>
      <w:r>
        <w:rPr>
          <w:rFonts w:ascii="Times New Roman" w:hAnsi="Times New Roman" w:cs="Times New Roman"/>
          <w:sz w:val="20"/>
          <w:szCs w:val="20"/>
        </w:rPr>
        <w:t>and</w:t>
      </w:r>
      <w:r>
        <w:rPr>
          <w:rFonts w:ascii="Times New Roman" w:hAnsi="Times New Roman" w:eastAsia="宋体" w:cs="Times New Roman"/>
          <w:sz w:val="20"/>
          <w:szCs w:val="20"/>
        </w:rPr>
        <w:t xml:space="preserve"> </w:t>
      </w:r>
      <w:r>
        <w:rPr>
          <w:rFonts w:hint="eastAsia" w:ascii="Times New Roman" w:hAnsi="Times New Roman" w:cs="Times New Roman"/>
          <w:sz w:val="20"/>
          <w:szCs w:val="20"/>
        </w:rPr>
        <w:t>Pb(II)</w:t>
      </w:r>
      <w:r>
        <w:rPr>
          <w:rFonts w:ascii="Times New Roman" w:hAnsi="Times New Roman" w:eastAsia="宋体" w:cs="Times New Roman"/>
          <w:sz w:val="20"/>
          <w:szCs w:val="20"/>
        </w:rPr>
        <w:t>.</w:t>
      </w:r>
    </w:p>
    <w:bookmarkEnd w:id="4"/>
    <w:p w14:paraId="0837E439">
      <w:pPr>
        <w:spacing w:line="360" w:lineRule="auto"/>
        <w:rPr>
          <w:rFonts w:cs="Times New Roman"/>
          <w:i w:val="0"/>
          <w:iCs w:val="0"/>
          <w:sz w:val="18"/>
          <w:szCs w:val="21"/>
        </w:rPr>
      </w:pPr>
      <w:r>
        <w:rPr>
          <w:rFonts w:hint="default" w:ascii="Arial" w:hAnsi="Arial" w:eastAsia="MS Mincho" w:cs="Arial"/>
          <w:b/>
          <w:bCs/>
          <w:i w:val="0"/>
          <w:iCs/>
          <w:sz w:val="20"/>
          <w:szCs w:val="20"/>
          <w:lang w:bidi="ar"/>
        </w:rPr>
        <w:t>Adsorption performance and kinetics</w:t>
      </w:r>
    </w:p>
    <w:p w14:paraId="633B0E6F">
      <w:pPr>
        <w:spacing w:line="360" w:lineRule="auto"/>
        <w:rPr>
          <w:sz w:val="20"/>
          <w:szCs w:val="20"/>
        </w:rPr>
      </w:pPr>
      <w:r>
        <w:drawing>
          <wp:inline distT="0" distB="0" distL="0" distR="0">
            <wp:extent cx="5274310" cy="223012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2230120"/>
                    </a:xfrm>
                    <a:prstGeom prst="rect">
                      <a:avLst/>
                    </a:prstGeom>
                    <a:noFill/>
                    <a:ln>
                      <a:noFill/>
                    </a:ln>
                  </pic:spPr>
                </pic:pic>
              </a:graphicData>
            </a:graphic>
          </wp:inline>
        </w:drawing>
      </w:r>
      <w:r>
        <w:rPr>
          <w:rFonts w:hint="default" w:ascii="Arial" w:hAnsi="Arial" w:cs="Arial"/>
          <w:b/>
          <w:bCs/>
          <w:sz w:val="20"/>
          <w:szCs w:val="20"/>
        </w:rPr>
        <w:t>Fig. S5.</w:t>
      </w:r>
      <w:r>
        <w:rPr>
          <w:rFonts w:ascii="Times New Roman" w:hAnsi="Times New Roman" w:cs="Times New Roman"/>
          <w:sz w:val="20"/>
          <w:szCs w:val="20"/>
        </w:rPr>
        <w:t xml:space="preserve"> </w:t>
      </w:r>
      <w:r>
        <w:rPr>
          <w:rFonts w:ascii="Times New Roman" w:hAnsi="Times New Roman" w:eastAsia="宋体" w:cs="Times New Roman"/>
          <w:sz w:val="20"/>
          <w:szCs w:val="20"/>
          <w:lang w:bidi="ar"/>
        </w:rPr>
        <w:t>The</w:t>
      </w:r>
      <w:r>
        <w:rPr>
          <w:rFonts w:hint="eastAsia" w:ascii="Times New Roman" w:hAnsi="Times New Roman" w:cs="Times New Roman"/>
          <w:sz w:val="20"/>
          <w:szCs w:val="20"/>
          <w:lang w:bidi="ar"/>
        </w:rPr>
        <w:t xml:space="preserve"> </w:t>
      </w:r>
      <w:r>
        <w:rPr>
          <w:rFonts w:ascii="Times New Roman" w:hAnsi="Times New Roman" w:eastAsia="宋体" w:cs="Times New Roman"/>
          <w:sz w:val="20"/>
          <w:szCs w:val="20"/>
          <w:lang w:bidi="ar"/>
        </w:rPr>
        <w:t xml:space="preserve">Cu(II) and Pb(II) adsorption </w:t>
      </w:r>
      <w:r>
        <w:rPr>
          <w:rFonts w:hint="eastAsia" w:ascii="Times New Roman" w:hAnsi="Times New Roman" w:cs="Times New Roman"/>
          <w:sz w:val="20"/>
          <w:szCs w:val="20"/>
          <w:lang w:bidi="ar"/>
        </w:rPr>
        <w:t>performance</w:t>
      </w:r>
      <w:r>
        <w:rPr>
          <w:rFonts w:ascii="Times New Roman" w:hAnsi="Times New Roman" w:eastAsia="宋体" w:cs="Times New Roman"/>
          <w:sz w:val="20"/>
          <w:szCs w:val="20"/>
          <w:lang w:bidi="ar"/>
        </w:rPr>
        <w:t xml:space="preserve">s of </w:t>
      </w:r>
      <w:r>
        <w:rPr>
          <w:rFonts w:hint="eastAsia" w:ascii="Times New Roman" w:hAnsi="Times New Roman" w:cs="Times New Roman"/>
          <w:sz w:val="20"/>
          <w:szCs w:val="20"/>
          <w:lang w:bidi="ar"/>
        </w:rPr>
        <w:t>raw materials DE, CS, SA,</w:t>
      </w:r>
      <w:r>
        <w:rPr>
          <w:rFonts w:ascii="Times New Roman" w:hAnsi="Times New Roman" w:cs="Times New Roman"/>
          <w:sz w:val="20"/>
          <w:szCs w:val="20"/>
          <w:lang w:bidi="ar"/>
        </w:rPr>
        <w:t xml:space="preserve"> </w:t>
      </w:r>
      <w:r>
        <w:rPr>
          <w:rFonts w:hint="eastAsia" w:ascii="Times New Roman" w:hAnsi="Times New Roman" w:cs="Times New Roman"/>
          <w:sz w:val="20"/>
          <w:szCs w:val="20"/>
          <w:lang w:bidi="ar"/>
        </w:rPr>
        <w:t xml:space="preserve">and </w:t>
      </w:r>
      <w:r>
        <w:rPr>
          <w:rFonts w:ascii="Times New Roman" w:hAnsi="Times New Roman" w:eastAsia="宋体" w:cs="Times New Roman"/>
          <w:sz w:val="20"/>
          <w:szCs w:val="20"/>
          <w:lang w:bidi="ar"/>
        </w:rPr>
        <w:t>composite gel</w:t>
      </w:r>
      <w:r>
        <w:rPr>
          <w:rFonts w:hint="eastAsia" w:ascii="Times New Roman" w:hAnsi="Times New Roman" w:cs="Times New Roman"/>
          <w:sz w:val="20"/>
          <w:szCs w:val="20"/>
          <w:lang w:bidi="ar"/>
        </w:rPr>
        <w:t xml:space="preserve"> </w:t>
      </w:r>
      <w:r>
        <w:rPr>
          <w:rFonts w:ascii="Times New Roman" w:hAnsi="Times New Roman" w:eastAsia="宋体" w:cs="Times New Roman"/>
          <w:sz w:val="20"/>
          <w:szCs w:val="20"/>
          <w:lang w:bidi="ar"/>
        </w:rPr>
        <w:t>DE/CS-PEI@SA.</w:t>
      </w:r>
    </w:p>
    <w:p w14:paraId="6BA5AD36">
      <w:pPr>
        <w:spacing w:line="360" w:lineRule="auto"/>
        <w:rPr>
          <w:rFonts w:ascii="Times New Roman" w:hAnsi="Times New Roman" w:eastAsia="宋体" w:cs="Times New Roman"/>
          <w:sz w:val="20"/>
          <w:szCs w:val="20"/>
          <w:lang w:bidi="ar"/>
        </w:rPr>
      </w:pPr>
      <w:r>
        <w:drawing>
          <wp:inline distT="0" distB="0" distL="0" distR="0">
            <wp:extent cx="5274310" cy="4168140"/>
            <wp:effectExtent l="0" t="0" r="2540"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4168140"/>
                    </a:xfrm>
                    <a:prstGeom prst="rect">
                      <a:avLst/>
                    </a:prstGeom>
                    <a:noFill/>
                    <a:ln>
                      <a:noFill/>
                    </a:ln>
                  </pic:spPr>
                </pic:pic>
              </a:graphicData>
            </a:graphic>
          </wp:inline>
        </w:drawing>
      </w:r>
      <w:r>
        <w:rPr>
          <w:rFonts w:hint="default" w:ascii="Arial" w:hAnsi="Arial" w:cs="Arial"/>
          <w:b/>
          <w:bCs/>
          <w:sz w:val="20"/>
          <w:szCs w:val="20"/>
        </w:rPr>
        <w:t>Fig. S6.</w:t>
      </w:r>
      <w:r>
        <w:rPr>
          <w:rFonts w:hint="default" w:ascii="Arial" w:hAnsi="Arial" w:cs="Arial"/>
          <w:sz w:val="20"/>
          <w:szCs w:val="20"/>
        </w:rPr>
        <w:t xml:space="preserve"> </w:t>
      </w:r>
      <w:r>
        <w:rPr>
          <w:rFonts w:ascii="Times New Roman" w:hAnsi="Times New Roman" w:eastAsia="宋体" w:cs="Times New Roman"/>
          <w:sz w:val="20"/>
          <w:szCs w:val="20"/>
          <w:lang w:bidi="ar"/>
        </w:rPr>
        <w:t>The</w:t>
      </w:r>
      <w:r>
        <w:rPr>
          <w:rFonts w:hint="eastAsia" w:ascii="Times New Roman" w:hAnsi="Times New Roman" w:cs="Times New Roman"/>
          <w:sz w:val="20"/>
          <w:szCs w:val="20"/>
          <w:lang w:bidi="ar"/>
        </w:rPr>
        <w:t xml:space="preserve"> </w:t>
      </w:r>
      <w:r>
        <w:rPr>
          <w:rFonts w:ascii="Times New Roman" w:hAnsi="Times New Roman" w:eastAsia="宋体" w:cs="Times New Roman"/>
          <w:sz w:val="20"/>
          <w:szCs w:val="20"/>
          <w:lang w:bidi="ar"/>
        </w:rPr>
        <w:t xml:space="preserve">Cu(II) and Pb(II) adsorption </w:t>
      </w:r>
      <w:r>
        <w:rPr>
          <w:rFonts w:hint="eastAsia" w:ascii="Times New Roman" w:hAnsi="Times New Roman" w:cs="Times New Roman"/>
          <w:sz w:val="20"/>
          <w:szCs w:val="20"/>
          <w:lang w:bidi="ar"/>
        </w:rPr>
        <w:t>performance</w:t>
      </w:r>
      <w:r>
        <w:rPr>
          <w:rFonts w:ascii="Times New Roman" w:hAnsi="Times New Roman" w:eastAsia="宋体" w:cs="Times New Roman"/>
          <w:sz w:val="20"/>
          <w:szCs w:val="20"/>
          <w:lang w:bidi="ar"/>
        </w:rPr>
        <w:t xml:space="preserve">s of </w:t>
      </w:r>
      <w:r>
        <w:rPr>
          <w:rFonts w:hint="eastAsia" w:ascii="Times New Roman" w:hAnsi="Times New Roman" w:cs="Times New Roman"/>
          <w:sz w:val="20"/>
          <w:szCs w:val="20"/>
          <w:lang w:bidi="ar"/>
        </w:rPr>
        <w:t>different</w:t>
      </w:r>
      <w:r>
        <w:rPr>
          <w:rFonts w:ascii="Times New Roman" w:hAnsi="Times New Roman" w:eastAsia="宋体" w:cs="Times New Roman"/>
          <w:sz w:val="20"/>
          <w:szCs w:val="20"/>
          <w:lang w:bidi="ar"/>
        </w:rPr>
        <w:t xml:space="preserve"> co</w:t>
      </w:r>
      <w:r>
        <w:rPr>
          <w:rFonts w:hint="eastAsia" w:ascii="Times New Roman" w:hAnsi="Times New Roman" w:cs="Times New Roman"/>
          <w:sz w:val="20"/>
          <w:szCs w:val="20"/>
          <w:lang w:bidi="ar"/>
        </w:rPr>
        <w:t xml:space="preserve">mposition of </w:t>
      </w:r>
      <w:r>
        <w:rPr>
          <w:rFonts w:ascii="Times New Roman" w:hAnsi="Times New Roman" w:eastAsia="宋体" w:cs="Times New Roman"/>
          <w:sz w:val="20"/>
          <w:szCs w:val="20"/>
          <w:lang w:bidi="ar"/>
        </w:rPr>
        <w:t>composite gel</w:t>
      </w:r>
      <w:r>
        <w:rPr>
          <w:rFonts w:hint="eastAsia" w:ascii="Times New Roman" w:hAnsi="Times New Roman" w:cs="Times New Roman"/>
          <w:sz w:val="20"/>
          <w:szCs w:val="20"/>
          <w:lang w:bidi="ar"/>
        </w:rPr>
        <w:t xml:space="preserve"> </w:t>
      </w:r>
      <w:r>
        <w:rPr>
          <w:rFonts w:ascii="Times New Roman" w:hAnsi="Times New Roman" w:eastAsia="宋体" w:cs="Times New Roman"/>
          <w:sz w:val="20"/>
          <w:szCs w:val="20"/>
          <w:lang w:bidi="ar"/>
        </w:rPr>
        <w:t>DE/CS-PEI@SA</w:t>
      </w:r>
      <w:r>
        <w:rPr>
          <w:rFonts w:hint="eastAsia" w:ascii="Times New Roman" w:hAnsi="Times New Roman" w:cs="Times New Roman"/>
          <w:sz w:val="20"/>
          <w:szCs w:val="20"/>
          <w:lang w:bidi="ar"/>
        </w:rPr>
        <w:t>, (a)</w:t>
      </w:r>
      <w:r>
        <w:rPr>
          <w:rFonts w:ascii="Times New Roman" w:hAnsi="Times New Roman" w:eastAsia="宋体" w:cs="Times New Roman"/>
          <w:sz w:val="20"/>
          <w:szCs w:val="20"/>
          <w:lang w:bidi="ar"/>
        </w:rPr>
        <w:t xml:space="preserve"> and (</w:t>
      </w:r>
      <w:r>
        <w:rPr>
          <w:rFonts w:hint="eastAsia" w:ascii="Times New Roman" w:hAnsi="Times New Roman" w:cs="Times New Roman"/>
          <w:sz w:val="20"/>
          <w:szCs w:val="20"/>
          <w:lang w:bidi="ar"/>
        </w:rPr>
        <w:t>c</w:t>
      </w:r>
      <w:r>
        <w:rPr>
          <w:rFonts w:ascii="Times New Roman" w:hAnsi="Times New Roman" w:eastAsia="宋体" w:cs="Times New Roman"/>
          <w:sz w:val="20"/>
          <w:szCs w:val="20"/>
          <w:lang w:bidi="ar"/>
        </w:rPr>
        <w:t xml:space="preserve">) </w:t>
      </w:r>
      <w:r>
        <w:rPr>
          <w:rFonts w:hint="eastAsia" w:ascii="Times New Roman" w:hAnsi="Times New Roman" w:cs="Times New Roman"/>
          <w:sz w:val="20"/>
          <w:szCs w:val="20"/>
          <w:lang w:bidi="ar"/>
        </w:rPr>
        <w:t>different PEI amount</w:t>
      </w:r>
      <w:r>
        <w:rPr>
          <w:rFonts w:ascii="Times New Roman" w:hAnsi="Times New Roman" w:eastAsia="宋体" w:cs="Times New Roman"/>
          <w:sz w:val="20"/>
          <w:szCs w:val="20"/>
          <w:lang w:bidi="ar"/>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楷体">
    <w:panose1 w:val="02010609060101010101"/>
    <w:charset w:val="86"/>
    <w:family w:val="auto"/>
    <w:pitch w:val="default"/>
    <w:sig w:usb0="800002BF" w:usb1="38CF7CFA" w:usb2="00000016" w:usb3="00000000" w:csb0="00040001" w:csb1="00000000"/>
  </w:font>
  <w:font w:name="HP Simplified Hans">
    <w:panose1 w:val="020B0500000000000000"/>
    <w:charset w:val="86"/>
    <w:family w:val="auto"/>
    <w:pitch w:val="default"/>
    <w:sig w:usb0="A00002BF" w:usb1="38CF7CFA" w:usb2="00000016" w:usb3="00000000" w:csb0="2004011D" w:csb1="41000000"/>
  </w:font>
  <w:font w:name="Meiryo">
    <w:panose1 w:val="020B0604030504040204"/>
    <w:charset w:val="80"/>
    <w:family w:val="auto"/>
    <w:pitch w:val="default"/>
    <w:sig w:usb0="E10102FF" w:usb1="EAC7FFFF" w:usb2="00010012" w:usb3="00000000" w:csb0="6002009F" w:csb1="DFD70000"/>
  </w:font>
  <w:font w:name="Microsoft JhengHei Light">
    <w:panose1 w:val="020B0304030504040204"/>
    <w:charset w:val="88"/>
    <w:family w:val="auto"/>
    <w:pitch w:val="default"/>
    <w:sig w:usb0="800002A7" w:usb1="28CF4400" w:usb2="00000016" w:usb3="00000000" w:csb0="00100009" w:csb1="00000000"/>
  </w:font>
  <w:font w:name="SimSun-ExtB">
    <w:panose1 w:val="02010609060101010101"/>
    <w:charset w:val="86"/>
    <w:family w:val="auto"/>
    <w:pitch w:val="default"/>
    <w:sig w:usb0="00000001" w:usb1="02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I0ZjU0MTVlYzEzMzc0ZDMxYmQzOWEwYWVhYTFlODEifQ=="/>
    <w:docVar w:name="EN.InstantFormat" w:val="&lt;ENInstantFormat&gt;&lt;Enabled&gt;1&lt;/Enabled&gt;&lt;ScanUnformatted&gt;1&lt;/ScanUnformatted&gt;&lt;ScanChanges&gt;1&lt;/ScanChanges&gt;&lt;Suspended&gt;1&lt;/Suspended&gt;&lt;/ENInstantFormat&gt;"/>
  </w:docVars>
  <w:rsids>
    <w:rsidRoot w:val="00B52A91"/>
    <w:rsid w:val="000306BA"/>
    <w:rsid w:val="001529CE"/>
    <w:rsid w:val="002E613B"/>
    <w:rsid w:val="003957DE"/>
    <w:rsid w:val="003B29E7"/>
    <w:rsid w:val="004A753D"/>
    <w:rsid w:val="005D1542"/>
    <w:rsid w:val="006F4FA7"/>
    <w:rsid w:val="007A684A"/>
    <w:rsid w:val="007F3802"/>
    <w:rsid w:val="00916C21"/>
    <w:rsid w:val="009738B6"/>
    <w:rsid w:val="00A6089B"/>
    <w:rsid w:val="00B52A91"/>
    <w:rsid w:val="00BB0301"/>
    <w:rsid w:val="00C0792F"/>
    <w:rsid w:val="00DB3377"/>
    <w:rsid w:val="00F540A8"/>
    <w:rsid w:val="05F5671A"/>
    <w:rsid w:val="07441236"/>
    <w:rsid w:val="1DB83A1E"/>
    <w:rsid w:val="2EC5574B"/>
    <w:rsid w:val="3C771FCD"/>
    <w:rsid w:val="442C4D88"/>
    <w:rsid w:val="48E96000"/>
    <w:rsid w:val="50080E30"/>
    <w:rsid w:val="5043693E"/>
    <w:rsid w:val="54D77655"/>
    <w:rsid w:val="5D1B115D"/>
    <w:rsid w:val="5F0E0117"/>
    <w:rsid w:val="61CF3FA5"/>
    <w:rsid w:val="77A96E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EndNote Bibliography Title"/>
    <w:basedOn w:val="1"/>
    <w:link w:val="9"/>
    <w:qFormat/>
    <w:uiPriority w:val="0"/>
    <w:pPr>
      <w:jc w:val="center"/>
    </w:pPr>
    <w:rPr>
      <w:rFonts w:ascii="Calibri" w:hAnsi="Calibri" w:cs="Calibri"/>
      <w:sz w:val="20"/>
    </w:rPr>
  </w:style>
  <w:style w:type="character" w:customStyle="1" w:styleId="9">
    <w:name w:val="EndNote Bibliography Title 字符"/>
    <w:basedOn w:val="5"/>
    <w:link w:val="8"/>
    <w:qFormat/>
    <w:uiPriority w:val="0"/>
    <w:rPr>
      <w:rFonts w:ascii="Calibri" w:hAnsi="Calibri" w:cs="Calibri"/>
      <w:sz w:val="20"/>
    </w:rPr>
  </w:style>
  <w:style w:type="paragraph" w:customStyle="1" w:styleId="10">
    <w:name w:val="EndNote Bibliography"/>
    <w:basedOn w:val="1"/>
    <w:link w:val="11"/>
    <w:qFormat/>
    <w:uiPriority w:val="0"/>
    <w:rPr>
      <w:rFonts w:ascii="Calibri" w:hAnsi="Calibri" w:cs="Calibri"/>
      <w:sz w:val="20"/>
    </w:rPr>
  </w:style>
  <w:style w:type="character" w:customStyle="1" w:styleId="11">
    <w:name w:val="EndNote Bibliography 字符"/>
    <w:basedOn w:val="5"/>
    <w:link w:val="10"/>
    <w:qFormat/>
    <w:uiPriority w:val="0"/>
    <w:rPr>
      <w:rFonts w:ascii="Calibri" w:hAnsi="Calibri" w:cs="Calibri"/>
      <w:sz w:val="20"/>
    </w:rPr>
  </w:style>
  <w:style w:type="paragraph" w:styleId="12">
    <w:name w:val="List Paragraph"/>
    <w:basedOn w:val="1"/>
    <w:qFormat/>
    <w:uiPriority w:val="34"/>
    <w:pPr>
      <w:ind w:firstLine="420" w:firstLineChars="200"/>
    </w:pPr>
  </w:style>
  <w:style w:type="table" w:customStyle="1" w:styleId="13">
    <w:name w:val="网格型1"/>
    <w:basedOn w:val="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315</Words>
  <Characters>1751</Characters>
  <Lines>14</Lines>
  <Paragraphs>4</Paragraphs>
  <TotalTime>18</TotalTime>
  <ScaleCrop>false</ScaleCrop>
  <LinksUpToDate>false</LinksUpToDate>
  <CharactersWithSpaces>2012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2022-07-27T09:36:00Z</dcterms:created>
  <dc:creator>793484384@qq.com</dc:creator>
  <cp:lastModifiedBy>梦群</cp:lastModifiedBy>
  <dcterms:modified xsi:type="dcterms:W3CDTF">2024-08-12T03:09:22Z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EDF4E409256D4B89A3A021BFB7C253A8_12</vt:lpwstr>
  </property>
</Properties>
</file>