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863" w:rsidRPr="007E7272" w:rsidRDefault="00000863" w:rsidP="00000863">
      <w:pPr>
        <w:pStyle w:val="Heading1"/>
        <w:ind w:left="425" w:right="425"/>
        <w:rPr>
          <w:rFonts w:ascii="Times New Roman" w:hAnsi="Times New Roman"/>
          <w:szCs w:val="21"/>
          <w:highlight w:val="red"/>
        </w:rPr>
      </w:pPr>
      <w:bookmarkStart w:id="0" w:name="_GoBack"/>
      <w:r w:rsidRPr="007E7272">
        <w:rPr>
          <w:rFonts w:ascii="Times New Roman" w:hAnsi="Times New Roman"/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4A502510" wp14:editId="7FAAA5DC">
            <wp:simplePos x="0" y="0"/>
            <wp:positionH relativeFrom="column">
              <wp:posOffset>692150</wp:posOffset>
            </wp:positionH>
            <wp:positionV relativeFrom="paragraph">
              <wp:posOffset>487680</wp:posOffset>
            </wp:positionV>
            <wp:extent cx="4821555" cy="2759710"/>
            <wp:effectExtent l="0" t="0" r="0" b="0"/>
            <wp:wrapTopAndBottom/>
            <wp:docPr id="4" name="图表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 w:rsidRPr="007E7272">
        <w:rPr>
          <w:rFonts w:ascii="Times New Roman" w:hAnsi="Times New Roman"/>
        </w:rPr>
        <w:t>Appendix A</w:t>
      </w:r>
    </w:p>
    <w:p w:rsidR="00000863" w:rsidRPr="008800A8" w:rsidRDefault="00000863" w:rsidP="00000863">
      <w:pPr>
        <w:pStyle w:val="MDPI51figurecaption"/>
        <w:ind w:left="425" w:right="425"/>
        <w:jc w:val="center"/>
        <w:rPr>
          <w:rFonts w:ascii="Times New Roman" w:hAnsi="Times New Roman"/>
        </w:rPr>
      </w:pPr>
      <w:bookmarkStart w:id="1" w:name="OLE_LINK52"/>
      <w:bookmarkEnd w:id="0"/>
      <w:r w:rsidRPr="00F27354">
        <w:rPr>
          <w:rFonts w:ascii="Times New Roman" w:hAnsi="Times New Roman"/>
          <w:b/>
          <w:bCs/>
          <w:sz w:val="20"/>
        </w:rPr>
        <w:t xml:space="preserve">Figure A1. </w:t>
      </w:r>
      <w:r w:rsidRPr="00F27354">
        <w:rPr>
          <w:rFonts w:ascii="Times New Roman" w:hAnsi="Times New Roman"/>
          <w:sz w:val="20"/>
        </w:rPr>
        <w:t>The undesired output/desired output in six regions of China.</w:t>
      </w:r>
      <w:bookmarkEnd w:id="1"/>
    </w:p>
    <w:p w:rsidR="00000863" w:rsidRPr="00F27354" w:rsidRDefault="00000863" w:rsidP="00000863">
      <w:pPr>
        <w:pStyle w:val="MDPI51figurecaption"/>
        <w:ind w:left="425" w:right="425"/>
        <w:rPr>
          <w:rFonts w:ascii="Times New Roman" w:hAnsi="Times New Roman"/>
          <w:sz w:val="20"/>
        </w:rPr>
      </w:pPr>
      <w:bookmarkStart w:id="2" w:name="OLE_LINK53"/>
      <w:r w:rsidRPr="00F27354">
        <w:rPr>
          <w:rFonts w:ascii="Times New Roman" w:hAnsi="Times New Roman"/>
          <w:b/>
          <w:bCs/>
          <w:sz w:val="20"/>
        </w:rPr>
        <w:t>Table A</w:t>
      </w:r>
      <w:proofErr w:type="gramStart"/>
      <w:r w:rsidRPr="00F27354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 xml:space="preserve"> </w:t>
      </w:r>
      <w:r w:rsidRPr="00F27354">
        <w:rPr>
          <w:rFonts w:ascii="Times New Roman" w:hAnsi="Times New Roman"/>
          <w:b/>
          <w:bCs/>
          <w:sz w:val="20"/>
        </w:rPr>
        <w:t xml:space="preserve"> </w:t>
      </w:r>
      <w:r w:rsidRPr="00F27354">
        <w:rPr>
          <w:rFonts w:ascii="Times New Roman" w:hAnsi="Times New Roman"/>
          <w:sz w:val="20"/>
        </w:rPr>
        <w:t>The</w:t>
      </w:r>
      <w:proofErr w:type="gramEnd"/>
      <w:r w:rsidRPr="00F27354">
        <w:rPr>
          <w:rFonts w:ascii="Times New Roman" w:hAnsi="Times New Roman"/>
          <w:sz w:val="20"/>
        </w:rPr>
        <w:t xml:space="preserve"> eco-efficiency/TFP scores from the SBM model across 30 provinces in China, 2004–2018.</w:t>
      </w:r>
    </w:p>
    <w:tbl>
      <w:tblPr>
        <w:tblW w:w="9355" w:type="dxa"/>
        <w:tblInd w:w="426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</w:tblGrid>
      <w:tr w:rsidR="00000863" w:rsidRPr="007E7272" w:rsidTr="00AD254E">
        <w:tc>
          <w:tcPr>
            <w:tcW w:w="6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2"/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Province/Year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2004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2006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2008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2010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2012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2014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2016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2018</w:t>
            </w:r>
          </w:p>
        </w:tc>
        <w:tc>
          <w:tcPr>
            <w:tcW w:w="48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b/>
                <w:sz w:val="15"/>
                <w:szCs w:val="15"/>
              </w:rPr>
              <w:t>Ranks</w:t>
            </w:r>
          </w:p>
        </w:tc>
      </w:tr>
      <w:tr w:rsidR="00000863" w:rsidRPr="007E7272" w:rsidTr="00AD254E">
        <w:tc>
          <w:tcPr>
            <w:tcW w:w="6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Beijing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0.657/0.69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0.525/0.595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0.901/0.924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0.499/0.572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0.615/0.64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0.775/0.776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0.748/0.734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0.793/0.836</w:t>
            </w: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26/27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Tianjin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1.059/1.071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0.933/0.979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1.236/1.248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1.111/1.111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0.878/0.925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1.045/1.043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0.867/0.865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0.838/0.871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10/7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Hebei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0.836/0.885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0.793/0.852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1.054/1.053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1.075/1.077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1.049/1.048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1.044/1.044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0.968/1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1.03/1.03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20/17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Shanxi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0.79/0.825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0.914/0.931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0.866/0.938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0.872/0.891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0.798/0.897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0.973/0.996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0.953/0.98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0.781/0.836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23/21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Inner Mongolia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1.112/1.256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0.783/0.841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0.961/0.995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1.068/1.147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1.029/1.06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1.05/1.107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1.149/1.403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0.863/0.941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6/2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Liaoning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0.634/0.73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0.816/0.871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0.883/0.986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0.665/0.78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0.69/0.726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0.681/0.747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0.592/0.628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0.557/0.618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27/24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Jilin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0.706/0.693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0.842/0.928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0.761/0.842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0.653/0.76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0.695/0.785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0.711/0.801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0.649/0.715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0.627/0.658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24/26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Heilongjiang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0.921/0.952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0.844/0.929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0.8/0.869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0.705/0.77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0.723/0.73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1.004/0.931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1.011/0.942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0.935/0.981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13/11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Shanghai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1.355/1.138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1.206/0.877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1.222/1.058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1.34/1.052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1.206/0.869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1.164/1.055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1.209/0.719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1.079/1.002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2/4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Jiangsu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1.311/1.075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1.257/1.148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1.123/0.919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1.069/0.848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1.112/1.019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1.036/0.951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1.05/0.982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1.166/1.132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3/6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Zhejiang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1.078/0.954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0.845/0.782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1.039/0.952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0.935/0.737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1.021/0.841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1.036/0.913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1.102/0.961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1.068/1.012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8/10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Anhui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0.971/0.93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0.967/0.893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0.878/0.885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0.751/0.719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0.874/0.788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0.928/0.765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0.902/0.701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0.831/0.822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11/13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Fujian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1.081/1.031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1.155/1.136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0.984/1.038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1.088/0.957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0.996/0.952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0.971/0.884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1/0.919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1.176/1.185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7/9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Jiangxi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—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1.142/1.128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1.014/0.93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1.105/1.117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1.208/1.151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1.013/1.002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0.905/0.818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0.946/0.891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30/30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Shandong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0.904/0.843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1.026/0.981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1.152/0.941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1.079/0.813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1.124/0.863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1.115/0.816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1.194/1.016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1.339/1.028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16/20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Henan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0.802/0.732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0.712/0.719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0.665/0.659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0.827/0.673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0.791/0.619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1.021/0.8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0.709/0.677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0.809/0.813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22/23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Hubei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0.672/0.607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0.696/0.734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0.719/0.762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0.842/0.81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0.786/0.776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0.852/0.801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0.85/0.845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0.843/0.8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25/28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Hunan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1.249/1.247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0.918/0.919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0.94/0.979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0.906/0.931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1.038/1.066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1.222/1.249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1.142/1.186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1.136/1.192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4/3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Guangdong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0.911/0.772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0.868/0.872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0.811/0.835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0.758/0.752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0.785/0.747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0.908/0.824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0.74/0.701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0.926/0.898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14/22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Guangxi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0.937/0.844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0.928/0.837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0.878/0.844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1.018/0.949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0.986/0.936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1.091/1.022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1.112/1.074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1.19/1.16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12/19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Hainan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1.077/1.058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0.939/0.955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1.019/0.821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1.067/0.931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1.011/0.976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1.063/1.069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0.87/0.788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0.991/1.001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9/8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Chongqing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0.599/0.711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—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1.024/0.932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0.987/0.942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0.994/1.006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1.075/1.076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1.062/1.062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1.053/1.045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28/25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Sichuan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0.896/0.865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1.055/1.032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1.07/1.06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1.101/1.07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1.064/1.061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0.963/0.966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0.951/0.976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1.03/1.025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18/18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Guizhou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0.859/0.924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1.118/1.105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0.851/0.845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1.058/1.07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1.054/1.069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1.103/1.124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1.104/1.095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1.114/1.163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19/14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Yunnan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0.804/0.885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0.955/0.98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0.788/0.822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0.997/1.017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1.066/1.09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0.986/0.99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0.98/0.997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0.997/0.999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21/16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Shaanxi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0.905/0.915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0.945/0.991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0.951/0.964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1.026/1.041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0.781/0.811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0.786/0.806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0.935/0.933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0.862/0.891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15/15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Gansu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0.538/0.597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0.602/0.637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0.767/0.814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0.653/0.67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0.729/0.733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0.712/0.67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0.727/0.716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0.86/0.879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29/29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Qinghai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1.409/1.412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2.448/2.448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1.128/1.128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1.037/0.984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0.965/0.959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0.89/0.859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1.091/1.015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0.87/0.848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1/1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Ningxia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0.901/0.932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0.877/0.887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0.874/0.851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0.771/0.76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0.825/0.736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0.779/0.739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0.844/0.859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0.843/0.854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17/12</w:t>
            </w:r>
          </w:p>
        </w:tc>
      </w:tr>
      <w:tr w:rsidR="00000863" w:rsidRPr="007E7272" w:rsidTr="00AD254E">
        <w:tc>
          <w:tcPr>
            <w:tcW w:w="6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Xinjiang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1.115/1.107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0.875/0.895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0.876/0.911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0.716/0.691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1.066/1.107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0.663/0.615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0.815/0.815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1.017/1.007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5/5</w:t>
            </w:r>
          </w:p>
        </w:tc>
      </w:tr>
      <w:tr w:rsidR="00000863" w:rsidRPr="007E7272" w:rsidTr="00AD254E">
        <w:tc>
          <w:tcPr>
            <w:tcW w:w="68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Average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0.908/0.9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0.927/0.929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0.93/0.92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0.905/0.874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0.918/0.887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0.943/0.903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0.927/0.889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  <w:r w:rsidRPr="007E7272">
              <w:rPr>
                <w:rFonts w:ascii="Times New Roman" w:eastAsia="DengXian" w:hAnsi="Times New Roman"/>
                <w:sz w:val="15"/>
                <w:szCs w:val="15"/>
              </w:rPr>
              <w:t>0.937/0.936</w:t>
            </w:r>
          </w:p>
        </w:tc>
        <w:tc>
          <w:tcPr>
            <w:tcW w:w="48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5"/>
                <w:szCs w:val="15"/>
              </w:rPr>
            </w:pPr>
          </w:p>
        </w:tc>
      </w:tr>
    </w:tbl>
    <w:p w:rsidR="00000863" w:rsidRPr="007E7272" w:rsidRDefault="00000863" w:rsidP="00000863">
      <w:pPr>
        <w:pStyle w:val="MDPI43tablefooter"/>
        <w:spacing w:after="0"/>
        <w:ind w:left="425" w:right="425"/>
        <w:rPr>
          <w:rFonts w:ascii="Times New Roman" w:hAnsi="Times New Roman" w:cs="Times New Roman"/>
        </w:rPr>
      </w:pPr>
      <w:r w:rsidRPr="007E7272">
        <w:rPr>
          <w:rFonts w:ascii="Times New Roman" w:hAnsi="Times New Roman" w:cs="Times New Roman"/>
        </w:rPr>
        <w:t xml:space="preserve">“—” means no data. </w:t>
      </w:r>
    </w:p>
    <w:p w:rsidR="00000863" w:rsidRPr="007E7272" w:rsidRDefault="00000863" w:rsidP="00000863">
      <w:pPr>
        <w:pStyle w:val="MDPI43tablefooter"/>
        <w:spacing w:after="0"/>
        <w:ind w:left="425" w:right="425"/>
        <w:rPr>
          <w:rFonts w:ascii="Times New Roman" w:hAnsi="Times New Roman" w:cs="Times New Roman"/>
        </w:rPr>
      </w:pPr>
      <w:r w:rsidRPr="007E7272">
        <w:rPr>
          <w:rFonts w:ascii="Times New Roman" w:hAnsi="Times New Roman" w:cs="Times New Roman"/>
        </w:rPr>
        <w:t xml:space="preserve">The absence of statistical data in some provinces results in the absence of efficiency values. </w:t>
      </w:r>
    </w:p>
    <w:p w:rsidR="00000863" w:rsidRPr="007E7272" w:rsidRDefault="00000863" w:rsidP="00000863">
      <w:pPr>
        <w:pStyle w:val="MDPI43tablefooter"/>
        <w:ind w:left="425" w:right="425"/>
        <w:rPr>
          <w:rFonts w:ascii="Times New Roman" w:hAnsi="Times New Roman" w:cs="Times New Roman"/>
        </w:rPr>
      </w:pPr>
      <w:r w:rsidRPr="007E7272">
        <w:rPr>
          <w:rFonts w:ascii="Times New Roman" w:hAnsi="Times New Roman" w:cs="Times New Roman"/>
        </w:rPr>
        <w:t>There is a great variation in eco-efficiency across provinces, ranging from 0.557 to 1.19 with a mean value of 0.937 in 2018. And the overall average eco-efficiency increased from 2004 to 2018.</w:t>
      </w:r>
    </w:p>
    <w:p w:rsidR="00000863" w:rsidRPr="00F27354" w:rsidRDefault="00000863" w:rsidP="00000863">
      <w:pPr>
        <w:pStyle w:val="MDPI41tablecaption"/>
        <w:ind w:left="425" w:right="425"/>
        <w:rPr>
          <w:rFonts w:ascii="Times New Roman" w:hAnsi="Times New Roman" w:cs="Times New Roman"/>
          <w:sz w:val="20"/>
          <w:szCs w:val="20"/>
        </w:rPr>
      </w:pPr>
      <w:bookmarkStart w:id="3" w:name="OLE_LINK54"/>
      <w:r w:rsidRPr="00F27354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A</w:t>
      </w:r>
      <w:proofErr w:type="gramStart"/>
      <w:r w:rsidRPr="00F27354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2735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27354">
        <w:rPr>
          <w:rFonts w:ascii="Times New Roman" w:hAnsi="Times New Roman" w:cs="Times New Roman"/>
          <w:sz w:val="20"/>
          <w:szCs w:val="20"/>
        </w:rPr>
        <w:t>Regression</w:t>
      </w:r>
      <w:proofErr w:type="gramEnd"/>
      <w:r w:rsidRPr="00F27354">
        <w:rPr>
          <w:rFonts w:ascii="Times New Roman" w:hAnsi="Times New Roman" w:cs="Times New Roman"/>
          <w:sz w:val="20"/>
          <w:szCs w:val="20"/>
        </w:rPr>
        <w:t xml:space="preserve"> analysis on the price, technical efficiency,</w:t>
      </w:r>
      <w:bookmarkEnd w:id="3"/>
      <w:r w:rsidRPr="00F27354">
        <w:rPr>
          <w:rFonts w:ascii="Times New Roman" w:hAnsi="Times New Roman" w:cs="Times New Roman"/>
          <w:sz w:val="20"/>
          <w:szCs w:val="20"/>
        </w:rPr>
        <w:t xml:space="preserve"> and technical progress index of hog production.</w:t>
      </w:r>
    </w:p>
    <w:tbl>
      <w:tblPr>
        <w:tblW w:w="4605" w:type="pct"/>
        <w:tblInd w:w="426" w:type="dxa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2155"/>
        <w:gridCol w:w="2155"/>
        <w:gridCol w:w="2155"/>
      </w:tblGrid>
      <w:tr w:rsidR="00000863" w:rsidRPr="007E7272" w:rsidTr="00AD254E">
        <w:tc>
          <w:tcPr>
            <w:tcW w:w="125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 xml:space="preserve">　</w:t>
            </w:r>
          </w:p>
        </w:tc>
        <w:tc>
          <w:tcPr>
            <w:tcW w:w="125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>ML</w:t>
            </w:r>
          </w:p>
        </w:tc>
        <w:tc>
          <w:tcPr>
            <w:tcW w:w="125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>MLEFFCH</w:t>
            </w:r>
          </w:p>
        </w:tc>
        <w:tc>
          <w:tcPr>
            <w:tcW w:w="125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>MLTECH</w:t>
            </w:r>
          </w:p>
        </w:tc>
      </w:tr>
      <w:tr w:rsidR="00000863" w:rsidRPr="007E7272" w:rsidTr="00AD254E"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PRICE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0.007(0.022)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0.02</w:t>
            </w:r>
            <w:r w:rsidRPr="007E7272">
              <w:rPr>
                <w:rFonts w:ascii="Times New Roman" w:eastAsia="楷体" w:hAnsi="Times New Roman"/>
                <w:sz w:val="18"/>
                <w:szCs w:val="18"/>
              </w:rPr>
              <w:t>***</w:t>
            </w: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(0.006)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−0.008(0.021)</w:t>
            </w:r>
          </w:p>
        </w:tc>
      </w:tr>
      <w:tr w:rsidR="00000863" w:rsidRPr="007E7272" w:rsidTr="00AD254E">
        <w:tc>
          <w:tcPr>
            <w:tcW w:w="1250" w:type="pct"/>
            <w:vMerge/>
            <w:shd w:val="clear" w:color="auto" w:fill="auto"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</w:tr>
      <w:tr w:rsidR="00000863" w:rsidRPr="007E7272" w:rsidTr="00AD254E"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R</w:t>
            </w:r>
            <w:r w:rsidRPr="007E7272">
              <w:rPr>
                <w:rFonts w:ascii="Times New Roman" w:eastAsia="DengXi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0.01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0.54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0.02</w:t>
            </w:r>
          </w:p>
        </w:tc>
      </w:tr>
    </w:tbl>
    <w:p w:rsidR="00000863" w:rsidRPr="007E7272" w:rsidRDefault="00000863" w:rsidP="00000863">
      <w:pPr>
        <w:pStyle w:val="MDPI43tablefooter"/>
        <w:spacing w:after="0"/>
        <w:ind w:left="425" w:right="425"/>
        <w:rPr>
          <w:rFonts w:ascii="Times New Roman" w:hAnsi="Times New Roman" w:cs="Times New Roman"/>
        </w:rPr>
      </w:pPr>
      <w:r w:rsidRPr="007E7272">
        <w:rPr>
          <w:rFonts w:ascii="Times New Roman" w:hAnsi="Times New Roman" w:cs="Times New Roman"/>
        </w:rPr>
        <w:t>***Indicates significance at the 1% levels.</w:t>
      </w:r>
    </w:p>
    <w:p w:rsidR="00000863" w:rsidRPr="007E7272" w:rsidRDefault="00000863" w:rsidP="00000863">
      <w:pPr>
        <w:pStyle w:val="MDPI43tablefooter"/>
        <w:spacing w:after="0"/>
        <w:ind w:left="425" w:right="425"/>
        <w:rPr>
          <w:rFonts w:ascii="Times New Roman" w:hAnsi="Times New Roman" w:cs="Times New Roman"/>
        </w:rPr>
      </w:pPr>
      <w:r w:rsidRPr="007E7272">
        <w:rPr>
          <w:rFonts w:ascii="Times New Roman" w:hAnsi="Times New Roman" w:cs="Times New Roman"/>
        </w:rPr>
        <w:t xml:space="preserve">The standard error is shown in parentheses. </w:t>
      </w:r>
    </w:p>
    <w:p w:rsidR="00000863" w:rsidRPr="007E7272" w:rsidRDefault="00000863" w:rsidP="00000863">
      <w:pPr>
        <w:pStyle w:val="MDPI43tablefooter"/>
        <w:spacing w:after="0"/>
        <w:ind w:left="425" w:right="425"/>
        <w:rPr>
          <w:rFonts w:ascii="Times New Roman" w:hAnsi="Times New Roman" w:cs="Times New Roman"/>
        </w:rPr>
      </w:pPr>
      <w:r w:rsidRPr="007E7272">
        <w:rPr>
          <w:rFonts w:ascii="Times New Roman" w:hAnsi="Times New Roman" w:cs="Times New Roman"/>
        </w:rPr>
        <w:t>The “PRICE” adopts the annual price of pork market, and we deflated it using the price index of the pork market.</w:t>
      </w:r>
    </w:p>
    <w:p w:rsidR="00000863" w:rsidRPr="007E7272" w:rsidRDefault="00000863" w:rsidP="00000863">
      <w:pPr>
        <w:pStyle w:val="MDPI43tablefooter"/>
        <w:spacing w:after="0"/>
        <w:ind w:left="425" w:right="425"/>
        <w:rPr>
          <w:rFonts w:ascii="Times New Roman" w:hAnsi="Times New Roman" w:cs="Times New Roman"/>
        </w:rPr>
      </w:pPr>
      <w:r w:rsidRPr="007E7272">
        <w:rPr>
          <w:rFonts w:ascii="Times New Roman" w:hAnsi="Times New Roman" w:cs="Times New Roman"/>
        </w:rPr>
        <w:t xml:space="preserve">In accordance with this study, the price indexes were expressed in 2003 constant prices. </w:t>
      </w:r>
    </w:p>
    <w:p w:rsidR="00000863" w:rsidRPr="007E7272" w:rsidRDefault="00000863" w:rsidP="00000863">
      <w:pPr>
        <w:pStyle w:val="MDPI43tablefooter"/>
        <w:ind w:left="425" w:right="425"/>
        <w:rPr>
          <w:rFonts w:ascii="Times New Roman" w:hAnsi="Times New Roman" w:cs="Times New Roman"/>
        </w:rPr>
      </w:pPr>
      <w:r w:rsidRPr="007E7272">
        <w:rPr>
          <w:rFonts w:ascii="Times New Roman" w:hAnsi="Times New Roman" w:cs="Times New Roman"/>
        </w:rPr>
        <w:t>The sample period was 2005–2016 because the “PRICE” index only counts up to 2016.</w:t>
      </w:r>
    </w:p>
    <w:p w:rsidR="00000863" w:rsidRPr="00F27354" w:rsidRDefault="00000863" w:rsidP="00000863">
      <w:pPr>
        <w:pStyle w:val="MDPI41tablecaption"/>
        <w:ind w:left="425" w:right="425"/>
        <w:rPr>
          <w:rFonts w:ascii="Times New Roman" w:hAnsi="Times New Roman" w:cs="Times New Roman"/>
          <w:sz w:val="20"/>
          <w:szCs w:val="20"/>
        </w:rPr>
      </w:pPr>
      <w:bookmarkStart w:id="4" w:name="OLE_LINK55"/>
      <w:r w:rsidRPr="00F27354">
        <w:rPr>
          <w:rFonts w:ascii="Times New Roman" w:hAnsi="Times New Roman" w:cs="Times New Roman"/>
          <w:b/>
          <w:bCs/>
          <w:sz w:val="20"/>
          <w:szCs w:val="20"/>
        </w:rPr>
        <w:t>Table A</w:t>
      </w:r>
      <w:proofErr w:type="gramStart"/>
      <w:r w:rsidRPr="00F27354"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2735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27354">
        <w:rPr>
          <w:rFonts w:ascii="Times New Roman" w:hAnsi="Times New Roman" w:cs="Times New Roman"/>
          <w:sz w:val="20"/>
          <w:szCs w:val="20"/>
        </w:rPr>
        <w:t>Summary</w:t>
      </w:r>
      <w:proofErr w:type="gramEnd"/>
      <w:r w:rsidRPr="00F27354">
        <w:rPr>
          <w:rFonts w:ascii="Times New Roman" w:hAnsi="Times New Roman" w:cs="Times New Roman"/>
          <w:sz w:val="20"/>
          <w:szCs w:val="20"/>
        </w:rPr>
        <w:t xml:space="preserve"> statistics of variables in the Tobit regression.</w:t>
      </w:r>
    </w:p>
    <w:bookmarkEnd w:id="4"/>
    <w:tbl>
      <w:tblPr>
        <w:tblW w:w="9072" w:type="dxa"/>
        <w:tblInd w:w="426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219"/>
        <w:gridCol w:w="1219"/>
        <w:gridCol w:w="1219"/>
        <w:gridCol w:w="1219"/>
        <w:gridCol w:w="1219"/>
      </w:tblGrid>
      <w:tr w:rsidR="00000863" w:rsidRPr="007E7272" w:rsidTr="00AD254E"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67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>Obs.</w:t>
            </w:r>
          </w:p>
        </w:tc>
        <w:tc>
          <w:tcPr>
            <w:tcW w:w="67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>Mean</w:t>
            </w:r>
          </w:p>
        </w:tc>
        <w:tc>
          <w:tcPr>
            <w:tcW w:w="67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>S.D.</w:t>
            </w:r>
          </w:p>
        </w:tc>
        <w:tc>
          <w:tcPr>
            <w:tcW w:w="67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>Min</w:t>
            </w:r>
          </w:p>
        </w:tc>
        <w:tc>
          <w:tcPr>
            <w:tcW w:w="67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b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b/>
                <w:sz w:val="18"/>
                <w:szCs w:val="18"/>
              </w:rPr>
              <w:t>Max</w:t>
            </w:r>
          </w:p>
        </w:tc>
      </w:tr>
      <w:tr w:rsidR="00000863" w:rsidRPr="007E7272" w:rsidTr="00AD254E">
        <w:tc>
          <w:tcPr>
            <w:tcW w:w="7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ML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414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1.024235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0.221187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0.446094</w:t>
            </w:r>
          </w:p>
        </w:tc>
        <w:tc>
          <w:tcPr>
            <w:tcW w:w="67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1.878281</w:t>
            </w:r>
          </w:p>
        </w:tc>
      </w:tr>
      <w:tr w:rsidR="00000863" w:rsidRPr="007E7272" w:rsidTr="00AD254E">
        <w:tc>
          <w:tcPr>
            <w:tcW w:w="781" w:type="pct"/>
            <w:tcBorders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Large-scale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392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1.045169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0.29708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0.356202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2.528874</w:t>
            </w:r>
          </w:p>
        </w:tc>
      </w:tr>
      <w:tr w:rsidR="00000863" w:rsidRPr="007E7272" w:rsidTr="00AD254E">
        <w:tc>
          <w:tcPr>
            <w:tcW w:w="7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Medium-scale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392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1.041269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0.275553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0.447445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2.298067</w:t>
            </w:r>
          </w:p>
        </w:tc>
      </w:tr>
      <w:tr w:rsidR="00000863" w:rsidRPr="007E7272" w:rsidTr="00AD254E">
        <w:tc>
          <w:tcPr>
            <w:tcW w:w="7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Small-scale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359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1.037703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0.26321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0.470719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1.934931</w:t>
            </w:r>
          </w:p>
        </w:tc>
      </w:tr>
      <w:tr w:rsidR="00000863" w:rsidRPr="007E7272" w:rsidTr="00AD254E">
        <w:tc>
          <w:tcPr>
            <w:tcW w:w="78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Environment regulation factors</w:t>
            </w: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FP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0.161905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0.368803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</w:t>
            </w:r>
          </w:p>
        </w:tc>
      </w:tr>
      <w:tr w:rsidR="00000863" w:rsidRPr="007E7272" w:rsidTr="00AD254E">
        <w:tc>
          <w:tcPr>
            <w:tcW w:w="781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GIEC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390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0.013439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0.006668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0.002991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0.042314</w:t>
            </w:r>
          </w:p>
        </w:tc>
      </w:tr>
      <w:tr w:rsidR="00000863" w:rsidRPr="007E7272" w:rsidTr="00AD254E">
        <w:tc>
          <w:tcPr>
            <w:tcW w:w="78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Development of hog industry factors</w:t>
            </w: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SHI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0.14338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0.06121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0.016118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0.365597</w:t>
            </w:r>
          </w:p>
        </w:tc>
      </w:tr>
      <w:tr w:rsidR="00000863" w:rsidRPr="007E7272" w:rsidTr="00AD254E">
        <w:tc>
          <w:tcPr>
            <w:tcW w:w="78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DSFG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4.501904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1.403546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0.296976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6.090496</w:t>
            </w:r>
          </w:p>
        </w:tc>
      </w:tr>
      <w:tr w:rsidR="00000863" w:rsidRPr="007E7272" w:rsidTr="00AD254E">
        <w:tc>
          <w:tcPr>
            <w:tcW w:w="78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CLFS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413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5.423296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1.870877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0.262364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8.28959</w:t>
            </w:r>
          </w:p>
        </w:tc>
      </w:tr>
      <w:tr w:rsidR="00000863" w:rsidRPr="007E7272" w:rsidTr="00AD254E">
        <w:tc>
          <w:tcPr>
            <w:tcW w:w="78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PRICE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10.71826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5.167272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5.920777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97.10138</w:t>
            </w:r>
          </w:p>
        </w:tc>
      </w:tr>
      <w:tr w:rsidR="00000863" w:rsidRPr="007E7272" w:rsidTr="00AD254E">
        <w:tc>
          <w:tcPr>
            <w:tcW w:w="78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L1. PRICE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10.84826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6.009947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5.920777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97.10138</w:t>
            </w:r>
          </w:p>
        </w:tc>
      </w:tr>
      <w:tr w:rsidR="00000863" w:rsidRPr="007E7272" w:rsidTr="00AD254E">
        <w:tc>
          <w:tcPr>
            <w:tcW w:w="781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MAI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0.973057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0.360437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0.154708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1.691747</w:t>
            </w:r>
          </w:p>
        </w:tc>
      </w:tr>
      <w:tr w:rsidR="00000863" w:rsidRPr="007E7272" w:rsidTr="00AD254E">
        <w:tc>
          <w:tcPr>
            <w:tcW w:w="781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Regional development factors</w:t>
            </w:r>
          </w:p>
        </w:tc>
        <w:tc>
          <w:tcPr>
            <w:tcW w:w="85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RED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8.5748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0.624079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6.316107</w:t>
            </w:r>
          </w:p>
        </w:tc>
        <w:tc>
          <w:tcPr>
            <w:tcW w:w="6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9.947689</w:t>
            </w:r>
          </w:p>
        </w:tc>
      </w:tr>
      <w:tr w:rsidR="00000863" w:rsidRPr="007E7272" w:rsidTr="00AD254E">
        <w:tc>
          <w:tcPr>
            <w:tcW w:w="78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UR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0.534867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0.139157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0.2687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0.896</w:t>
            </w:r>
          </w:p>
        </w:tc>
      </w:tr>
      <w:tr w:rsidR="00000863" w:rsidRPr="007E7272" w:rsidTr="00AD254E">
        <w:tc>
          <w:tcPr>
            <w:tcW w:w="781" w:type="pct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TC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6.964019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0.77028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4.369525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8.275311</w:t>
            </w:r>
          </w:p>
        </w:tc>
      </w:tr>
      <w:tr w:rsidR="00000863" w:rsidRPr="007E7272" w:rsidTr="00AD254E">
        <w:tc>
          <w:tcPr>
            <w:tcW w:w="781" w:type="pct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859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RHC</w:t>
            </w:r>
          </w:p>
        </w:tc>
        <w:tc>
          <w:tcPr>
            <w:tcW w:w="67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420</w:t>
            </w:r>
          </w:p>
        </w:tc>
        <w:tc>
          <w:tcPr>
            <w:tcW w:w="67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7.59258</w:t>
            </w:r>
          </w:p>
        </w:tc>
        <w:tc>
          <w:tcPr>
            <w:tcW w:w="67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0.643933</w:t>
            </w:r>
          </w:p>
        </w:tc>
        <w:tc>
          <w:tcPr>
            <w:tcW w:w="67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5.458665</w:t>
            </w:r>
          </w:p>
        </w:tc>
        <w:tc>
          <w:tcPr>
            <w:tcW w:w="67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000863" w:rsidRPr="007E7272" w:rsidRDefault="00000863" w:rsidP="00AD254E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7E7272">
              <w:rPr>
                <w:rFonts w:ascii="Times New Roman" w:eastAsia="DengXian" w:hAnsi="Times New Roman"/>
                <w:sz w:val="18"/>
                <w:szCs w:val="18"/>
              </w:rPr>
              <w:t>9.837992</w:t>
            </w:r>
          </w:p>
        </w:tc>
      </w:tr>
    </w:tbl>
    <w:p w:rsidR="00FB7C93" w:rsidRDefault="00FB7C93"/>
    <w:sectPr w:rsidR="00FB7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63"/>
    <w:rsid w:val="00000863"/>
    <w:rsid w:val="00FB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61653-B900-4647-A2EF-FF796019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863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paragraph" w:styleId="Heading1">
    <w:name w:val="heading 1"/>
    <w:aliases w:val="heading 1"/>
    <w:basedOn w:val="Normal"/>
    <w:next w:val="Normal"/>
    <w:link w:val="Heading1Char"/>
    <w:uiPriority w:val="9"/>
    <w:qFormat/>
    <w:rsid w:val="00000863"/>
    <w:pPr>
      <w:keepNext/>
      <w:keepLines/>
      <w:widowControl w:val="0"/>
      <w:spacing w:before="240" w:after="240" w:line="228" w:lineRule="auto"/>
      <w:ind w:left="851"/>
      <w:jc w:val="left"/>
      <w:outlineLvl w:val="0"/>
    </w:pPr>
    <w:rPr>
      <w:rFonts w:ascii="DengXian" w:eastAsia="Palatino Linotype" w:hAnsi="DengXian"/>
      <w:b/>
      <w:bCs/>
      <w:noProof w:val="0"/>
      <w:color w:val="auto"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"/>
    <w:basedOn w:val="DefaultParagraphFont"/>
    <w:link w:val="Heading1"/>
    <w:uiPriority w:val="9"/>
    <w:rsid w:val="00000863"/>
    <w:rPr>
      <w:rFonts w:ascii="DengXian" w:eastAsia="Palatino Linotype" w:hAnsi="DengXian" w:cs="Times New Roman"/>
      <w:b/>
      <w:bCs/>
      <w:kern w:val="44"/>
      <w:sz w:val="28"/>
      <w:szCs w:val="44"/>
      <w:lang w:eastAsia="zh-CN"/>
    </w:rPr>
  </w:style>
  <w:style w:type="paragraph" w:customStyle="1" w:styleId="MDPI41tablecaption">
    <w:name w:val="MDPI_4.1_table_caption"/>
    <w:rsid w:val="00000863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43tablefooter">
    <w:name w:val="MDPI_4.3_table_footer"/>
    <w:next w:val="Normal"/>
    <w:rsid w:val="00000863"/>
    <w:pPr>
      <w:adjustRightInd w:val="0"/>
      <w:snapToGrid w:val="0"/>
      <w:spacing w:after="24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1figurecaption">
    <w:name w:val="MDPI_5.1_figure_caption"/>
    <w:rsid w:val="00000863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6279519781481304E-2"/>
          <c:y val="3.2225125103724668E-2"/>
          <c:w val="0.86947841515859514"/>
          <c:h val="0.69584521562048185"/>
        </c:manualLayout>
      </c:layout>
      <c:lineChart>
        <c:grouping val="standard"/>
        <c:varyColors val="0"/>
        <c:ser>
          <c:idx val="0"/>
          <c:order val="0"/>
          <c:tx>
            <c:strRef>
              <c:f>Sheet4!$T$1</c:f>
              <c:strCache>
                <c:ptCount val="1"/>
                <c:pt idx="0">
                  <c:v>North</c:v>
                </c:pt>
              </c:strCache>
            </c:strRef>
          </c:tx>
          <c:spPr>
            <a:ln w="28586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cat>
            <c:numRef>
              <c:f>Sheet4!$S$2:$S$16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Sheet4!$T$2:$T$16</c:f>
              <c:numCache>
                <c:formatCode>General</c:formatCode>
                <c:ptCount val="15"/>
                <c:pt idx="0">
                  <c:v>4.5970955493092401E-2</c:v>
                </c:pt>
                <c:pt idx="1">
                  <c:v>4.9554974051052102E-2</c:v>
                </c:pt>
                <c:pt idx="2">
                  <c:v>4.7733734019585403E-2</c:v>
                </c:pt>
                <c:pt idx="3">
                  <c:v>3.84546528830738E-2</c:v>
                </c:pt>
                <c:pt idx="4">
                  <c:v>4.5626300396146999E-2</c:v>
                </c:pt>
                <c:pt idx="5">
                  <c:v>4.7592541871177202E-2</c:v>
                </c:pt>
                <c:pt idx="6">
                  <c:v>4.3195723364467399E-2</c:v>
                </c:pt>
                <c:pt idx="7">
                  <c:v>4.24763756252175E-2</c:v>
                </c:pt>
                <c:pt idx="8">
                  <c:v>5.0471217845085903E-2</c:v>
                </c:pt>
                <c:pt idx="9">
                  <c:v>5.0350254134742298E-2</c:v>
                </c:pt>
                <c:pt idx="10">
                  <c:v>5.3069687245239E-2</c:v>
                </c:pt>
                <c:pt idx="11">
                  <c:v>4.85854587970048E-2</c:v>
                </c:pt>
                <c:pt idx="12">
                  <c:v>5.1849277489031197E-2</c:v>
                </c:pt>
                <c:pt idx="13">
                  <c:v>5.7572952971233098E-2</c:v>
                </c:pt>
                <c:pt idx="14">
                  <c:v>5.67194513700124E-2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DBA-4DFD-8FE7-092D9ABD95E0}"/>
            </c:ext>
          </c:extLst>
        </c:ser>
        <c:ser>
          <c:idx val="1"/>
          <c:order val="1"/>
          <c:tx>
            <c:strRef>
              <c:f>Sheet4!$U$1</c:f>
              <c:strCache>
                <c:ptCount val="1"/>
                <c:pt idx="0">
                  <c:v>Northeast</c:v>
                </c:pt>
              </c:strCache>
            </c:strRef>
          </c:tx>
          <c:spPr>
            <a:ln w="19058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Sheet4!$S$2:$S$16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Sheet4!$U$2:$U$16</c:f>
              <c:numCache>
                <c:formatCode>General</c:formatCode>
                <c:ptCount val="15"/>
                <c:pt idx="0">
                  <c:v>4.0346412357683797E-2</c:v>
                </c:pt>
                <c:pt idx="1">
                  <c:v>4.8394634994191603E-2</c:v>
                </c:pt>
                <c:pt idx="2">
                  <c:v>3.81646550954991E-2</c:v>
                </c:pt>
                <c:pt idx="3">
                  <c:v>3.5015699500126299E-2</c:v>
                </c:pt>
                <c:pt idx="4">
                  <c:v>4.6513442320407203E-2</c:v>
                </c:pt>
                <c:pt idx="5">
                  <c:v>4.2749029307418897E-2</c:v>
                </c:pt>
                <c:pt idx="6">
                  <c:v>4.0870473204493003E-2</c:v>
                </c:pt>
                <c:pt idx="7">
                  <c:v>4.0279317531406303E-2</c:v>
                </c:pt>
                <c:pt idx="8">
                  <c:v>4.47752338349676E-2</c:v>
                </c:pt>
                <c:pt idx="9">
                  <c:v>4.4392824236103003E-2</c:v>
                </c:pt>
                <c:pt idx="10">
                  <c:v>4.5538779602707198E-2</c:v>
                </c:pt>
                <c:pt idx="11">
                  <c:v>4.2972980411505698E-2</c:v>
                </c:pt>
                <c:pt idx="12">
                  <c:v>4.7704892883939101E-2</c:v>
                </c:pt>
                <c:pt idx="13">
                  <c:v>5.1501368648718703E-2</c:v>
                </c:pt>
                <c:pt idx="14">
                  <c:v>5.4311106419517398E-2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BA-4DFD-8FE7-092D9ABD95E0}"/>
            </c:ext>
          </c:extLst>
        </c:ser>
        <c:ser>
          <c:idx val="2"/>
          <c:order val="2"/>
          <c:tx>
            <c:strRef>
              <c:f>Sheet4!$V$1</c:f>
              <c:strCache>
                <c:ptCount val="1"/>
                <c:pt idx="0">
                  <c:v>East</c:v>
                </c:pt>
              </c:strCache>
            </c:strRef>
          </c:tx>
          <c:spPr>
            <a:ln w="28586" cap="rnd">
              <a:solidFill>
                <a:schemeClr val="accent3"/>
              </a:solidFill>
              <a:prstDash val="dash"/>
              <a:round/>
            </a:ln>
            <a:effectLst/>
          </c:spPr>
          <c:marker>
            <c:symbol val="circle"/>
            <c:size val="7"/>
            <c:spPr>
              <a:solidFill>
                <a:schemeClr val="accent3"/>
              </a:solidFill>
              <a:ln w="9529">
                <a:solidFill>
                  <a:schemeClr val="accent3"/>
                </a:solidFill>
              </a:ln>
              <a:effectLst/>
            </c:spPr>
          </c:marker>
          <c:cat>
            <c:numRef>
              <c:f>Sheet4!$S$2:$S$16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Sheet4!$V$2:$V$16</c:f>
              <c:numCache>
                <c:formatCode>General</c:formatCode>
                <c:ptCount val="15"/>
                <c:pt idx="0">
                  <c:v>2.2772930258529001E-2</c:v>
                </c:pt>
                <c:pt idx="1">
                  <c:v>2.7195502780152401E-2</c:v>
                </c:pt>
                <c:pt idx="2">
                  <c:v>2.27616919948616E-2</c:v>
                </c:pt>
                <c:pt idx="3">
                  <c:v>2.0610369158051398E-2</c:v>
                </c:pt>
                <c:pt idx="4">
                  <c:v>2.59001461091014E-2</c:v>
                </c:pt>
                <c:pt idx="5">
                  <c:v>2.7414819041831299E-2</c:v>
                </c:pt>
                <c:pt idx="6">
                  <c:v>2.4220017920513301E-2</c:v>
                </c:pt>
                <c:pt idx="7">
                  <c:v>2.42317080351632E-2</c:v>
                </c:pt>
                <c:pt idx="8">
                  <c:v>2.8356134192376401E-2</c:v>
                </c:pt>
                <c:pt idx="9">
                  <c:v>2.7458002833005701E-2</c:v>
                </c:pt>
                <c:pt idx="10">
                  <c:v>2.82110099210637E-2</c:v>
                </c:pt>
                <c:pt idx="11">
                  <c:v>2.5893848332605399E-2</c:v>
                </c:pt>
                <c:pt idx="12">
                  <c:v>2.8189649894030298E-2</c:v>
                </c:pt>
                <c:pt idx="13">
                  <c:v>3.1590097941209101E-2</c:v>
                </c:pt>
                <c:pt idx="14">
                  <c:v>2.931112146015E-2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DBA-4DFD-8FE7-092D9ABD95E0}"/>
            </c:ext>
          </c:extLst>
        </c:ser>
        <c:ser>
          <c:idx val="3"/>
          <c:order val="3"/>
          <c:tx>
            <c:strRef>
              <c:f>Sheet4!$W$1</c:f>
              <c:strCache>
                <c:ptCount val="1"/>
                <c:pt idx="0">
                  <c:v>South-Central</c:v>
                </c:pt>
              </c:strCache>
            </c:strRef>
          </c:tx>
          <c:spPr>
            <a:ln w="28586" cap="rnd">
              <a:solidFill>
                <a:schemeClr val="bg1">
                  <a:lumMod val="75000"/>
                </a:schemeClr>
              </a:solidFill>
              <a:round/>
            </a:ln>
            <a:effectLst/>
          </c:spPr>
          <c:marker>
            <c:symbol val="x"/>
            <c:size val="8"/>
            <c:spPr>
              <a:noFill/>
              <a:ln w="22234">
                <a:solidFill>
                  <a:schemeClr val="bg1">
                    <a:lumMod val="75000"/>
                  </a:schemeClr>
                </a:solidFill>
              </a:ln>
              <a:effectLst/>
            </c:spPr>
          </c:marker>
          <c:cat>
            <c:numRef>
              <c:f>Sheet4!$S$2:$S$16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Sheet4!$W$2:$W$16</c:f>
              <c:numCache>
                <c:formatCode>General</c:formatCode>
                <c:ptCount val="15"/>
                <c:pt idx="0">
                  <c:v>2.5362723312064801E-2</c:v>
                </c:pt>
                <c:pt idx="1">
                  <c:v>3.1032653279253999E-2</c:v>
                </c:pt>
                <c:pt idx="2">
                  <c:v>2.5794588438738199E-2</c:v>
                </c:pt>
                <c:pt idx="3">
                  <c:v>2.2272655502005901E-2</c:v>
                </c:pt>
                <c:pt idx="4">
                  <c:v>3.06823898068024E-2</c:v>
                </c:pt>
                <c:pt idx="5">
                  <c:v>2.9618418568393499E-2</c:v>
                </c:pt>
                <c:pt idx="6">
                  <c:v>2.71763736359865E-2</c:v>
                </c:pt>
                <c:pt idx="7">
                  <c:v>2.73098892473938E-2</c:v>
                </c:pt>
                <c:pt idx="8">
                  <c:v>3.2117729910179998E-2</c:v>
                </c:pt>
                <c:pt idx="9">
                  <c:v>3.1015720642523999E-2</c:v>
                </c:pt>
                <c:pt idx="10">
                  <c:v>3.0171918698348E-2</c:v>
                </c:pt>
                <c:pt idx="11">
                  <c:v>2.94351796040619E-2</c:v>
                </c:pt>
                <c:pt idx="12">
                  <c:v>3.1911275557621299E-2</c:v>
                </c:pt>
                <c:pt idx="13">
                  <c:v>3.5911057727452497E-2</c:v>
                </c:pt>
                <c:pt idx="14">
                  <c:v>3.38334278929023E-2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DBA-4DFD-8FE7-092D9ABD95E0}"/>
            </c:ext>
          </c:extLst>
        </c:ser>
        <c:ser>
          <c:idx val="4"/>
          <c:order val="4"/>
          <c:tx>
            <c:strRef>
              <c:f>Sheet4!$X$1</c:f>
              <c:strCache>
                <c:ptCount val="1"/>
                <c:pt idx="0">
                  <c:v>Southwest </c:v>
                </c:pt>
              </c:strCache>
            </c:strRef>
          </c:tx>
          <c:spPr>
            <a:ln w="19058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Sheet4!$S$2:$S$16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Sheet4!$X$2:$X$16</c:f>
              <c:numCache>
                <c:formatCode>General</c:formatCode>
                <c:ptCount val="15"/>
                <c:pt idx="0">
                  <c:v>3.0928130564044198E-2</c:v>
                </c:pt>
                <c:pt idx="1">
                  <c:v>3.3271478440442301E-2</c:v>
                </c:pt>
                <c:pt idx="2">
                  <c:v>3.07022815404813E-2</c:v>
                </c:pt>
                <c:pt idx="3">
                  <c:v>2.81894173927742E-2</c:v>
                </c:pt>
                <c:pt idx="4">
                  <c:v>3.8900308799408499E-2</c:v>
                </c:pt>
                <c:pt idx="5">
                  <c:v>3.7370478213778098E-2</c:v>
                </c:pt>
                <c:pt idx="6">
                  <c:v>3.0559830025824901E-2</c:v>
                </c:pt>
                <c:pt idx="7">
                  <c:v>2.8319676299085401E-2</c:v>
                </c:pt>
                <c:pt idx="8">
                  <c:v>3.5177018307281399E-2</c:v>
                </c:pt>
                <c:pt idx="9">
                  <c:v>3.4204785691775298E-2</c:v>
                </c:pt>
                <c:pt idx="10">
                  <c:v>3.4528877746804403E-2</c:v>
                </c:pt>
                <c:pt idx="11">
                  <c:v>3.1996671119396101E-2</c:v>
                </c:pt>
                <c:pt idx="12">
                  <c:v>3.5171591204636699E-2</c:v>
                </c:pt>
                <c:pt idx="13">
                  <c:v>3.9529079472966598E-2</c:v>
                </c:pt>
                <c:pt idx="14">
                  <c:v>3.4134030512521903E-2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DBA-4DFD-8FE7-092D9ABD95E0}"/>
            </c:ext>
          </c:extLst>
        </c:ser>
        <c:ser>
          <c:idx val="5"/>
          <c:order val="5"/>
          <c:tx>
            <c:strRef>
              <c:f>Sheet4!$Y$1</c:f>
              <c:strCache>
                <c:ptCount val="1"/>
                <c:pt idx="0">
                  <c:v> Northwest</c:v>
                </c:pt>
              </c:strCache>
            </c:strRef>
          </c:tx>
          <c:spPr>
            <a:ln w="19058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tx1"/>
              </a:solidFill>
              <a:ln w="9529">
                <a:solidFill>
                  <a:schemeClr val="tx1"/>
                </a:solidFill>
              </a:ln>
              <a:effectLst/>
            </c:spPr>
          </c:marker>
          <c:cat>
            <c:numRef>
              <c:f>Sheet4!$S$2:$S$16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Sheet4!$Y$2:$Y$16</c:f>
              <c:numCache>
                <c:formatCode>General</c:formatCode>
                <c:ptCount val="15"/>
                <c:pt idx="0">
                  <c:v>3.11413139550058E-2</c:v>
                </c:pt>
                <c:pt idx="1">
                  <c:v>3.5231782798079002E-2</c:v>
                </c:pt>
                <c:pt idx="2">
                  <c:v>3.2829592409783802E-2</c:v>
                </c:pt>
                <c:pt idx="3">
                  <c:v>2.8968872563583201E-2</c:v>
                </c:pt>
                <c:pt idx="4">
                  <c:v>3.8177419351486899E-2</c:v>
                </c:pt>
                <c:pt idx="5">
                  <c:v>3.76585170268081E-2</c:v>
                </c:pt>
                <c:pt idx="6">
                  <c:v>3.2605496330283798E-2</c:v>
                </c:pt>
                <c:pt idx="7">
                  <c:v>3.1701334135553802E-2</c:v>
                </c:pt>
                <c:pt idx="8">
                  <c:v>3.5823927564802002E-2</c:v>
                </c:pt>
                <c:pt idx="9">
                  <c:v>3.5202905497141598E-2</c:v>
                </c:pt>
                <c:pt idx="10">
                  <c:v>3.9265627063580999E-2</c:v>
                </c:pt>
                <c:pt idx="11">
                  <c:v>3.6420604905529397E-2</c:v>
                </c:pt>
                <c:pt idx="12">
                  <c:v>3.9431180085863798E-2</c:v>
                </c:pt>
                <c:pt idx="13">
                  <c:v>4.2962505472359497E-2</c:v>
                </c:pt>
                <c:pt idx="14">
                  <c:v>3.7457853627636803E-2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DBA-4DFD-8FE7-092D9ABD95E0}"/>
            </c:ext>
          </c:extLst>
        </c:ser>
        <c:ser>
          <c:idx val="6"/>
          <c:order val="6"/>
          <c:tx>
            <c:strRef>
              <c:f>Sheet4!$Z$1</c:f>
              <c:strCache>
                <c:ptCount val="1"/>
                <c:pt idx="0">
                  <c:v>national level</c:v>
                </c:pt>
              </c:strCache>
            </c:strRef>
          </c:tx>
          <c:spPr>
            <a:ln w="22234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Sheet4!$S$2:$S$16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Sheet4!$Z$2:$Z$16</c:f>
              <c:numCache>
                <c:formatCode>General</c:formatCode>
                <c:ptCount val="15"/>
                <c:pt idx="0">
                  <c:v>3.73968337923688E-2</c:v>
                </c:pt>
                <c:pt idx="1">
                  <c:v>4.2793854582466602E-2</c:v>
                </c:pt>
                <c:pt idx="2">
                  <c:v>3.75404747496694E-2</c:v>
                </c:pt>
                <c:pt idx="3">
                  <c:v>3.2934519012316602E-2</c:v>
                </c:pt>
                <c:pt idx="4">
                  <c:v>4.2239270331113903E-2</c:v>
                </c:pt>
                <c:pt idx="5">
                  <c:v>4.19447942324358E-2</c:v>
                </c:pt>
                <c:pt idx="6">
                  <c:v>3.7415920786711097E-2</c:v>
                </c:pt>
                <c:pt idx="7">
                  <c:v>3.6703448835439599E-2</c:v>
                </c:pt>
                <c:pt idx="8">
                  <c:v>4.29535384893691E-2</c:v>
                </c:pt>
                <c:pt idx="9">
                  <c:v>4.21161781619721E-2</c:v>
                </c:pt>
                <c:pt idx="10">
                  <c:v>4.3547909206371201E-2</c:v>
                </c:pt>
                <c:pt idx="11">
                  <c:v>4.0622936614731903E-2</c:v>
                </c:pt>
                <c:pt idx="12">
                  <c:v>4.4127507365934598E-2</c:v>
                </c:pt>
                <c:pt idx="13">
                  <c:v>4.8933310159024801E-2</c:v>
                </c:pt>
                <c:pt idx="14">
                  <c:v>4.6228117384348497E-2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9DBA-4DFD-8FE7-092D9ABD95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22290696"/>
        <c:axId val="2050146232"/>
      </c:lineChart>
      <c:catAx>
        <c:axId val="-212229069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noFill/>
          <a:ln w="9529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50146232"/>
        <c:crosses val="autoZero"/>
        <c:auto val="1"/>
        <c:lblAlgn val="ctr"/>
        <c:lblOffset val="100"/>
        <c:noMultiLvlLbl val="0"/>
      </c:catAx>
      <c:valAx>
        <c:axId val="2050146232"/>
        <c:scaling>
          <c:orientation val="minMax"/>
          <c:max val="0.06"/>
          <c:min val="0.02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122290696"/>
        <c:crosses val="autoZero"/>
        <c:crossBetween val="between"/>
        <c:majorUnit val="5.0000000000000001E-3"/>
      </c:valAx>
      <c:spPr>
        <a:noFill/>
        <a:ln w="25410">
          <a:noFill/>
        </a:ln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3.0553421043625972E-2"/>
          <c:y val="0.8527008272608354"/>
          <c:w val="0.96944649055964804"/>
          <c:h val="0.128888638920135"/>
        </c:manualLayout>
      </c:layout>
      <c:overlay val="0"/>
      <c:spPr>
        <a:noFill/>
        <a:ln w="2541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2021-05-16T09:39:00Z</dcterms:created>
  <dcterms:modified xsi:type="dcterms:W3CDTF">2021-05-16T09:39:00Z</dcterms:modified>
</cp:coreProperties>
</file>