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rPr>
      </w:pPr>
      <w:r>
        <w:rPr>
          <w:b/>
          <w:bCs/>
        </w:rPr>
        <w:t>Supplementary Materials</w:t>
      </w:r>
    </w:p>
    <w:p/>
    <w:p>
      <w:pPr>
        <w:rPr>
          <w:sz w:val="22"/>
          <w:szCs w:val="22"/>
        </w:rPr>
      </w:pPr>
      <w:r>
        <w:t>Correlation of Precisely Fabricated Geometric Characteristics of DNA-Origami Nanostructures</w:t>
      </w:r>
      <w:r>
        <w:rPr>
          <w:lang w:val="en-CA"/>
        </w:rPr>
        <w:t xml:space="preserve"> with Their Cellular Entry</w:t>
      </w:r>
      <w:r>
        <w:t xml:space="preserve"> in Human Lens Epithelial Cells</w:t>
      </w:r>
    </w:p>
    <w:p/>
    <w:p>
      <w:r>
        <w:rPr>
          <w:rFonts w:hint="eastAsia"/>
        </w:rPr>
        <w:t>Y</w:t>
      </w:r>
      <w:r>
        <w:t>exuan Guo</w:t>
      </w:r>
      <w:r>
        <w:rPr>
          <w:vertAlign w:val="superscript"/>
        </w:rPr>
        <w:t>1</w:t>
      </w:r>
      <w:r>
        <w:rPr>
          <w:rFonts w:hint="eastAsia"/>
          <w:vertAlign w:val="superscript"/>
        </w:rPr>
        <w:t>#</w:t>
      </w:r>
      <w:r>
        <w:t xml:space="preserve">, </w:t>
      </w:r>
      <w:r>
        <w:rPr>
          <w:rFonts w:hint="eastAsia"/>
        </w:rPr>
        <w:t>Tianze Xiong</w:t>
      </w:r>
      <w:r>
        <w:rPr>
          <w:rFonts w:hint="eastAsia"/>
          <w:vertAlign w:val="superscript"/>
        </w:rPr>
        <w:t>1#</w:t>
      </w:r>
      <w:r>
        <w:rPr>
          <w:lang w:val="en-CA"/>
        </w:rPr>
        <w:t xml:space="preserve">, </w:t>
      </w:r>
      <w:r>
        <w:t>Hong Yan</w:t>
      </w:r>
      <w:r>
        <w:rPr>
          <w:vertAlign w:val="superscript"/>
        </w:rPr>
        <w:t>1,2*</w:t>
      </w:r>
      <w:r>
        <w:t>, Rui Xue Zhang</w:t>
      </w:r>
      <w:r>
        <w:rPr>
          <w:vertAlign w:val="superscript"/>
        </w:rPr>
        <w:t>1*</w:t>
      </w:r>
    </w:p>
    <w:p/>
    <w:p>
      <w:r>
        <w:rPr>
          <w:rFonts w:hint="eastAsia"/>
          <w:vertAlign w:val="superscript"/>
        </w:rPr>
        <w:t>1</w:t>
      </w:r>
      <w:r>
        <w:rPr>
          <w:vertAlign w:val="superscript"/>
        </w:rPr>
        <w:t xml:space="preserve"> </w:t>
      </w:r>
      <w:r>
        <w:t>Institute of Medical Research, Northwestern Polytechnical University, 127 West Youyi Road, Xi’an, Shaanxi 710072, China</w:t>
      </w:r>
    </w:p>
    <w:p>
      <w:pPr>
        <w:rPr>
          <w:lang w:val="en-CA"/>
        </w:rPr>
      </w:pPr>
    </w:p>
    <w:p>
      <w:pPr>
        <w:rPr>
          <w:lang w:val="en-CA"/>
        </w:rPr>
      </w:pPr>
      <w:r>
        <w:rPr>
          <w:rFonts w:hint="eastAsia"/>
          <w:vertAlign w:val="superscript"/>
        </w:rPr>
        <w:t>2</w:t>
      </w:r>
      <w:r>
        <w:rPr>
          <w:vertAlign w:val="superscript"/>
        </w:rPr>
        <w:t xml:space="preserve"> </w:t>
      </w:r>
      <w:r>
        <w:t>Xi’an People’s Hospital (Xi’an Fourth Hospital), Shaanxi Eye Hospital, 21 Jiefang Road, Xi’an, Shaanxi 710004, China</w:t>
      </w:r>
    </w:p>
    <w:p>
      <w:pPr>
        <w:rPr>
          <w:vertAlign w:val="superscript"/>
        </w:rPr>
      </w:pPr>
    </w:p>
    <w:p>
      <w:pPr>
        <w:rPr>
          <w:vertAlign w:val="superscript"/>
        </w:rPr>
      </w:pPr>
    </w:p>
    <w:p>
      <w:pPr>
        <w:rPr>
          <w:vertAlign w:val="superscript"/>
        </w:rPr>
      </w:pPr>
      <w:r>
        <w:rPr>
          <w:vertAlign w:val="superscript"/>
        </w:rPr>
        <w:t>#</w:t>
      </w:r>
      <w:r>
        <w:t xml:space="preserve"> These authors contributed equally to this work;</w:t>
      </w:r>
    </w:p>
    <w:p>
      <w:pPr>
        <w:rPr>
          <w:vertAlign w:val="superscript"/>
        </w:rPr>
      </w:pPr>
    </w:p>
    <w:p>
      <w:pPr>
        <w:rPr>
          <w:lang w:val="en-CA"/>
        </w:rPr>
      </w:pPr>
      <w:r>
        <w:rPr>
          <w:vertAlign w:val="superscript"/>
        </w:rPr>
        <w:t>*</w:t>
      </w:r>
      <w:r>
        <w:t>Corresponding authors: Rui Xue Zhang (</w:t>
      </w:r>
      <w:r>
        <w:fldChar w:fldCharType="begin"/>
      </w:r>
      <w:r>
        <w:instrText xml:space="preserve"> HYPERLINK "mailto:zhangruixue@nwpu.edu.cn" </w:instrText>
      </w:r>
      <w:r>
        <w:fldChar w:fldCharType="separate"/>
      </w:r>
      <w:r>
        <w:rPr>
          <w:color w:val="0563C1"/>
          <w:u w:val="single"/>
        </w:rPr>
        <w:t>zhangruixue@nwpu.edu.cn</w:t>
      </w:r>
      <w:r>
        <w:rPr>
          <w:color w:val="0563C1"/>
          <w:u w:val="single"/>
        </w:rPr>
        <w:fldChar w:fldCharType="end"/>
      </w:r>
      <w:r>
        <w:t>)</w:t>
      </w:r>
      <w:r>
        <w:rPr>
          <w:lang w:val="en-CA"/>
        </w:rPr>
        <w:t>; Hong Yan (</w:t>
      </w:r>
      <w:r>
        <w:fldChar w:fldCharType="begin"/>
      </w:r>
      <w:r>
        <w:instrText xml:space="preserve"> HYPERLINK "mailto:yan2128ts@med.nwu.edu.cn" </w:instrText>
      </w:r>
      <w:r>
        <w:fldChar w:fldCharType="separate"/>
      </w:r>
      <w:r>
        <w:rPr>
          <w:color w:val="0563C1"/>
          <w:u w:val="single"/>
          <w:lang w:val="en-CA"/>
        </w:rPr>
        <w:t>yan2128ts@med.nwu.edu.cn</w:t>
      </w:r>
      <w:r>
        <w:rPr>
          <w:color w:val="0563C1"/>
          <w:u w:val="single"/>
          <w:lang w:val="en-CA"/>
        </w:rPr>
        <w:fldChar w:fldCharType="end"/>
      </w:r>
      <w:r>
        <w:rPr>
          <w:lang w:val="en-CA"/>
        </w:rPr>
        <w:t>)</w:t>
      </w:r>
    </w:p>
    <w:p>
      <w:pPr>
        <w:rPr>
          <w:lang w:val="en-CA"/>
        </w:rPr>
      </w:pPr>
      <w:r>
        <w:rPr>
          <w:lang w:val="en-CA"/>
        </w:rPr>
        <w:br w:type="page"/>
      </w:r>
    </w:p>
    <w:p>
      <w:pPr>
        <w:rPr>
          <w:b/>
          <w:bCs/>
        </w:rPr>
      </w:pPr>
      <w:r>
        <w:rPr>
          <w:rFonts w:hint="eastAsia"/>
          <w:b/>
          <w:bCs/>
        </w:rPr>
        <w:t>S</w:t>
      </w:r>
      <w:r>
        <w:rPr>
          <w:rFonts w:hint="eastAsia"/>
          <w:b/>
          <w:bCs/>
          <w:lang w:val="en-US" w:eastAsia="zh-CN"/>
        </w:rPr>
        <w:t>1</w:t>
      </w:r>
      <w:r>
        <w:rPr>
          <w:b/>
          <w:bCs/>
        </w:rPr>
        <w:t>. Linear ssDNA scaffold M13mp18 sequence</w:t>
      </w:r>
    </w:p>
    <w:p>
      <w:r>
        <w:t>AATGCTACTACTATTAGTAGAATTGATGCCACCTTTTCAGCTCGCGCCCCAAATGAAAATATAGCTAAACAGGTTATTGACCATTTGCGAAATGTATCTAATGGTCAAACTAAATCTACTCGTTCGCAGAATTGGGAATCAACTGTTATATGGAATGAAACTTCCAGACACCGTACTTTAGTTGCATATTTAAAACATGTTGAGCTACAGCATTATATTCAGCAATTAAGCTCTAAGCCATCCGCAAAAATGACCTCTTATCAAAAGGAGCAATTAAAGGTACTCTCTAATCCTGACCTGTTGGAGTTTGCTTCCGGTCTGGTTCGCTTTGAAGCTCGAATTAAAACGCGATATTTGAAGTCTTTCGGGCTTCCTCTTAATCTTTTTGATGCAATCCGCTTTGCTTCTGACTATAATAGTCAGGGTAAAGACCTGATTTTTGATTTATGGTCATTCTCGTTTTCTGAACTGTTTAAAGCATTTGAGGGGGATTCAATGAATATTTATGACGATTCCGCAGTATTGGACGCTATCCAGTCTAAACATTTTACTATTACCCCCTCTGGCAAAACTTCTTTTGCAAAAGCCTCTCGCTATTTTGGTTTTTATCGTCGTCTGGTAAACGAGGGTTATGATAGTGTTGCTCTTACTATGCCTCGTAATTCCTTTTGGCGTTATGTATCTGCATTAGTTGAATGTGGTATTCCTAAATCTCAACTGATGAATCTTTCTACCTGTAATAATGTTGTTCCGTTAGTTCGTTTTATTAACGTAGATTTTTCTTCCCAACGTCCTGACTGGTATAATGAGCCAGTTCTTAAAATCGCATAAGGTAATTCACAATGATTAAAGTTGAAATTAAACCATCTCAAGCCCAATTTACTACTCGTTCTGGTGTTTCTCGTCAGGGCAAGCCTTATTCACTGAATGAGCAGCTTTGTTACGTTGATTTGGGTAATGAATATCCGGTTCTTGTCAAGATTACTCTTGATGAAGGTCAGCCAGCCTATGCGCCTGGTCTGTACACCGTTCATCTGTCC</w:t>
      </w:r>
    </w:p>
    <w:p>
      <w:r>
        <w:t>TCTTTCAAAGTTGGTCAGTTCGGTTCCCTTATGATTGACCGTCTGCGCCTCGTTCCGGCTAAGTAACATGGAGCAGGTCGCGGATTTCGACACAATTTATCAGGCGATGATACAAATCTCCGTTGTACTTTGTTTCGCGCTTGGTATAATCGCTGGGGGTCAAAGATGAGTGTTTTAGTGTATTCTTTTGCCTCTTTCGTTTTAGGTTGGTGCCTTCGTAGTGGCATTACGTATTTTACCCGTTTAATGGAAACTTCCTCATGAAAAAGTCTTTAGTCCTCAAAGCCTCTGTAGCCGTTGCTACCCTCGTTCCGATGCTGTCTTTCGCTGCTGAGGGTGACGATCCCGCAAAAGCGGCCTTTAACTCCCTGCAAGCCTCAGCGACCGAATATATCGGTTATGCGTGGGCGATGGTTGTTGTCATTGTCGGCGCAACTATCGGTATCAAGCTGTTTAAGAAATTCACCTCGAAAGCAAGCTGATAAACCGATACAATTAAAGGCTCCTTTTGGAGCCTTTTTTTTGGAGATTTTCAACGTGAAAAAATTATTATTCGCAATTCCTTTAGTTGTTCCTTTCTATTCTCACTCCGCTGAAACTGTTGAAAGTTGTTTAGCAAAATCCCATACAGAAAATTCATTTACTAACGTCTGGAAAGACGACAAAACTTTAGATCGTTACGCTAACTATGAGGGCTGTCTGTGGAATGCTACAGGCGTTGTAGTTTGTACTGGTGACGAAACTCAGTGTTACGGTACATGGGTTCCTATTGGGCTTGCTATCCCTGAAAATGAGGGTGGTGGCTCTGAGGGTGGCGGTTCTGAGGGTGGCGGTTCTGAGGGTGGCGGTACTAAACCTCCTGAGTACGGTGATACACCTATTCCGGGCTATACTTATATCAACCCTCTCGACGGCACTTATCCGCCTGGTACTGAGCAAAACCCCGCTAATCCTAATCCTTCTCTTGAGGAGTCTCAGCCTCTTAATACTTTCATGTTTCAGAATAATAGGTTCCGAAATAGGCAGGGGGCATTAACTGTTTATACGGGCACTGTTACTCAAGGCACTGACCCCGTTAAAACTTATTACCAGTACACTCCTGTATCATCAAAAGCCATGTATGACGCTTACTGGAACGGTAAATTCAGAGACTGCGCTTTCCATTCTGGCTTTAATGAGGATTTATTTGTTTGTGAATATCAAGGCCAATCGTCTGACCTGCCTCAACCTCCTGTCAATGCTGGCGGCGGCTCTGGTGGTGGTTCTGGTGGCGGCTCTGAGGGTGGTGGCTCTGAGGGTGGCGGTTCTGAGGGTGGCGGCTCTGAGGGAGGCGGTTCCGGTGGTGGCTCTGGTTCCGGTGATTTTGATTATGAAAAGATGGCAAACGCTAATAAGGGGGCTATGACCGAAAATGCCGATGAAAACGCGCTACAGTCTGACGCTAAAGGCAAACTTGATTCTGTCGCTACTGATTACGGTGCTGCTATCGATGGTTTCATTGGTGACGTTTCCGGCCTTGCTAATGGTAATGGTGCTACTGGTGATTTTGCTGGCTCTAATTCCCAAATGGCTCAAGTCGGTGACGGTGATAATTCACCTTTAATGAATAATTTCCGTCAATATTTACCTTCCCTCCCTCAATCGGTTGAATGTCGCCCTTTTGTCTTTGGCGCTGGTAAACCATATGAATTTTCTATTGATTGTGACAAAATAAACTTATTCCGTGGTGTCTTTGCGTTTCTTTTATATGTTGCCACCTTTATGTATGTATTTTCTACGTTTGCTAACATACTGCGTAATAAGGAGTCTTAATCATGCCAGTTCTTTTGGGTATTCCGTTATTATTGCGTTTCCTCGGTTTCCTTCTGGTAACTTTGTTCGGCTATCTGCTTACTTTTCTTAAAAAGGGCTTCGGTAAGATAGCTATTGCTATTTCATTGTTTCTTGCTCTTATTATTGGGCTTAACTCAATTCTTGTGGGTTATCTCTCTGATATTAGCGCTCAATTACCCTCTGACTTTGTTCAGGGTGTTCAGTTAATTCTCCCGTCTAATGCGCTTCCCTGTTTTTATGTTATTCTCTCTGTAAAGGCTGCTATTTTCATTTTTGACGTTAAACAAAAAATCGTTTCTTATTTGGATTGGGATAAATAATATGGCTGTTTATTTTGTAACTGGCAAATTAGGCTCTGGAAAGACGCTCGTTAGCGTTGGTAAGATTCAGGATAAAATTGTAGCTGGGTGCAAAATAGCAACTAATCTTGATTTAAGGCTTCAAAACCTCCCGCAAGTCGGGAGGTTCGCTAAAACGCCTCGCGTTCTTAGAATACCGGATAAGCCTTCTATATCTGATTTGCTTGCTATTGGGCGCGGTAATGATTCCTACGATGAAAATAAAAACGGCTTGCTTGTTCTCGATGAGTGCGGTACTTGGTTTAATACCCGTTCTTGGAATGATAAGGAAAGACAGCCGATTATTGATTGGTTTCTACATGCTCGTAAATTAGGATGGGATATTATTTTTCTTGTTCAGGACTTATCTATTGTTGATAAACAGGCGCGTTCTGCATTAGCTGAACATGTTGTTTATTGTCGTCGTCTGGACAGAATTACTTTACCTTTTGTCGGTACTTTATATTCTCTTATTACTGGCTCGAAAATGCCTCTGCCTAAATTACATGTTGGCGTTGTTAAATATGGCGATTCTCAATTAAGCCCTACTGTTGAGCGTTGGCTTTATACTGGTAAGAATTTGTATAACGCATATGATACTAAACAGGCTTTTTCTAGTAATTATGATTCCGGTGTTTATTCTTATTTAACGCCTTATTTATCACACGGTCGGTATTTCAAACCATTAAATTTAGGTCAGAAGATGAAATTAACTAAAATATATTTGAAAAAGTTTTCTCGCGTTCTTTGTCTTGCGATTGGATTTGCATCAGCATTTACATATAGTTATATAACCCAACCTAAGCCGGAGGTTAAAAAGGTAGTCTCTCAGACCTATGATTTTGATAAATTCACTATTGACTCTTCTCAGCGTCTTAATCTAAGCTATCGCTATGTTTTCAAGGATTCTAAGGGAAAATTAATTAATAGCGACGATTTACAGAAGCAAGGTTATTCACTCACATATATTGATTTATGTACTGTTTCCATTAAAAAAGGTAATTCAAATGAAATTGTTAAATGTAATTAATTTTGTTTTCTTGATGTTTGTTTCATCATCTTCTTTTGCTCAGGTAATTGAAATGAATAATTCGCCTCTGCGCGATTTTGTAACTTGGTATTCAAAGCAATCAGGCGAATCCGTTATTGTTTCTCCCGATGTAAAAGGTACTGTTACTGTATATTCATCTGACGTTAAACCTGAAAATCTACGCAATTTCTTTATTTCTGTTTTACGTGCAAATAATTTTGATATGGTAGGTTCTAACCCTTCCATTATTCAGAAGTATAATCCAAACAATCAGGATTATATTGATGAATTGCCATCATCTGATAATCAGGAATATGATGATAATTCCGCTCCTTCTGGTGGTTTCTTTGTTCCGCAAAATGATAATGTTACTCAAACTTTTAAAATTAATAACGTTCGGGCAAAGGATTTAATACGAGTTGTCGAATTGTTTGTAAAGTCTAATACTTCTAAATCCTCAAATGTATTATCTATTGACGGCTCTAATCTATTAGTTGTTAGTGCTCCTAAAGATATTTTAGATAACCTTCCTCAATTCCTTTCAACTGTTGATTTGCCAACTGACCAGATATTGATTGAGGGTTTGATATTTGAGGTTCAGCAAGGTGATGCTTTAGATTTTTCATTTGCTGCTGGCTCTCAGCGTGGCACTGTTGCAGGCGGTGTTAATACTGACCGCCTCACCTCTGTTTTATCTTCTGCTGGTGGTTCGTTCGGTATTTTTAATGGCGATGTTTTAGGGCTATCAGTTCGCGCATTAAAGACTAATAGCCATTCAAAAATATTGTCTGTGCCACGTATTCTTACGCTTTCAGGTCAGAAGGGTTCTATCTCTGTTGGCCAGAAT</w:t>
      </w:r>
      <w:r>
        <w:t>GTCCCTTTTATTACTGGTCGTGTGACTGGTGAATCTGCCAATGTAAATAATCCATTTCAGACGATTGAGCGTCAAAATGTAGGTATTTCCATGAGCGTTTTTCCTGTTGCAATGGCTGGCGGTAATATTGTTCTGGATATTACCAGCAAGGCCGATAGTTTGAGTTCTTCTACTCAGGCAAGTGATGTTATTACTAATCAAAGAAGTATTGCTACAACGGTTAATTTGCGTGATGGACAGACTCTTTTACTCGGTGGCCTCACTGATTATAAAAACACTTCTCAGGATTCTGGCGTACCGTTCCTGTCTAAAATCCCTTTAATCGGCCTCCTGTTTAGCTCCCGCTCTGATTCTAACGAGGAAAGCACGTTATACGTGCTCGTCAAAGCAACCATAGTACGCGCCCTGTAGCGGCGCATTAAGCGCGGCGGGTGTGGTGGTTACGCGCAGCGTGACCGCTACACTTGCCAGCGCCCTAGCGCCCGCTCCTTTCGCTTTCTTCCCTTCCTTTCTCGCCACGTTCGCCGGCTTTCCCCGTCAAGCTCTAAATCGGGGGCTCCCTTTAGGGTTCCGATTTAGTGCTTTACGGCACCTCGACCCCAAAAAACTTGATTTGGGTGATGGTTCACGTAGTGGGCCATCGCCCTGATAGACGGTTTTTCGCCCTTTGAC</w:t>
      </w:r>
    </w:p>
    <w:p>
      <w:r>
        <w:t>GTTGGAGTCCACGTTCTTTAATAGTGGACTCTTGTTCCAAACTGGAACAACACTCAACCCTATCTCGGGCTATTCTTTTGATTTATAAGGGATTTTGCCGATTTCGGAACCACCATCAAACAGGATTTTCGCCTGCTGGGGCAAACCAGCGTGGACCGCTTGCTGCAACTCTCTCAGGGCCAGGCGGTGAAGGGCAATCAGCTGTTGCCCGTCTCACTGGTGAAAAGAAAAACCACCCTGGCGCCCAATACGCAAACCGCCTCTCCCCGCGCGTTGGCCGATTCATTAATGCAGCTGGCACGACAGGTTTCCCGACTGGAAAGCGGGCAGTGAGCGCAACGCAATTAATGTGAGTTAGCTCACTCATTAGGCACCCCAGGCTTTACACTTTATGCTTCCGGCTCGTATGTTGTGTGGAATTGTGAGCGGATAACAATTTCACACAGGAAACAGCTATGACCATGATTACGAATTCGAGCTCGGTACCCGGGGATCCTCTAGAGTCGACCTGCAGGCATGCAAGCTTGGCACTGGCCGTCGTTTTACAACGTCGTGACTGG</w:t>
      </w:r>
    </w:p>
    <w:p>
      <w:r>
        <w:t>GAAAACCCTGGCGTTACCCAACTTAATCGCCTTGCAGCACATCCCCCTTTCGCCAGCTGGCGTAATAGCGAAGAGGCCCGCACCGATCGCCCTTCCCAACAGTTGCGCAGCCTGAATGGCGAATGGCGCTTTGCCTGGTTTCCGGCACCAGAAGCGGTGCCGGAAAGCTGGCTGGAGTGCGATCTTCCTGAGGCCGATACTGTCGTCGTCCCCTCAAACTGGCAGATGCACGGTTACGATGCGCCCATCTACACCAACGTGACCTATCCCATTACGGTCAATCCGCCGTTTGTTCCCACGGAGAATCCGACGGGTTGTTACTCGCTCACATTTAATGTTGATGAAAGCTGGCTACAGGAAGGCCAGACGCGAATTATTTTTGATGGCGTTCCTATTGGTTAAAAAATGAGCTGATTTAACAAAAATTTAATGCGAATTTTAACAAAATATTAACGTTTACAATTTAAATATTTGCTTATACAATCTTCCTGTTTTTGGGGCTTTTCTGATTATCAACCGGGGTACATATGATTGACATGCTAGTTTTACGATTACCGTTCATCGATTCTCTTGTTTGCTCCAGACTCTCAGGCAATGACCTGATAGCCTTTGTAGATCTCTCAAAAATAGCTACCCTCTCCGGCATTAATTTATCAGCTAGAACGGTTGAATATCATATTGATGGTGATTTGACTGTCTCCGGCCTTTCTCACCCTTTTGAATCTTTACCTACACATTACTCAGGCATTGCATTTAAAATATATGAGGGTTCTAAAAATTTTTATCCTTGCGTTGAAATAAAGGCTTCTCCCGCAAAAGTATTACAGGGTCATAATGTTTTTGGTACAACCGATTTAGCTTTATGCTCTGAGGCTTTATTGCTTAATTTTGCTAATTCTTTGCCTTGCCTGTATGATTTATTGGATGTT</w:t>
      </w:r>
    </w:p>
    <w:p>
      <w:pPr>
        <w:rPr>
          <w:b/>
          <w:bCs/>
        </w:rPr>
      </w:pPr>
    </w:p>
    <w:p>
      <w:r>
        <w:rPr>
          <w:b/>
          <w:bCs/>
        </w:rPr>
        <w:t>S</w:t>
      </w:r>
      <w:r>
        <w:rPr>
          <w:rFonts w:hint="eastAsia"/>
          <w:b/>
          <w:bCs/>
          <w:lang w:val="en-US" w:eastAsia="zh-CN"/>
        </w:rPr>
        <w:t>2</w:t>
      </w:r>
      <w:r>
        <w:rPr>
          <w:b/>
          <w:bCs/>
        </w:rPr>
        <w:t>. Computer-aided design (CAD) of four DNA-origami nanostructures (DONs)</w:t>
      </w:r>
      <w:r>
        <w:t xml:space="preserve"> </w:t>
      </w:r>
    </w:p>
    <w:p>
      <w:r>
        <w:t>After pre-designing the draf</w:t>
      </w:r>
      <w:r>
        <w:rPr>
          <w:rFonts w:hint="eastAsia"/>
        </w:rPr>
        <w:t>t</w:t>
      </w:r>
      <w:r>
        <w:t xml:space="preserve"> (</w:t>
      </w:r>
      <w:r>
        <w:rPr>
          <w:b/>
          <w:bCs/>
        </w:rPr>
        <w:t>Figure S1</w:t>
      </w:r>
      <w:r>
        <w:t xml:space="preserve">), for details of the design blueprint), the blueprint was drawn in the software by selecting the honeycomb lattice mode through the caDNAno software </w:t>
      </w:r>
      <w:r>
        <w:rPr>
          <w:rFonts w:hint="eastAsia"/>
        </w:rPr>
        <w:t xml:space="preserve">(2.4.0, </w:t>
      </w:r>
      <w:r>
        <w:rPr>
          <w:rFonts w:hint="eastAsia"/>
          <w:szCs w:val="22"/>
        </w:rPr>
        <w:t>Wyss Institute, Harvard University</w:t>
      </w:r>
      <w:r>
        <w:rPr>
          <w:rFonts w:hint="eastAsia"/>
        </w:rPr>
        <w:t>)</w:t>
      </w:r>
      <w:r>
        <w:fldChar w:fldCharType="begin">
          <w:fldData xml:space="preserve">PEVuZE5vdGU+PENpdGU+PEF1dGhvcj5TdW1hPC9BdXRob3I+PFllYXI+MjAxOTwvWWVhcj48UmVj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</w:fldData>
        </w:fldChar>
      </w:r>
      <w:r>
        <w:instrText xml:space="preserve"> ADDIN EN.CITE </w:instrText>
      </w:r>
      <w:r>
        <w:fldChar w:fldCharType="begin">
          <w:fldData xml:space="preserve">PEVuZE5vdGU+PENpdGU+PEF1dGhvcj5TdW1hPC9BdXRob3I+PFllYXI+MjAxOTwvWWVhcj48UmVj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</w:fldData>
        </w:fldChar>
      </w:r>
      <w:r>
        <w:instrText xml:space="preserve"> ADDIN EN.CITE.DATA </w:instrText>
      </w:r>
      <w:r>
        <w:fldChar w:fldCharType="end"/>
      </w:r>
      <w:r>
        <w:fldChar w:fldCharType="separate"/>
      </w:r>
      <w:r>
        <w:t>[1, 2]</w:t>
      </w:r>
      <w:r>
        <w:fldChar w:fldCharType="end"/>
      </w:r>
      <w:r>
        <w:t>.</w:t>
      </w:r>
      <w:r>
        <w:rPr>
          <w:rFonts w:hint="eastAsia"/>
        </w:rPr>
        <w:t xml:space="preserve"> </w:t>
      </w:r>
      <w:r>
        <w:t xml:space="preserve">Scaffolds with different cross-sectional circles were joined into a complete line with a total length of 7249 nucleotides by creating crossover points at predetermined folding points (the appropriate crossover position was selected according to the helical geometry of the DNA). The backbone </w:t>
      </w:r>
      <w:r>
        <w:rPr>
          <w:rFonts w:hint="eastAsia"/>
        </w:rPr>
        <w:t>was</w:t>
      </w:r>
      <w:r>
        <w:t xml:space="preserve"> added to the scaffold strand. It was cut into fragments of approximately 20 to 60 bases in length using a break tool</w:t>
      </w:r>
      <w:r>
        <w:rPr>
          <w:rFonts w:hint="eastAsia"/>
        </w:rPr>
        <w:t xml:space="preserve"> </w:t>
      </w:r>
      <w:r>
        <w:t>(</w:t>
      </w:r>
      <w:r>
        <w:rPr>
          <w:b/>
          <w:bCs/>
        </w:rPr>
        <w:t>Figure S</w:t>
      </w:r>
      <w:r>
        <w:rPr>
          <w:rFonts w:hint="eastAsia"/>
          <w:b/>
          <w:bCs/>
        </w:rPr>
        <w:t>2.1~4</w:t>
      </w:r>
      <w:r>
        <w:t>)</w:t>
      </w:r>
      <w:r>
        <w:rPr>
          <w:rFonts w:hint="eastAsia"/>
        </w:rPr>
        <w:t xml:space="preserve">. </w:t>
      </w:r>
    </w:p>
    <w:p>
      <w:r>
        <w:t xml:space="preserve">MD simulations of the designed caDNAno drawings were subsequently performed by TacoxDNA </w:t>
      </w:r>
      <w:r>
        <w:rPr>
          <w:rFonts w:hint="eastAsia"/>
        </w:rPr>
        <w:t>(</w:t>
      </w:r>
      <w:r>
        <w:rPr>
          <w:rFonts w:hint="eastAsia"/>
          <w:szCs w:val="22"/>
        </w:rPr>
        <w:t xml:space="preserve">Webserver: http://tacoxdna.sissa.it/cadnano_oxDNA, </w:t>
      </w:r>
      <w:r>
        <w:rPr>
          <w:szCs w:val="22"/>
        </w:rPr>
        <w:t>Institute</w:t>
      </w:r>
      <w:r>
        <w:rPr>
          <w:rFonts w:hint="eastAsia"/>
          <w:szCs w:val="22"/>
        </w:rPr>
        <w:t xml:space="preserve"> for Computational Molecular Science, Temple University</w:t>
      </w:r>
      <w:r>
        <w:rPr>
          <w:rFonts w:hint="eastAsia"/>
        </w:rPr>
        <w:t>)</w:t>
      </w:r>
      <w:r>
        <w:t xml:space="preserve"> and oxDNA </w:t>
      </w:r>
      <w:r>
        <w:rPr>
          <w:rFonts w:hint="eastAsia"/>
        </w:rPr>
        <w:t>(</w:t>
      </w:r>
      <w:r>
        <w:rPr>
          <w:rFonts w:hint="eastAsia"/>
          <w:szCs w:val="22"/>
        </w:rPr>
        <w:t xml:space="preserve">Webserver: </w:t>
      </w:r>
      <w:r>
        <w:rPr>
          <w:rFonts w:hint="eastAsia"/>
        </w:rPr>
        <w:t xml:space="preserve">https://oxdna.org/static/oxdna-viewer/index.html, </w:t>
      </w:r>
      <w:r>
        <w:t>oxDNA</w:t>
      </w:r>
      <w:r>
        <w:rPr>
          <w:rFonts w:hint="eastAsia"/>
        </w:rPr>
        <w:t xml:space="preserve">2.0, </w:t>
      </w:r>
      <w:r>
        <w:rPr>
          <w:rFonts w:hint="eastAsia"/>
          <w:szCs w:val="22"/>
        </w:rPr>
        <w:t>University of Oxford</w:t>
      </w:r>
      <w:r>
        <w:rPr>
          <w:rFonts w:hint="eastAsia"/>
        </w:rPr>
        <w:t>)</w:t>
      </w:r>
      <w:r>
        <w:fldChar w:fldCharType="begin"/>
      </w:r>
      <w:r>
        <w:instrText xml:space="preserve"> ADDIN EN.CITE &lt;EndNote&gt;&lt;Cite&gt;&lt;Author&gt;Poppleton&lt;/Author&gt;&lt;Year&gt;2021&lt;/Year&gt;&lt;RecNum&gt;143&lt;/RecNum&gt;&lt;DisplayText&gt;[3]&lt;/DisplayText&gt;&lt;record&gt;&lt;rec-number&gt;143&lt;/rec-number&gt;&lt;foreign-keys&gt;&lt;key app="EN" db-id="rdsre29at9t2pqe2zprv9ftg29wf9wdpfezp" timestamp="1720864577"&gt;143&lt;/key&gt;&lt;/foreign-keys&gt;&lt;ref-type name="Journal Article"&gt;17&lt;/ref-type&gt;&lt;contributors&gt;&lt;authors&gt;&lt;author&gt;Poppleton, E.&lt;/author&gt;&lt;author&gt;Romero, R.&lt;/author&gt;&lt;author&gt;Mallya, A.&lt;/author&gt;&lt;author&gt;Rovigatti, L.&lt;/author&gt;&lt;author&gt;Šulc, P.&lt;/author&gt;&lt;/authors&gt;&lt;/contributors&gt;&lt;auth-address&gt;School of Molecular Sciences and Center for Molecular Design and Biomimetics, The Biodesign Institute, Arizona State University, 1001 South McAllister Avenue, Tempe, AZ 85281, USA.&amp;#xD;Department of Physics, Sapienza Università di Roma, P.le A. Moro 2 00185, Rome, Italy.&lt;/auth-address&gt;&lt;titles&gt;&lt;title&gt;OxDNA.org: a public webserver for coarse-grained simulations of DNA and RNA nanostructures&lt;/title&gt;&lt;secondary-title&gt;Nucleic Acids Res&lt;/secondary-title&gt;&lt;alt-title&gt;Nucleic acids research&lt;/alt-title&gt;&lt;/titles&gt;&lt;periodical&gt;&lt;full-title&gt;Nucleic Acids Res&lt;/full-title&gt;&lt;/periodical&gt;&lt;pages&gt;W491-w498&lt;/pages&gt;&lt;volume&gt;49&lt;/volume&gt;&lt;number&gt;W1&lt;/number&gt;&lt;edition&gt;2021/05/20&lt;/edition&gt;&lt;keywords&gt;&lt;keyword&gt;DNA/*chemistry&lt;/keyword&gt;&lt;keyword&gt;Internet&lt;/keyword&gt;&lt;keyword&gt;*Molecular Dynamics Simulation&lt;/keyword&gt;&lt;keyword&gt;Nanostructures/*chemistry&lt;/keyword&gt;&lt;keyword&gt;Nucleic Acid Conformation&lt;/keyword&gt;&lt;keyword&gt;RNA/*chemistry&lt;/keyword&gt;&lt;keyword&gt;*Software&lt;/keyword&gt;&lt;/keywords&gt;&lt;dates&gt;&lt;year&gt;2021&lt;/year&gt;&lt;pub-dates&gt;&lt;date&gt;Jul 2&lt;/date&gt;&lt;/pub-dates&gt;&lt;/dates&gt;&lt;isbn&gt;0305-1048 (Print)&amp;#xD;0305-1048&lt;/isbn&gt;&lt;accession-num&gt;34009383&lt;/accession-num&gt;&lt;urls&gt;&lt;/urls&gt;&lt;custom2&gt;PMC8265093&lt;/custom2&gt;&lt;electronic-resource-num&gt;10.1093/nar/gkab324&lt;/electronic-resource-num&gt;&lt;remote-database-provider&gt;NLM&lt;/remote-database-provider&gt;&lt;language&gt;eng&lt;/language&gt;&lt;/record&gt;&lt;/Cite&gt;&lt;/EndNote&gt;</w:instrText>
      </w:r>
      <w:r>
        <w:fldChar w:fldCharType="separate"/>
      </w:r>
      <w:r>
        <w:t>[3]</w:t>
      </w:r>
      <w:r>
        <w:fldChar w:fldCharType="end"/>
      </w:r>
      <w:r>
        <w:rPr>
          <w:rFonts w:hint="eastAsia"/>
        </w:rPr>
        <w:t>.</w:t>
      </w:r>
      <w:r>
        <w:t xml:space="preserve"> </w:t>
      </w:r>
      <w:r>
        <w:rPr>
          <w:rFonts w:hint="eastAsia"/>
        </w:rPr>
        <w:t xml:space="preserve">The simulation steps </w:t>
      </w:r>
      <w:r>
        <w:t>were</w:t>
      </w:r>
      <w:r>
        <w:rPr>
          <w:rFonts w:hint="eastAsia"/>
        </w:rPr>
        <w:t xml:space="preserve"> as follows: </w:t>
      </w:r>
      <w:r>
        <w:t xml:space="preserve">Conversion to oxDNA </w:t>
      </w:r>
      <w:r>
        <w:rPr>
          <w:rFonts w:hint="eastAsia"/>
        </w:rPr>
        <w:t>f</w:t>
      </w:r>
      <w:r>
        <w:t>ormat:</w:t>
      </w:r>
      <w:r>
        <w:rPr>
          <w:rFonts w:hint="eastAsia"/>
        </w:rPr>
        <w:t xml:space="preserve"> </w:t>
      </w:r>
      <w:r>
        <w:t xml:space="preserve">Use </w:t>
      </w:r>
      <w:r>
        <w:rPr>
          <w:rFonts w:hint="eastAsia"/>
        </w:rPr>
        <w:t>T</w:t>
      </w:r>
      <w:r>
        <w:t>acoxDNA to convert the design file into an initial configuration in the oxDNA format</w:t>
      </w:r>
      <w:r>
        <w:rPr>
          <w:rFonts w:hint="eastAsia"/>
        </w:rPr>
        <w:t xml:space="preserve"> (.top and .oxdna file)</w:t>
      </w:r>
      <w:r>
        <w:t xml:space="preserve">. This </w:t>
      </w:r>
      <w:r>
        <w:rPr>
          <w:rFonts w:hint="eastAsia"/>
        </w:rPr>
        <w:t>could</w:t>
      </w:r>
      <w:r>
        <w:t xml:space="preserve"> be done through the web interface</w:t>
      </w:r>
      <w:r>
        <w:rPr>
          <w:rFonts w:hint="eastAsia"/>
        </w:rPr>
        <w:t xml:space="preserve">. </w:t>
      </w:r>
      <w:r>
        <w:t xml:space="preserve">Relaxation of </w:t>
      </w:r>
      <w:r>
        <w:rPr>
          <w:rFonts w:hint="eastAsia"/>
        </w:rPr>
        <w:t>i</w:t>
      </w:r>
      <w:r>
        <w:t xml:space="preserve">nitial </w:t>
      </w:r>
      <w:r>
        <w:rPr>
          <w:rFonts w:hint="eastAsia"/>
        </w:rPr>
        <w:t>g</w:t>
      </w:r>
      <w:r>
        <w:t>eometry:</w:t>
      </w:r>
      <w:r>
        <w:rPr>
          <w:rFonts w:hint="eastAsia"/>
        </w:rPr>
        <w:t xml:space="preserve"> </w:t>
      </w:r>
      <w:r>
        <w:t xml:space="preserve">Run a minimization algorithm to remove particle overlaps and overstretched bonds. This </w:t>
      </w:r>
      <w:r>
        <w:rPr>
          <w:rFonts w:hint="eastAsia"/>
        </w:rPr>
        <w:t>could</w:t>
      </w:r>
      <w:r>
        <w:t xml:space="preserve"> be done by setting </w:t>
      </w:r>
      <w:r>
        <w:rPr>
          <w:i/>
          <w:iCs/>
        </w:rPr>
        <w:t>sim_type = min</w:t>
      </w:r>
      <w:r>
        <w:t xml:space="preserve"> in the input file and running the command </w:t>
      </w:r>
      <w:r>
        <w:rPr>
          <w:i/>
          <w:iCs/>
        </w:rPr>
        <w:t>oxDNA input_min</w:t>
      </w:r>
      <w:r>
        <w:t>.</w:t>
      </w:r>
      <w:r>
        <w:rPr>
          <w:rFonts w:hint="eastAsia"/>
        </w:rPr>
        <w:t xml:space="preserve"> </w:t>
      </w:r>
      <w:r>
        <w:t xml:space="preserve">This was followed by a molecular dynamics simulation using a modified backbone potential to allow for larger scale motions. This </w:t>
      </w:r>
      <w:r>
        <w:rPr>
          <w:rFonts w:hint="eastAsia"/>
        </w:rPr>
        <w:t>could</w:t>
      </w:r>
      <w:r>
        <w:t xml:space="preserve"> be run on a GPU and is specified by </w:t>
      </w:r>
      <w:r>
        <w:rPr>
          <w:i/>
          <w:iCs/>
        </w:rPr>
        <w:t>sim_type = relax</w:t>
      </w:r>
      <w:r>
        <w:t xml:space="preserve"> in the input file, followed by the command </w:t>
      </w:r>
      <w:r>
        <w:rPr>
          <w:i/>
          <w:iCs/>
        </w:rPr>
        <w:t>oxDNA input_relax</w:t>
      </w:r>
      <w:r>
        <w:t>.</w:t>
      </w:r>
      <w:r>
        <w:rPr>
          <w:rFonts w:hint="eastAsia"/>
        </w:rPr>
        <w:t xml:space="preserve"> Visualization: </w:t>
      </w:r>
      <w:r>
        <w:t>Use oxView to visualize configurations and manipulate trajectories.</w:t>
      </w:r>
    </w:p>
    <w:p/>
    <w:p>
      <w:r>
        <w:drawing>
          <wp:inline distT="0" distB="0" distL="114300" distR="114300">
            <wp:extent cx="4255770" cy="4411345"/>
            <wp:effectExtent l="0" t="0" r="11430" b="8255"/>
            <wp:docPr id="1" name="图片 1"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1"/>
                    <pic:cNvPicPr>
                      <a:picLocks noChangeAspect="1"/>
                    </pic:cNvPicPr>
                  </pic:nvPicPr>
                  <pic:blipFill>
                    <a:blip r:embed="rId7"/>
                    <a:stretch>
                      <a:fillRect/>
                    </a:stretch>
                  </pic:blipFill>
                  <pic:spPr>
                    <a:xfrm>
                      <a:off x="0" y="0"/>
                      <a:ext cx="4255770" cy="4411345"/>
                    </a:xfrm>
                    <a:prstGeom prst="rect">
                      <a:avLst/>
                    </a:prstGeom>
                    <a:noFill/>
                    <a:ln>
                      <a:noFill/>
                    </a:ln>
                  </pic:spPr>
                </pic:pic>
              </a:graphicData>
            </a:graphic>
          </wp:inline>
        </w:drawing>
      </w:r>
    </w:p>
    <w:p>
      <w:pPr>
        <w:rPr>
          <w:rStyle w:val="13"/>
          <w:sz w:val="24"/>
          <w:szCs w:val="24"/>
        </w:rPr>
      </w:pPr>
      <w:r>
        <w:rPr>
          <w:b/>
          <w:bCs/>
        </w:rPr>
        <w:t>Figure S</w:t>
      </w:r>
      <w:r>
        <w:rPr>
          <w:rFonts w:hint="eastAsia"/>
          <w:b/>
          <w:bCs/>
        </w:rPr>
        <w:t>.</w:t>
      </w:r>
      <w:r>
        <w:rPr>
          <w:b/>
          <w:bCs/>
        </w:rPr>
        <w:t>1</w:t>
      </w:r>
      <w:r>
        <w:rPr>
          <w:rFonts w:hint="eastAsia"/>
          <w:b/>
          <w:bCs/>
        </w:rPr>
        <w:t xml:space="preserve"> </w:t>
      </w:r>
      <w:r>
        <w:t>Outline of the desired DNA-origami shapes using the caDNAno.</w:t>
      </w:r>
      <w:r>
        <w:rPr>
          <w:rFonts w:hint="eastAsia"/>
        </w:rPr>
        <w:t xml:space="preserve"> </w:t>
      </w:r>
      <w:r>
        <w:t>General route of scaffolded DNA-origami into a) rod, b) ring, c) triangle and d) octahedron. The continuous scaffolded linear ssDNA M13mp18 (7249 n.t.) was routed throughout the entire desired shape by creating crossovers. Desired DNA-origami shapes were obtained by adding ssDNA staples.</w:t>
      </w:r>
      <w:r>
        <w:rPr>
          <w:rStyle w:val="13"/>
        </w:rPr>
        <w:t xml:space="preserve"> </w:t>
      </w:r>
      <w:r>
        <w:rPr>
          <w:rStyle w:val="13"/>
          <w:sz w:val="24"/>
          <w:szCs w:val="24"/>
        </w:rPr>
        <w:t>The dark line represented the actual DNA scaffold route</w:t>
      </w:r>
      <w:r>
        <w:rPr>
          <w:rStyle w:val="13"/>
          <w:rFonts w:hint="eastAsia"/>
          <w:sz w:val="24"/>
          <w:szCs w:val="24"/>
        </w:rPr>
        <w:t>.</w:t>
      </w:r>
    </w:p>
    <w:p/>
    <w:p>
      <w:r>
        <w:rPr>
          <w:rFonts w:hint="eastAsia"/>
        </w:rPr>
        <w:drawing>
          <wp:inline distT="0" distB="0" distL="114300" distR="114300">
            <wp:extent cx="3780155" cy="6988810"/>
            <wp:effectExtent l="0" t="0" r="0" b="8890"/>
            <wp:docPr id="6" name="图片 6" descr="Layou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ayout 13"/>
                    <pic:cNvPicPr>
                      <a:picLocks noChangeAspect="1"/>
                    </pic:cNvPicPr>
                  </pic:nvPicPr>
                  <pic:blipFill>
                    <a:blip r:embed="rId8"/>
                    <a:srcRect t="2070" r="44497" b="1904"/>
                    <a:stretch>
                      <a:fillRect/>
                    </a:stretch>
                  </pic:blipFill>
                  <pic:spPr>
                    <a:xfrm>
                      <a:off x="0" y="0"/>
                      <a:ext cx="3780155" cy="6988810"/>
                    </a:xfrm>
                    <a:prstGeom prst="rect">
                      <a:avLst/>
                    </a:prstGeom>
                  </pic:spPr>
                </pic:pic>
              </a:graphicData>
            </a:graphic>
          </wp:inline>
        </w:drawing>
      </w:r>
    </w:p>
    <w:p>
      <w:r>
        <w:rPr>
          <w:b/>
          <w:bCs/>
        </w:rPr>
        <w:t>Figure S</w:t>
      </w:r>
      <w:r>
        <w:rPr>
          <w:rFonts w:hint="eastAsia"/>
          <w:b/>
          <w:bCs/>
        </w:rPr>
        <w:t>2.1</w:t>
      </w:r>
      <w:r>
        <w:t xml:space="preserve"> </w:t>
      </w:r>
      <w:r>
        <w:rPr>
          <w:rFonts w:hint="eastAsia"/>
          <w:lang w:bidi="ar"/>
        </w:rPr>
        <w:t>I</w:t>
      </w:r>
      <w:r>
        <w:rPr>
          <w:lang w:bidi="ar"/>
        </w:rPr>
        <w:t>llustration of triangle DONs</w:t>
      </w:r>
      <w:r>
        <w:rPr>
          <w:rFonts w:hint="eastAsia"/>
          <w:lang w:bidi="ar"/>
        </w:rPr>
        <w:t xml:space="preserve"> </w:t>
      </w:r>
      <w:r>
        <w:rPr>
          <w:lang w:bidi="ar"/>
        </w:rPr>
        <w:t>caDNAno diagram</w:t>
      </w:r>
      <w:r>
        <w:rPr>
          <w:rFonts w:hint="eastAsia"/>
          <w:lang w:bidi="ar"/>
        </w:rPr>
        <w:t>. Blue line</w:t>
      </w:r>
      <w:r>
        <w:rPr>
          <w:lang w:bidi="ar"/>
        </w:rPr>
        <w:t xml:space="preserve"> was scaffold strand, and </w:t>
      </w:r>
      <w:r>
        <w:rPr>
          <w:rFonts w:hint="eastAsia"/>
          <w:lang w:bidi="ar"/>
        </w:rPr>
        <w:t>other color line</w:t>
      </w:r>
      <w:r>
        <w:rPr>
          <w:lang w:bidi="ar"/>
        </w:rPr>
        <w:t xml:space="preserve"> were staples strands</w:t>
      </w:r>
      <w:r>
        <w:rPr>
          <w:rFonts w:hint="eastAsia"/>
          <w:lang w:bidi="ar"/>
        </w:rPr>
        <w:t>;</w:t>
      </w:r>
    </w:p>
    <w:p>
      <w:r>
        <w:rPr>
          <w:rFonts w:hint="eastAsia"/>
        </w:rPr>
        <w:drawing>
          <wp:inline distT="0" distB="0" distL="114300" distR="114300">
            <wp:extent cx="4128135" cy="7826375"/>
            <wp:effectExtent l="0" t="0" r="0" b="0"/>
            <wp:docPr id="8" name="图片 8" descr="Layou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ayout 14"/>
                    <pic:cNvPicPr>
                      <a:picLocks noChangeAspect="1"/>
                    </pic:cNvPicPr>
                  </pic:nvPicPr>
                  <pic:blipFill>
                    <a:blip r:embed="rId9"/>
                    <a:srcRect l="21491" r="37068"/>
                    <a:stretch>
                      <a:fillRect/>
                    </a:stretch>
                  </pic:blipFill>
                  <pic:spPr>
                    <a:xfrm>
                      <a:off x="0" y="0"/>
                      <a:ext cx="4128135" cy="7826375"/>
                    </a:xfrm>
                    <a:prstGeom prst="rect">
                      <a:avLst/>
                    </a:prstGeom>
                  </pic:spPr>
                </pic:pic>
              </a:graphicData>
            </a:graphic>
          </wp:inline>
        </w:drawing>
      </w:r>
    </w:p>
    <w:p>
      <w:r>
        <w:rPr>
          <w:b/>
          <w:bCs/>
        </w:rPr>
        <w:t>Figure S</w:t>
      </w:r>
      <w:r>
        <w:rPr>
          <w:rFonts w:hint="eastAsia"/>
          <w:b/>
          <w:bCs/>
        </w:rPr>
        <w:t>2.2</w:t>
      </w:r>
      <w:r>
        <w:t xml:space="preserve"> </w:t>
      </w:r>
      <w:r>
        <w:rPr>
          <w:rFonts w:hint="eastAsia"/>
          <w:lang w:bidi="ar"/>
        </w:rPr>
        <w:t>I</w:t>
      </w:r>
      <w:r>
        <w:rPr>
          <w:lang w:bidi="ar"/>
        </w:rPr>
        <w:t>llustration of rod DONs</w:t>
      </w:r>
      <w:r>
        <w:rPr>
          <w:rFonts w:hint="eastAsia"/>
          <w:lang w:bidi="ar"/>
        </w:rPr>
        <w:t xml:space="preserve"> </w:t>
      </w:r>
      <w:r>
        <w:rPr>
          <w:lang w:bidi="ar"/>
        </w:rPr>
        <w:t>caDNAno diagram</w:t>
      </w:r>
      <w:r>
        <w:rPr>
          <w:rFonts w:hint="eastAsia"/>
          <w:lang w:bidi="ar"/>
        </w:rPr>
        <w:t>. Blue line</w:t>
      </w:r>
      <w:r>
        <w:rPr>
          <w:lang w:bidi="ar"/>
        </w:rPr>
        <w:t xml:space="preserve"> was scaffold strand, and </w:t>
      </w:r>
      <w:r>
        <w:rPr>
          <w:rFonts w:hint="eastAsia"/>
          <w:lang w:bidi="ar"/>
        </w:rPr>
        <w:t>other color line</w:t>
      </w:r>
      <w:r>
        <w:rPr>
          <w:lang w:bidi="ar"/>
        </w:rPr>
        <w:t xml:space="preserve"> were staples strands</w:t>
      </w:r>
      <w:r>
        <w:rPr>
          <w:rFonts w:hint="eastAsia"/>
          <w:lang w:bidi="ar"/>
        </w:rPr>
        <w:t>.</w:t>
      </w:r>
    </w:p>
    <w:p>
      <w:r>
        <w:rPr>
          <w:rFonts w:hint="eastAsia"/>
        </w:rPr>
        <w:drawing>
          <wp:inline distT="0" distB="0" distL="114300" distR="114300">
            <wp:extent cx="4485005" cy="7802880"/>
            <wp:effectExtent l="0" t="0" r="0" b="0"/>
            <wp:docPr id="10" name="图片 10" descr="Layou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Layout 15"/>
                    <pic:cNvPicPr>
                      <a:picLocks noChangeAspect="1"/>
                    </pic:cNvPicPr>
                  </pic:nvPicPr>
                  <pic:blipFill>
                    <a:blip r:embed="rId10"/>
                    <a:srcRect l="7389" r="41719"/>
                    <a:stretch>
                      <a:fillRect/>
                    </a:stretch>
                  </pic:blipFill>
                  <pic:spPr>
                    <a:xfrm>
                      <a:off x="0" y="0"/>
                      <a:ext cx="4485005" cy="7802880"/>
                    </a:xfrm>
                    <a:prstGeom prst="rect">
                      <a:avLst/>
                    </a:prstGeom>
                  </pic:spPr>
                </pic:pic>
              </a:graphicData>
            </a:graphic>
          </wp:inline>
        </w:drawing>
      </w:r>
    </w:p>
    <w:p>
      <w:r>
        <w:rPr>
          <w:b/>
          <w:bCs/>
        </w:rPr>
        <w:t>Figure S</w:t>
      </w:r>
      <w:r>
        <w:rPr>
          <w:rFonts w:hint="eastAsia"/>
          <w:b/>
          <w:bCs/>
        </w:rPr>
        <w:t>2.3</w:t>
      </w:r>
      <w:r>
        <w:t xml:space="preserve"> </w:t>
      </w:r>
      <w:r>
        <w:rPr>
          <w:rFonts w:hint="eastAsia"/>
          <w:lang w:bidi="ar"/>
        </w:rPr>
        <w:t>I</w:t>
      </w:r>
      <w:r>
        <w:rPr>
          <w:lang w:bidi="ar"/>
        </w:rPr>
        <w:t>llustration of ring DONs caDNAno diagram</w:t>
      </w:r>
      <w:r>
        <w:rPr>
          <w:rFonts w:hint="eastAsia"/>
          <w:lang w:bidi="ar"/>
        </w:rPr>
        <w:t>. Blue line</w:t>
      </w:r>
      <w:r>
        <w:rPr>
          <w:lang w:bidi="ar"/>
        </w:rPr>
        <w:t xml:space="preserve"> was scaffold strand, and </w:t>
      </w:r>
      <w:r>
        <w:rPr>
          <w:rFonts w:hint="eastAsia"/>
          <w:lang w:bidi="ar"/>
        </w:rPr>
        <w:t>other color line</w:t>
      </w:r>
      <w:r>
        <w:rPr>
          <w:lang w:bidi="ar"/>
        </w:rPr>
        <w:t xml:space="preserve"> were staples strands.</w:t>
      </w:r>
    </w:p>
    <w:p>
      <w:r>
        <w:rPr>
          <w:rFonts w:hint="eastAsia"/>
        </w:rPr>
        <w:drawing>
          <wp:inline distT="0" distB="0" distL="114300" distR="114300">
            <wp:extent cx="5097780" cy="7768590"/>
            <wp:effectExtent l="0" t="0" r="0" b="0"/>
            <wp:docPr id="9" name="图片 9" descr="Layou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Layout 16"/>
                    <pic:cNvPicPr>
                      <a:picLocks noChangeAspect="1"/>
                    </pic:cNvPicPr>
                  </pic:nvPicPr>
                  <pic:blipFill>
                    <a:blip r:embed="rId11"/>
                    <a:srcRect r="48200"/>
                    <a:stretch>
                      <a:fillRect/>
                    </a:stretch>
                  </pic:blipFill>
                  <pic:spPr>
                    <a:xfrm>
                      <a:off x="0" y="0"/>
                      <a:ext cx="5097780" cy="7768590"/>
                    </a:xfrm>
                    <a:prstGeom prst="rect">
                      <a:avLst/>
                    </a:prstGeom>
                  </pic:spPr>
                </pic:pic>
              </a:graphicData>
            </a:graphic>
          </wp:inline>
        </w:drawing>
      </w:r>
    </w:p>
    <w:p>
      <w:pPr>
        <w:rPr>
          <w:lang w:bidi="ar"/>
        </w:rPr>
      </w:pPr>
      <w:r>
        <w:rPr>
          <w:b/>
          <w:bCs/>
        </w:rPr>
        <w:t>Figure S</w:t>
      </w:r>
      <w:r>
        <w:rPr>
          <w:rFonts w:hint="eastAsia"/>
          <w:b/>
          <w:bCs/>
        </w:rPr>
        <w:t>2.4</w:t>
      </w:r>
      <w:r>
        <w:t xml:space="preserve"> </w:t>
      </w:r>
      <w:r>
        <w:rPr>
          <w:rFonts w:hint="eastAsia"/>
          <w:lang w:bidi="ar"/>
        </w:rPr>
        <w:t>I</w:t>
      </w:r>
      <w:r>
        <w:rPr>
          <w:lang w:bidi="ar"/>
        </w:rPr>
        <w:t>llustration of octahedron DONs caDNAno diagram</w:t>
      </w:r>
      <w:r>
        <w:rPr>
          <w:rFonts w:hint="eastAsia"/>
          <w:lang w:bidi="ar"/>
        </w:rPr>
        <w:t>. Blue line</w:t>
      </w:r>
      <w:r>
        <w:rPr>
          <w:lang w:bidi="ar"/>
        </w:rPr>
        <w:t xml:space="preserve"> was scaffold strand, and </w:t>
      </w:r>
      <w:r>
        <w:rPr>
          <w:rFonts w:hint="eastAsia"/>
          <w:lang w:bidi="ar"/>
        </w:rPr>
        <w:t>other color line</w:t>
      </w:r>
      <w:r>
        <w:rPr>
          <w:lang w:bidi="ar"/>
        </w:rPr>
        <w:t xml:space="preserve"> were staples strands.</w:t>
      </w:r>
    </w:p>
    <w:p>
      <w:pPr>
        <w:rPr>
          <w:b/>
          <w:bCs/>
        </w:rPr>
      </w:pPr>
    </w:p>
    <w:p>
      <w:pPr>
        <w:rPr>
          <w:b/>
          <w:bCs/>
        </w:rPr>
      </w:pPr>
      <w:r>
        <w:rPr>
          <w:rFonts w:hint="eastAsia"/>
          <w:b/>
          <w:bCs/>
        </w:rPr>
        <w:t>S3</w:t>
      </w:r>
      <w:r>
        <w:rPr>
          <w:b/>
          <w:bCs/>
        </w:rPr>
        <w:t xml:space="preserve">. DNA </w:t>
      </w:r>
      <w:r>
        <w:rPr>
          <w:rFonts w:hint="eastAsia"/>
          <w:b/>
          <w:bCs/>
        </w:rPr>
        <w:t>Folding reaction recipe for four</w:t>
      </w:r>
      <w:r>
        <w:rPr>
          <w:b/>
          <w:bCs/>
        </w:rPr>
        <w:t xml:space="preserve"> DONs</w:t>
      </w:r>
    </w:p>
    <w:p>
      <w:pPr>
        <w:rPr>
          <w:b/>
          <w:bCs/>
        </w:rPr>
      </w:pPr>
      <w:r>
        <w:rPr>
          <w:rFonts w:hint="eastAsia"/>
          <w:b/>
          <w:bCs/>
        </w:rPr>
        <w:t xml:space="preserve">Table S3.1 </w:t>
      </w:r>
      <w:r>
        <w:rPr>
          <w:b/>
          <w:bCs/>
        </w:rPr>
        <w:t xml:space="preserve">DNA </w:t>
      </w:r>
      <w:r>
        <w:rPr>
          <w:rFonts w:hint="eastAsia"/>
          <w:b/>
          <w:bCs/>
        </w:rPr>
        <w:t xml:space="preserve">Folding reaction recipe for </w:t>
      </w:r>
      <w:r>
        <w:rPr>
          <w:b/>
          <w:bCs/>
        </w:rPr>
        <w:t>triangle DONs</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968"/>
        <w:gridCol w:w="1700"/>
        <w:gridCol w:w="1783"/>
        <w:gridCol w:w="207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single" w:color="auto" w:sz="12" w:space="0"/>
              <w:left w:val="nil"/>
              <w:bottom w:val="single" w:color="auto" w:sz="4" w:space="0"/>
              <w:right w:val="nil"/>
            </w:tcBorders>
            <w:shd w:val="clear" w:color="auto" w:fill="auto"/>
          </w:tcPr>
          <w:p>
            <w:r>
              <w:t>Component</w:t>
            </w:r>
          </w:p>
        </w:tc>
        <w:tc>
          <w:tcPr>
            <w:tcW w:w="1701" w:type="dxa"/>
            <w:tcBorders>
              <w:top w:val="single" w:color="auto" w:sz="12" w:space="0"/>
              <w:left w:val="nil"/>
              <w:bottom w:val="single" w:color="auto" w:sz="4" w:space="0"/>
              <w:right w:val="nil"/>
            </w:tcBorders>
            <w:shd w:val="clear" w:color="auto" w:fill="auto"/>
          </w:tcPr>
          <w:p>
            <w:r>
              <w:t>Initial concentration</w:t>
            </w:r>
          </w:p>
        </w:tc>
        <w:tc>
          <w:tcPr>
            <w:tcW w:w="1787" w:type="dxa"/>
            <w:tcBorders>
              <w:top w:val="single" w:color="auto" w:sz="12" w:space="0"/>
              <w:left w:val="nil"/>
              <w:bottom w:val="single" w:color="auto" w:sz="4" w:space="0"/>
              <w:right w:val="nil"/>
            </w:tcBorders>
            <w:shd w:val="clear" w:color="auto" w:fill="auto"/>
          </w:tcPr>
          <w:p>
            <w:r>
              <w:t>Volume</w:t>
            </w:r>
          </w:p>
        </w:tc>
        <w:tc>
          <w:tcPr>
            <w:tcW w:w="2074" w:type="dxa"/>
            <w:tcBorders>
              <w:top w:val="single" w:color="auto" w:sz="12" w:space="0"/>
              <w:left w:val="nil"/>
              <w:bottom w:val="single" w:color="auto" w:sz="4" w:space="0"/>
              <w:right w:val="nil"/>
            </w:tcBorders>
            <w:shd w:val="clear" w:color="auto" w:fill="auto"/>
          </w:tcPr>
          <w:p>
            <w:r>
              <w:t>Final concentration</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single" w:color="auto" w:sz="4" w:space="0"/>
              <w:left w:val="nil"/>
              <w:bottom w:val="nil"/>
              <w:right w:val="nil"/>
            </w:tcBorders>
            <w:shd w:val="clear" w:color="auto" w:fill="auto"/>
          </w:tcPr>
          <w:p>
            <w:r>
              <w:t>Scaffold (M13mp18)</w:t>
            </w:r>
          </w:p>
        </w:tc>
        <w:tc>
          <w:tcPr>
            <w:tcW w:w="1701" w:type="dxa"/>
            <w:tcBorders>
              <w:top w:val="single" w:color="auto" w:sz="4" w:space="0"/>
              <w:left w:val="nil"/>
              <w:bottom w:val="nil"/>
              <w:right w:val="nil"/>
            </w:tcBorders>
            <w:shd w:val="clear" w:color="auto" w:fill="auto"/>
          </w:tcPr>
          <w:p>
            <w:r>
              <w:t xml:space="preserve">100 </w:t>
            </w:r>
            <w:r>
              <w:rPr>
                <w:rFonts w:hint="eastAsia"/>
              </w:rPr>
              <w:t>n</w:t>
            </w:r>
            <w:r>
              <w:t>M</w:t>
            </w:r>
          </w:p>
        </w:tc>
        <w:tc>
          <w:tcPr>
            <w:tcW w:w="1787" w:type="dxa"/>
            <w:tcBorders>
              <w:top w:val="single" w:color="auto" w:sz="4" w:space="0"/>
              <w:left w:val="nil"/>
              <w:bottom w:val="nil"/>
              <w:right w:val="nil"/>
            </w:tcBorders>
            <w:shd w:val="clear" w:color="auto" w:fill="auto"/>
          </w:tcPr>
          <w:p>
            <w:r>
              <w:t>1.6 μL</w:t>
            </w:r>
          </w:p>
        </w:tc>
        <w:tc>
          <w:tcPr>
            <w:tcW w:w="2074" w:type="dxa"/>
            <w:tcBorders>
              <w:top w:val="single" w:color="auto" w:sz="4" w:space="0"/>
              <w:left w:val="nil"/>
              <w:bottom w:val="nil"/>
              <w:right w:val="nil"/>
            </w:tcBorders>
            <w:shd w:val="clear" w:color="auto" w:fill="auto"/>
          </w:tcPr>
          <w:p>
            <w:r>
              <w:t>1.6 nM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nil"/>
              <w:right w:val="nil"/>
            </w:tcBorders>
            <w:shd w:val="clear" w:color="auto" w:fill="auto"/>
          </w:tcPr>
          <w:p>
            <w:r>
              <w:t>Staples</w:t>
            </w:r>
          </w:p>
        </w:tc>
        <w:tc>
          <w:tcPr>
            <w:tcW w:w="1701" w:type="dxa"/>
            <w:tcBorders>
              <w:top w:val="nil"/>
              <w:left w:val="nil"/>
              <w:bottom w:val="nil"/>
              <w:right w:val="nil"/>
            </w:tcBorders>
            <w:shd w:val="clear" w:color="auto" w:fill="auto"/>
          </w:tcPr>
          <w:p>
            <w:r>
              <w:t>0.43 μM</w:t>
            </w:r>
          </w:p>
        </w:tc>
        <w:tc>
          <w:tcPr>
            <w:tcW w:w="1787" w:type="dxa"/>
            <w:tcBorders>
              <w:top w:val="nil"/>
              <w:left w:val="nil"/>
              <w:bottom w:val="nil"/>
              <w:right w:val="nil"/>
            </w:tcBorders>
            <w:shd w:val="clear" w:color="auto" w:fill="auto"/>
          </w:tcPr>
          <w:p>
            <w:r>
              <w:t>37.3 μL</w:t>
            </w:r>
          </w:p>
        </w:tc>
        <w:tc>
          <w:tcPr>
            <w:tcW w:w="2074" w:type="dxa"/>
            <w:tcBorders>
              <w:top w:val="nil"/>
              <w:left w:val="nil"/>
              <w:bottom w:val="nil"/>
              <w:right w:val="nil"/>
            </w:tcBorders>
            <w:shd w:val="clear" w:color="auto" w:fill="auto"/>
          </w:tcPr>
          <w:p>
            <w:r>
              <w:t>160 nM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nil"/>
              <w:right w:val="nil"/>
            </w:tcBorders>
            <w:shd w:val="clear" w:color="auto" w:fill="auto"/>
          </w:tcPr>
          <w:p>
            <w:pPr>
              <w:rPr>
                <w:vertAlign w:val="subscript"/>
              </w:rPr>
            </w:pPr>
            <w:r>
              <w:t>MgCl</w:t>
            </w:r>
            <w:r>
              <w:rPr>
                <w:vertAlign w:val="subscript"/>
              </w:rPr>
              <w:t>2</w:t>
            </w:r>
          </w:p>
        </w:tc>
        <w:tc>
          <w:tcPr>
            <w:tcW w:w="1701" w:type="dxa"/>
            <w:tcBorders>
              <w:top w:val="nil"/>
              <w:left w:val="nil"/>
              <w:bottom w:val="nil"/>
              <w:right w:val="nil"/>
            </w:tcBorders>
            <w:shd w:val="clear" w:color="auto" w:fill="auto"/>
          </w:tcPr>
          <w:p>
            <w:r>
              <w:t>125 mM</w:t>
            </w:r>
          </w:p>
        </w:tc>
        <w:tc>
          <w:tcPr>
            <w:tcW w:w="1787" w:type="dxa"/>
            <w:tcBorders>
              <w:top w:val="nil"/>
              <w:left w:val="nil"/>
              <w:bottom w:val="nil"/>
              <w:right w:val="nil"/>
            </w:tcBorders>
            <w:shd w:val="clear" w:color="auto" w:fill="auto"/>
          </w:tcPr>
          <w:p>
            <w:r>
              <w:t>10 μL</w:t>
            </w:r>
          </w:p>
        </w:tc>
        <w:tc>
          <w:tcPr>
            <w:tcW w:w="2074" w:type="dxa"/>
            <w:tcBorders>
              <w:top w:val="nil"/>
              <w:left w:val="nil"/>
              <w:bottom w:val="nil"/>
              <w:right w:val="nil"/>
            </w:tcBorders>
            <w:shd w:val="clear" w:color="auto" w:fill="auto"/>
          </w:tcPr>
          <w:p>
            <w:r>
              <w:t>12.5 mM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nil"/>
              <w:right w:val="nil"/>
            </w:tcBorders>
            <w:shd w:val="clear" w:color="auto" w:fill="auto"/>
          </w:tcPr>
          <w:p>
            <w:r>
              <w:t>Ultrapure water</w:t>
            </w:r>
          </w:p>
        </w:tc>
        <w:tc>
          <w:tcPr>
            <w:tcW w:w="1701" w:type="dxa"/>
            <w:tcBorders>
              <w:top w:val="nil"/>
              <w:left w:val="nil"/>
              <w:bottom w:val="nil"/>
              <w:right w:val="nil"/>
            </w:tcBorders>
            <w:shd w:val="clear" w:color="auto" w:fill="auto"/>
          </w:tcPr>
          <w:p>
            <w:r>
              <w:rPr>
                <w:rFonts w:hint="eastAsia"/>
              </w:rPr>
              <w:t>/</w:t>
            </w:r>
          </w:p>
        </w:tc>
        <w:tc>
          <w:tcPr>
            <w:tcW w:w="1787" w:type="dxa"/>
            <w:tcBorders>
              <w:top w:val="nil"/>
              <w:left w:val="nil"/>
              <w:bottom w:val="nil"/>
              <w:right w:val="nil"/>
            </w:tcBorders>
            <w:shd w:val="clear" w:color="auto" w:fill="auto"/>
          </w:tcPr>
          <w:p>
            <w:r>
              <w:t>41.1 μL</w:t>
            </w:r>
          </w:p>
        </w:tc>
        <w:tc>
          <w:tcPr>
            <w:tcW w:w="2074" w:type="dxa"/>
            <w:tcBorders>
              <w:top w:val="nil"/>
              <w:left w:val="nil"/>
              <w:bottom w:val="nil"/>
              <w:right w:val="nil"/>
            </w:tcBorders>
            <w:shd w:val="clear" w:color="auto" w:fill="auto"/>
          </w:tcPr>
          <w:p>
            <w:r>
              <w:rPr>
                <w:rFonts w:hint="eastAsia"/>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single" w:color="auto" w:sz="12" w:space="0"/>
              <w:right w:val="nil"/>
            </w:tcBorders>
            <w:shd w:val="clear" w:color="auto" w:fill="auto"/>
          </w:tcPr>
          <w:p>
            <w:r>
              <w:t xml:space="preserve">10 </w:t>
            </w:r>
            <w:r>
              <w:rPr>
                <w:rFonts w:ascii="Wingdings 2" w:hAnsi="Wingdings 2"/>
              </w:rPr>
              <w:t>Í</w:t>
            </w:r>
            <w:r>
              <w:t xml:space="preserve"> TAE</w:t>
            </w:r>
          </w:p>
        </w:tc>
        <w:tc>
          <w:tcPr>
            <w:tcW w:w="1701" w:type="dxa"/>
            <w:tcBorders>
              <w:top w:val="nil"/>
              <w:left w:val="nil"/>
              <w:bottom w:val="single" w:color="auto" w:sz="12" w:space="0"/>
              <w:right w:val="nil"/>
            </w:tcBorders>
            <w:shd w:val="clear" w:color="auto" w:fill="auto"/>
          </w:tcPr>
          <w:p>
            <w:r>
              <w:rPr>
                <w:rFonts w:hint="eastAsia"/>
              </w:rPr>
              <w:t>/</w:t>
            </w:r>
          </w:p>
        </w:tc>
        <w:tc>
          <w:tcPr>
            <w:tcW w:w="1787" w:type="dxa"/>
            <w:tcBorders>
              <w:top w:val="nil"/>
              <w:left w:val="nil"/>
              <w:bottom w:val="single" w:color="auto" w:sz="12" w:space="0"/>
              <w:right w:val="nil"/>
            </w:tcBorders>
            <w:shd w:val="clear" w:color="auto" w:fill="auto"/>
          </w:tcPr>
          <w:p>
            <w:r>
              <w:t>10 μL</w:t>
            </w:r>
          </w:p>
        </w:tc>
        <w:tc>
          <w:tcPr>
            <w:tcW w:w="2074" w:type="dxa"/>
            <w:tcBorders>
              <w:top w:val="nil"/>
              <w:left w:val="nil"/>
              <w:bottom w:val="single" w:color="auto" w:sz="12" w:space="0"/>
              <w:right w:val="nil"/>
            </w:tcBorders>
            <w:shd w:val="clear" w:color="auto" w:fill="auto"/>
          </w:tcPr>
          <w:p>
            <w:r>
              <w:rPr>
                <w:rFonts w:hint="eastAsia"/>
              </w:rPr>
              <w:t>/</w:t>
            </w:r>
          </w:p>
        </w:tc>
      </w:tr>
    </w:tbl>
    <w:p/>
    <w:p>
      <w:pPr>
        <w:rPr>
          <w:b/>
          <w:bCs/>
        </w:rPr>
      </w:pPr>
      <w:r>
        <w:rPr>
          <w:rFonts w:hint="eastAsia"/>
          <w:b/>
          <w:bCs/>
        </w:rPr>
        <w:t xml:space="preserve">Table S3.2 </w:t>
      </w:r>
      <w:r>
        <w:rPr>
          <w:b/>
          <w:bCs/>
        </w:rPr>
        <w:t xml:space="preserve">DNA </w:t>
      </w:r>
      <w:r>
        <w:rPr>
          <w:rFonts w:hint="eastAsia"/>
          <w:b/>
          <w:bCs/>
        </w:rPr>
        <w:t xml:space="preserve">Folding reaction recipe for </w:t>
      </w:r>
      <w:r>
        <w:rPr>
          <w:b/>
          <w:bCs/>
        </w:rPr>
        <w:t>rod DONs</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968"/>
        <w:gridCol w:w="1700"/>
        <w:gridCol w:w="1783"/>
        <w:gridCol w:w="207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single" w:color="auto" w:sz="12" w:space="0"/>
              <w:left w:val="nil"/>
              <w:bottom w:val="single" w:color="auto" w:sz="4" w:space="0"/>
              <w:right w:val="nil"/>
            </w:tcBorders>
            <w:shd w:val="clear" w:color="auto" w:fill="auto"/>
          </w:tcPr>
          <w:p>
            <w:r>
              <w:t>Component</w:t>
            </w:r>
          </w:p>
        </w:tc>
        <w:tc>
          <w:tcPr>
            <w:tcW w:w="1701" w:type="dxa"/>
            <w:tcBorders>
              <w:top w:val="single" w:color="auto" w:sz="12" w:space="0"/>
              <w:left w:val="nil"/>
              <w:bottom w:val="single" w:color="auto" w:sz="4" w:space="0"/>
              <w:right w:val="nil"/>
            </w:tcBorders>
            <w:shd w:val="clear" w:color="auto" w:fill="auto"/>
          </w:tcPr>
          <w:p>
            <w:r>
              <w:t>Initial concentration</w:t>
            </w:r>
          </w:p>
        </w:tc>
        <w:tc>
          <w:tcPr>
            <w:tcW w:w="1787" w:type="dxa"/>
            <w:tcBorders>
              <w:top w:val="single" w:color="auto" w:sz="12" w:space="0"/>
              <w:left w:val="nil"/>
              <w:bottom w:val="single" w:color="auto" w:sz="4" w:space="0"/>
              <w:right w:val="nil"/>
            </w:tcBorders>
            <w:shd w:val="clear" w:color="auto" w:fill="auto"/>
          </w:tcPr>
          <w:p>
            <w:r>
              <w:t>Volume</w:t>
            </w:r>
          </w:p>
        </w:tc>
        <w:tc>
          <w:tcPr>
            <w:tcW w:w="2074" w:type="dxa"/>
            <w:tcBorders>
              <w:top w:val="single" w:color="auto" w:sz="12" w:space="0"/>
              <w:left w:val="nil"/>
              <w:bottom w:val="single" w:color="auto" w:sz="4" w:space="0"/>
              <w:right w:val="nil"/>
            </w:tcBorders>
            <w:shd w:val="clear" w:color="auto" w:fill="auto"/>
          </w:tcPr>
          <w:p>
            <w:r>
              <w:t>Final concentration</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single" w:color="auto" w:sz="4" w:space="0"/>
              <w:left w:val="nil"/>
              <w:bottom w:val="nil"/>
              <w:right w:val="nil"/>
            </w:tcBorders>
            <w:shd w:val="clear" w:color="auto" w:fill="auto"/>
          </w:tcPr>
          <w:p>
            <w:r>
              <w:t>Scaffold (M13mp18)</w:t>
            </w:r>
          </w:p>
        </w:tc>
        <w:tc>
          <w:tcPr>
            <w:tcW w:w="1701" w:type="dxa"/>
            <w:tcBorders>
              <w:top w:val="single" w:color="auto" w:sz="4" w:space="0"/>
              <w:left w:val="nil"/>
              <w:bottom w:val="nil"/>
              <w:right w:val="nil"/>
            </w:tcBorders>
            <w:shd w:val="clear" w:color="auto" w:fill="auto"/>
          </w:tcPr>
          <w:p>
            <w:r>
              <w:t xml:space="preserve">100 </w:t>
            </w:r>
            <w:r>
              <w:rPr>
                <w:rFonts w:hint="eastAsia"/>
              </w:rPr>
              <w:t>n</w:t>
            </w:r>
            <w:r>
              <w:t>M</w:t>
            </w:r>
          </w:p>
        </w:tc>
        <w:tc>
          <w:tcPr>
            <w:tcW w:w="1787" w:type="dxa"/>
            <w:tcBorders>
              <w:top w:val="single" w:color="auto" w:sz="4" w:space="0"/>
              <w:left w:val="nil"/>
              <w:bottom w:val="nil"/>
              <w:right w:val="nil"/>
            </w:tcBorders>
            <w:shd w:val="clear" w:color="auto" w:fill="auto"/>
          </w:tcPr>
          <w:p>
            <w:r>
              <w:t>1.6 μL</w:t>
            </w:r>
          </w:p>
        </w:tc>
        <w:tc>
          <w:tcPr>
            <w:tcW w:w="2074" w:type="dxa"/>
            <w:tcBorders>
              <w:top w:val="single" w:color="auto" w:sz="4" w:space="0"/>
              <w:left w:val="nil"/>
              <w:bottom w:val="nil"/>
              <w:right w:val="nil"/>
            </w:tcBorders>
            <w:shd w:val="clear" w:color="auto" w:fill="auto"/>
          </w:tcPr>
          <w:p>
            <w:r>
              <w:t>1.6 nM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nil"/>
              <w:right w:val="nil"/>
            </w:tcBorders>
            <w:shd w:val="clear" w:color="auto" w:fill="auto"/>
          </w:tcPr>
          <w:p>
            <w:r>
              <w:t>Staples</w:t>
            </w:r>
          </w:p>
        </w:tc>
        <w:tc>
          <w:tcPr>
            <w:tcW w:w="1701" w:type="dxa"/>
            <w:tcBorders>
              <w:top w:val="nil"/>
              <w:left w:val="nil"/>
              <w:bottom w:val="nil"/>
              <w:right w:val="nil"/>
            </w:tcBorders>
            <w:shd w:val="clear" w:color="auto" w:fill="auto"/>
          </w:tcPr>
          <w:p>
            <w:r>
              <w:t>0.</w:t>
            </w:r>
            <w:r>
              <w:rPr>
                <w:rFonts w:hint="eastAsia"/>
              </w:rPr>
              <w:t>57</w:t>
            </w:r>
            <w:r>
              <w:t xml:space="preserve"> μM</w:t>
            </w:r>
          </w:p>
        </w:tc>
        <w:tc>
          <w:tcPr>
            <w:tcW w:w="1787" w:type="dxa"/>
            <w:tcBorders>
              <w:top w:val="nil"/>
              <w:left w:val="nil"/>
              <w:bottom w:val="nil"/>
              <w:right w:val="nil"/>
            </w:tcBorders>
            <w:shd w:val="clear" w:color="auto" w:fill="auto"/>
          </w:tcPr>
          <w:p>
            <w:r>
              <w:rPr>
                <w:rFonts w:hint="eastAsia"/>
              </w:rPr>
              <w:t>28</w:t>
            </w:r>
            <w:r>
              <w:t xml:space="preserve"> μL</w:t>
            </w:r>
          </w:p>
        </w:tc>
        <w:tc>
          <w:tcPr>
            <w:tcW w:w="2074" w:type="dxa"/>
            <w:tcBorders>
              <w:top w:val="nil"/>
              <w:left w:val="nil"/>
              <w:bottom w:val="nil"/>
              <w:right w:val="nil"/>
            </w:tcBorders>
            <w:shd w:val="clear" w:color="auto" w:fill="auto"/>
          </w:tcPr>
          <w:p>
            <w:r>
              <w:t>160 nM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nil"/>
              <w:right w:val="nil"/>
            </w:tcBorders>
            <w:shd w:val="clear" w:color="auto" w:fill="auto"/>
          </w:tcPr>
          <w:p>
            <w:pPr>
              <w:rPr>
                <w:vertAlign w:val="subscript"/>
              </w:rPr>
            </w:pPr>
            <w:r>
              <w:t>MgCl</w:t>
            </w:r>
            <w:r>
              <w:rPr>
                <w:vertAlign w:val="subscript"/>
              </w:rPr>
              <w:t>2</w:t>
            </w:r>
          </w:p>
        </w:tc>
        <w:tc>
          <w:tcPr>
            <w:tcW w:w="1701" w:type="dxa"/>
            <w:tcBorders>
              <w:top w:val="nil"/>
              <w:left w:val="nil"/>
              <w:bottom w:val="nil"/>
              <w:right w:val="nil"/>
            </w:tcBorders>
            <w:shd w:val="clear" w:color="auto" w:fill="auto"/>
          </w:tcPr>
          <w:p>
            <w:r>
              <w:t>125 mM</w:t>
            </w:r>
          </w:p>
        </w:tc>
        <w:tc>
          <w:tcPr>
            <w:tcW w:w="1787" w:type="dxa"/>
            <w:tcBorders>
              <w:top w:val="nil"/>
              <w:left w:val="nil"/>
              <w:bottom w:val="nil"/>
              <w:right w:val="nil"/>
            </w:tcBorders>
            <w:shd w:val="clear" w:color="auto" w:fill="auto"/>
          </w:tcPr>
          <w:p>
            <w:r>
              <w:t>10 μL</w:t>
            </w:r>
          </w:p>
        </w:tc>
        <w:tc>
          <w:tcPr>
            <w:tcW w:w="2074" w:type="dxa"/>
            <w:tcBorders>
              <w:top w:val="nil"/>
              <w:left w:val="nil"/>
              <w:bottom w:val="nil"/>
              <w:right w:val="nil"/>
            </w:tcBorders>
            <w:shd w:val="clear" w:color="auto" w:fill="auto"/>
          </w:tcPr>
          <w:p>
            <w:r>
              <w:t>12.5 mM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nil"/>
              <w:right w:val="nil"/>
            </w:tcBorders>
            <w:shd w:val="clear" w:color="auto" w:fill="auto"/>
          </w:tcPr>
          <w:p>
            <w:r>
              <w:t>Ultrapure water</w:t>
            </w:r>
          </w:p>
        </w:tc>
        <w:tc>
          <w:tcPr>
            <w:tcW w:w="1701" w:type="dxa"/>
            <w:tcBorders>
              <w:top w:val="nil"/>
              <w:left w:val="nil"/>
              <w:bottom w:val="nil"/>
              <w:right w:val="nil"/>
            </w:tcBorders>
            <w:shd w:val="clear" w:color="auto" w:fill="auto"/>
          </w:tcPr>
          <w:p>
            <w:r>
              <w:rPr>
                <w:rFonts w:hint="eastAsia"/>
              </w:rPr>
              <w:t>/</w:t>
            </w:r>
          </w:p>
        </w:tc>
        <w:tc>
          <w:tcPr>
            <w:tcW w:w="1787" w:type="dxa"/>
            <w:tcBorders>
              <w:top w:val="nil"/>
              <w:left w:val="nil"/>
              <w:bottom w:val="nil"/>
              <w:right w:val="nil"/>
            </w:tcBorders>
            <w:shd w:val="clear" w:color="auto" w:fill="auto"/>
          </w:tcPr>
          <w:p>
            <w:r>
              <w:rPr>
                <w:rFonts w:hint="eastAsia"/>
              </w:rPr>
              <w:t>50.4</w:t>
            </w:r>
            <w:r>
              <w:t xml:space="preserve"> μL</w:t>
            </w:r>
          </w:p>
        </w:tc>
        <w:tc>
          <w:tcPr>
            <w:tcW w:w="2074" w:type="dxa"/>
            <w:tcBorders>
              <w:top w:val="nil"/>
              <w:left w:val="nil"/>
              <w:bottom w:val="nil"/>
              <w:right w:val="nil"/>
            </w:tcBorders>
            <w:shd w:val="clear" w:color="auto" w:fill="auto"/>
          </w:tcPr>
          <w:p>
            <w:r>
              <w:rPr>
                <w:rFonts w:hint="eastAsia"/>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single" w:color="auto" w:sz="12" w:space="0"/>
              <w:right w:val="nil"/>
            </w:tcBorders>
            <w:shd w:val="clear" w:color="auto" w:fill="auto"/>
          </w:tcPr>
          <w:p>
            <w:r>
              <w:t xml:space="preserve">10 </w:t>
            </w:r>
            <w:r>
              <w:rPr>
                <w:rFonts w:ascii="Wingdings 2" w:hAnsi="Wingdings 2"/>
              </w:rPr>
              <w:t>Í</w:t>
            </w:r>
            <w:r>
              <w:t xml:space="preserve"> TAE</w:t>
            </w:r>
          </w:p>
        </w:tc>
        <w:tc>
          <w:tcPr>
            <w:tcW w:w="1701" w:type="dxa"/>
            <w:tcBorders>
              <w:top w:val="nil"/>
              <w:left w:val="nil"/>
              <w:bottom w:val="single" w:color="auto" w:sz="12" w:space="0"/>
              <w:right w:val="nil"/>
            </w:tcBorders>
            <w:shd w:val="clear" w:color="auto" w:fill="auto"/>
          </w:tcPr>
          <w:p>
            <w:r>
              <w:rPr>
                <w:rFonts w:hint="eastAsia"/>
              </w:rPr>
              <w:t>/</w:t>
            </w:r>
          </w:p>
        </w:tc>
        <w:tc>
          <w:tcPr>
            <w:tcW w:w="1787" w:type="dxa"/>
            <w:tcBorders>
              <w:top w:val="nil"/>
              <w:left w:val="nil"/>
              <w:bottom w:val="single" w:color="auto" w:sz="12" w:space="0"/>
              <w:right w:val="nil"/>
            </w:tcBorders>
            <w:shd w:val="clear" w:color="auto" w:fill="auto"/>
          </w:tcPr>
          <w:p>
            <w:r>
              <w:t>10 μL</w:t>
            </w:r>
          </w:p>
        </w:tc>
        <w:tc>
          <w:tcPr>
            <w:tcW w:w="2074" w:type="dxa"/>
            <w:tcBorders>
              <w:top w:val="nil"/>
              <w:left w:val="nil"/>
              <w:bottom w:val="single" w:color="auto" w:sz="12" w:space="0"/>
              <w:right w:val="nil"/>
            </w:tcBorders>
            <w:shd w:val="clear" w:color="auto" w:fill="auto"/>
          </w:tcPr>
          <w:p>
            <w:r>
              <w:rPr>
                <w:rFonts w:hint="eastAsia"/>
              </w:rPr>
              <w:t>/</w:t>
            </w:r>
          </w:p>
        </w:tc>
      </w:tr>
    </w:tbl>
    <w:p>
      <w:r>
        <w:t xml:space="preserve"> </w:t>
      </w:r>
    </w:p>
    <w:p>
      <w:pPr>
        <w:rPr>
          <w:b/>
          <w:bCs/>
        </w:rPr>
      </w:pPr>
      <w:r>
        <w:rPr>
          <w:rFonts w:hint="eastAsia"/>
          <w:b/>
          <w:bCs/>
        </w:rPr>
        <w:t xml:space="preserve">Table S3.3 </w:t>
      </w:r>
      <w:r>
        <w:rPr>
          <w:b/>
          <w:bCs/>
        </w:rPr>
        <w:t xml:space="preserve">DNA </w:t>
      </w:r>
      <w:r>
        <w:rPr>
          <w:rFonts w:hint="eastAsia"/>
          <w:b/>
          <w:bCs/>
        </w:rPr>
        <w:t xml:space="preserve">Folding reaction recipe for </w:t>
      </w:r>
      <w:r>
        <w:rPr>
          <w:b/>
          <w:bCs/>
        </w:rPr>
        <w:t>ring DONs</w:t>
      </w:r>
      <w:r>
        <w:rPr>
          <w:rFonts w:hint="eastAsia"/>
          <w:b/>
          <w:bCs/>
        </w:rPr>
        <w:t xml:space="preserve"> </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968"/>
        <w:gridCol w:w="1700"/>
        <w:gridCol w:w="1783"/>
        <w:gridCol w:w="207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single" w:color="auto" w:sz="12" w:space="0"/>
              <w:left w:val="nil"/>
              <w:bottom w:val="single" w:color="auto" w:sz="4" w:space="0"/>
              <w:right w:val="nil"/>
            </w:tcBorders>
            <w:shd w:val="clear" w:color="auto" w:fill="auto"/>
          </w:tcPr>
          <w:p>
            <w:r>
              <w:t>Component</w:t>
            </w:r>
          </w:p>
        </w:tc>
        <w:tc>
          <w:tcPr>
            <w:tcW w:w="1701" w:type="dxa"/>
            <w:tcBorders>
              <w:top w:val="single" w:color="auto" w:sz="12" w:space="0"/>
              <w:left w:val="nil"/>
              <w:bottom w:val="single" w:color="auto" w:sz="4" w:space="0"/>
              <w:right w:val="nil"/>
            </w:tcBorders>
            <w:shd w:val="clear" w:color="auto" w:fill="auto"/>
          </w:tcPr>
          <w:p>
            <w:r>
              <w:t>Initial concentration</w:t>
            </w:r>
          </w:p>
        </w:tc>
        <w:tc>
          <w:tcPr>
            <w:tcW w:w="1787" w:type="dxa"/>
            <w:tcBorders>
              <w:top w:val="single" w:color="auto" w:sz="12" w:space="0"/>
              <w:left w:val="nil"/>
              <w:bottom w:val="single" w:color="auto" w:sz="4" w:space="0"/>
              <w:right w:val="nil"/>
            </w:tcBorders>
            <w:shd w:val="clear" w:color="auto" w:fill="auto"/>
          </w:tcPr>
          <w:p>
            <w:r>
              <w:t>Volume</w:t>
            </w:r>
          </w:p>
        </w:tc>
        <w:tc>
          <w:tcPr>
            <w:tcW w:w="2074" w:type="dxa"/>
            <w:tcBorders>
              <w:top w:val="single" w:color="auto" w:sz="12" w:space="0"/>
              <w:left w:val="nil"/>
              <w:bottom w:val="single" w:color="auto" w:sz="4" w:space="0"/>
              <w:right w:val="nil"/>
            </w:tcBorders>
            <w:shd w:val="clear" w:color="auto" w:fill="auto"/>
          </w:tcPr>
          <w:p>
            <w:r>
              <w:t>Final concentration</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single" w:color="auto" w:sz="4" w:space="0"/>
              <w:left w:val="nil"/>
              <w:bottom w:val="nil"/>
              <w:right w:val="nil"/>
            </w:tcBorders>
            <w:shd w:val="clear" w:color="auto" w:fill="auto"/>
          </w:tcPr>
          <w:p>
            <w:r>
              <w:t>Scaffold (M13mp18)</w:t>
            </w:r>
          </w:p>
        </w:tc>
        <w:tc>
          <w:tcPr>
            <w:tcW w:w="1701" w:type="dxa"/>
            <w:tcBorders>
              <w:top w:val="single" w:color="auto" w:sz="4" w:space="0"/>
              <w:left w:val="nil"/>
              <w:bottom w:val="nil"/>
              <w:right w:val="nil"/>
            </w:tcBorders>
            <w:shd w:val="clear" w:color="auto" w:fill="auto"/>
          </w:tcPr>
          <w:p>
            <w:r>
              <w:t xml:space="preserve">100 </w:t>
            </w:r>
            <w:r>
              <w:rPr>
                <w:rFonts w:hint="eastAsia"/>
              </w:rPr>
              <w:t>n</w:t>
            </w:r>
            <w:r>
              <w:t>M</w:t>
            </w:r>
          </w:p>
        </w:tc>
        <w:tc>
          <w:tcPr>
            <w:tcW w:w="1787" w:type="dxa"/>
            <w:tcBorders>
              <w:top w:val="single" w:color="auto" w:sz="4" w:space="0"/>
              <w:left w:val="nil"/>
              <w:bottom w:val="nil"/>
              <w:right w:val="nil"/>
            </w:tcBorders>
            <w:shd w:val="clear" w:color="auto" w:fill="auto"/>
          </w:tcPr>
          <w:p>
            <w:r>
              <w:t>1.6 μL</w:t>
            </w:r>
          </w:p>
        </w:tc>
        <w:tc>
          <w:tcPr>
            <w:tcW w:w="2074" w:type="dxa"/>
            <w:tcBorders>
              <w:top w:val="single" w:color="auto" w:sz="4" w:space="0"/>
              <w:left w:val="nil"/>
              <w:bottom w:val="nil"/>
              <w:right w:val="nil"/>
            </w:tcBorders>
            <w:shd w:val="clear" w:color="auto" w:fill="auto"/>
          </w:tcPr>
          <w:p>
            <w:r>
              <w:t>1.6 nM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nil"/>
              <w:right w:val="nil"/>
            </w:tcBorders>
            <w:shd w:val="clear" w:color="auto" w:fill="auto"/>
          </w:tcPr>
          <w:p>
            <w:r>
              <w:t>Staples</w:t>
            </w:r>
          </w:p>
        </w:tc>
        <w:tc>
          <w:tcPr>
            <w:tcW w:w="1701" w:type="dxa"/>
            <w:tcBorders>
              <w:top w:val="nil"/>
              <w:left w:val="nil"/>
              <w:bottom w:val="nil"/>
              <w:right w:val="nil"/>
            </w:tcBorders>
            <w:shd w:val="clear" w:color="auto" w:fill="auto"/>
          </w:tcPr>
          <w:p>
            <w:r>
              <w:rPr>
                <w:rFonts w:hint="eastAsia"/>
              </w:rPr>
              <w:t>0.57</w:t>
            </w:r>
            <w:r>
              <w:t xml:space="preserve"> μM</w:t>
            </w:r>
          </w:p>
        </w:tc>
        <w:tc>
          <w:tcPr>
            <w:tcW w:w="1787" w:type="dxa"/>
            <w:tcBorders>
              <w:top w:val="nil"/>
              <w:left w:val="nil"/>
              <w:bottom w:val="nil"/>
              <w:right w:val="nil"/>
            </w:tcBorders>
            <w:shd w:val="clear" w:color="auto" w:fill="auto"/>
          </w:tcPr>
          <w:p>
            <w:r>
              <w:rPr>
                <w:rFonts w:hint="eastAsia"/>
              </w:rPr>
              <w:t>28</w:t>
            </w:r>
            <w:r>
              <w:t xml:space="preserve"> μL</w:t>
            </w:r>
          </w:p>
        </w:tc>
        <w:tc>
          <w:tcPr>
            <w:tcW w:w="2074" w:type="dxa"/>
            <w:tcBorders>
              <w:top w:val="nil"/>
              <w:left w:val="nil"/>
              <w:bottom w:val="nil"/>
              <w:right w:val="nil"/>
            </w:tcBorders>
            <w:shd w:val="clear" w:color="auto" w:fill="auto"/>
          </w:tcPr>
          <w:p>
            <w:r>
              <w:t>160 nM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nil"/>
              <w:right w:val="nil"/>
            </w:tcBorders>
            <w:shd w:val="clear" w:color="auto" w:fill="auto"/>
          </w:tcPr>
          <w:p>
            <w:pPr>
              <w:rPr>
                <w:vertAlign w:val="subscript"/>
              </w:rPr>
            </w:pPr>
            <w:r>
              <w:t>MgCl</w:t>
            </w:r>
            <w:r>
              <w:rPr>
                <w:vertAlign w:val="subscript"/>
              </w:rPr>
              <w:t>2</w:t>
            </w:r>
          </w:p>
        </w:tc>
        <w:tc>
          <w:tcPr>
            <w:tcW w:w="1701" w:type="dxa"/>
            <w:tcBorders>
              <w:top w:val="nil"/>
              <w:left w:val="nil"/>
              <w:bottom w:val="nil"/>
              <w:right w:val="nil"/>
            </w:tcBorders>
            <w:shd w:val="clear" w:color="auto" w:fill="auto"/>
          </w:tcPr>
          <w:p>
            <w:r>
              <w:t>125 mM</w:t>
            </w:r>
          </w:p>
        </w:tc>
        <w:tc>
          <w:tcPr>
            <w:tcW w:w="1787" w:type="dxa"/>
            <w:tcBorders>
              <w:top w:val="nil"/>
              <w:left w:val="nil"/>
              <w:bottom w:val="nil"/>
              <w:right w:val="nil"/>
            </w:tcBorders>
            <w:shd w:val="clear" w:color="auto" w:fill="auto"/>
          </w:tcPr>
          <w:p>
            <w:r>
              <w:t>10 μL</w:t>
            </w:r>
          </w:p>
        </w:tc>
        <w:tc>
          <w:tcPr>
            <w:tcW w:w="2074" w:type="dxa"/>
            <w:tcBorders>
              <w:top w:val="nil"/>
              <w:left w:val="nil"/>
              <w:bottom w:val="nil"/>
              <w:right w:val="nil"/>
            </w:tcBorders>
            <w:shd w:val="clear" w:color="auto" w:fill="auto"/>
          </w:tcPr>
          <w:p>
            <w:r>
              <w:t>12.5 mM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nil"/>
              <w:right w:val="nil"/>
            </w:tcBorders>
            <w:shd w:val="clear" w:color="auto" w:fill="auto"/>
          </w:tcPr>
          <w:p>
            <w:r>
              <w:t>Ultrapure water</w:t>
            </w:r>
          </w:p>
        </w:tc>
        <w:tc>
          <w:tcPr>
            <w:tcW w:w="1701" w:type="dxa"/>
            <w:tcBorders>
              <w:top w:val="nil"/>
              <w:left w:val="nil"/>
              <w:bottom w:val="nil"/>
              <w:right w:val="nil"/>
            </w:tcBorders>
            <w:shd w:val="clear" w:color="auto" w:fill="auto"/>
          </w:tcPr>
          <w:p>
            <w:r>
              <w:rPr>
                <w:rFonts w:hint="eastAsia"/>
              </w:rPr>
              <w:t>/</w:t>
            </w:r>
          </w:p>
        </w:tc>
        <w:tc>
          <w:tcPr>
            <w:tcW w:w="1787" w:type="dxa"/>
            <w:tcBorders>
              <w:top w:val="nil"/>
              <w:left w:val="nil"/>
              <w:bottom w:val="nil"/>
              <w:right w:val="nil"/>
            </w:tcBorders>
            <w:shd w:val="clear" w:color="auto" w:fill="auto"/>
          </w:tcPr>
          <w:p>
            <w:r>
              <w:rPr>
                <w:rFonts w:hint="eastAsia"/>
              </w:rPr>
              <w:t>50.4</w:t>
            </w:r>
            <w:r>
              <w:t xml:space="preserve"> μL</w:t>
            </w:r>
          </w:p>
        </w:tc>
        <w:tc>
          <w:tcPr>
            <w:tcW w:w="2074" w:type="dxa"/>
            <w:tcBorders>
              <w:top w:val="nil"/>
              <w:left w:val="nil"/>
              <w:bottom w:val="nil"/>
              <w:right w:val="nil"/>
            </w:tcBorders>
            <w:shd w:val="clear" w:color="auto" w:fill="auto"/>
          </w:tcPr>
          <w:p>
            <w:r>
              <w:rPr>
                <w:rFonts w:hint="eastAsia"/>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single" w:color="auto" w:sz="12" w:space="0"/>
              <w:right w:val="nil"/>
            </w:tcBorders>
            <w:shd w:val="clear" w:color="auto" w:fill="auto"/>
          </w:tcPr>
          <w:p>
            <w:r>
              <w:t xml:space="preserve">10 </w:t>
            </w:r>
            <w:r>
              <w:rPr>
                <w:rFonts w:ascii="Wingdings 2" w:hAnsi="Wingdings 2"/>
              </w:rPr>
              <w:t>Í</w:t>
            </w:r>
            <w:r>
              <w:t xml:space="preserve"> TAE</w:t>
            </w:r>
          </w:p>
        </w:tc>
        <w:tc>
          <w:tcPr>
            <w:tcW w:w="1701" w:type="dxa"/>
            <w:tcBorders>
              <w:top w:val="nil"/>
              <w:left w:val="nil"/>
              <w:bottom w:val="single" w:color="auto" w:sz="12" w:space="0"/>
              <w:right w:val="nil"/>
            </w:tcBorders>
            <w:shd w:val="clear" w:color="auto" w:fill="auto"/>
          </w:tcPr>
          <w:p>
            <w:r>
              <w:rPr>
                <w:rFonts w:hint="eastAsia"/>
              </w:rPr>
              <w:t>/</w:t>
            </w:r>
          </w:p>
        </w:tc>
        <w:tc>
          <w:tcPr>
            <w:tcW w:w="1787" w:type="dxa"/>
            <w:tcBorders>
              <w:top w:val="nil"/>
              <w:left w:val="nil"/>
              <w:bottom w:val="single" w:color="auto" w:sz="12" w:space="0"/>
              <w:right w:val="nil"/>
            </w:tcBorders>
            <w:shd w:val="clear" w:color="auto" w:fill="auto"/>
          </w:tcPr>
          <w:p>
            <w:r>
              <w:t>10 μL</w:t>
            </w:r>
          </w:p>
        </w:tc>
        <w:tc>
          <w:tcPr>
            <w:tcW w:w="2074" w:type="dxa"/>
            <w:tcBorders>
              <w:top w:val="nil"/>
              <w:left w:val="nil"/>
              <w:bottom w:val="single" w:color="auto" w:sz="12" w:space="0"/>
              <w:right w:val="nil"/>
            </w:tcBorders>
            <w:shd w:val="clear" w:color="auto" w:fill="auto"/>
          </w:tcPr>
          <w:p>
            <w:r>
              <w:rPr>
                <w:rFonts w:hint="eastAsia"/>
              </w:rPr>
              <w:t>/</w:t>
            </w:r>
          </w:p>
        </w:tc>
      </w:tr>
    </w:tbl>
    <w:p>
      <w:r>
        <w:t xml:space="preserve"> </w:t>
      </w:r>
    </w:p>
    <w:p>
      <w:pPr>
        <w:rPr>
          <w:b/>
          <w:bCs/>
        </w:rPr>
      </w:pPr>
      <w:r>
        <w:rPr>
          <w:rFonts w:hint="eastAsia"/>
          <w:b/>
          <w:bCs/>
        </w:rPr>
        <w:t xml:space="preserve">Table S3.4 </w:t>
      </w:r>
      <w:r>
        <w:rPr>
          <w:b/>
          <w:bCs/>
        </w:rPr>
        <w:t xml:space="preserve">DNA </w:t>
      </w:r>
      <w:r>
        <w:rPr>
          <w:rFonts w:hint="eastAsia"/>
          <w:b/>
          <w:bCs/>
        </w:rPr>
        <w:t xml:space="preserve">Folding reaction recipe for </w:t>
      </w:r>
      <w:r>
        <w:rPr>
          <w:b/>
          <w:bCs/>
        </w:rPr>
        <w:t>o</w:t>
      </w:r>
      <w:r>
        <w:rPr>
          <w:rFonts w:hint="eastAsia"/>
          <w:b/>
          <w:bCs/>
        </w:rPr>
        <w:t>ctahedron</w:t>
      </w:r>
      <w:r>
        <w:rPr>
          <w:b/>
          <w:bCs/>
        </w:rPr>
        <w:t xml:space="preserve"> DONs</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968"/>
        <w:gridCol w:w="1700"/>
        <w:gridCol w:w="1783"/>
        <w:gridCol w:w="207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single" w:color="auto" w:sz="12" w:space="0"/>
              <w:left w:val="nil"/>
              <w:bottom w:val="single" w:color="auto" w:sz="4" w:space="0"/>
              <w:right w:val="nil"/>
            </w:tcBorders>
            <w:shd w:val="clear" w:color="auto" w:fill="auto"/>
          </w:tcPr>
          <w:p>
            <w:r>
              <w:t>Component</w:t>
            </w:r>
          </w:p>
        </w:tc>
        <w:tc>
          <w:tcPr>
            <w:tcW w:w="1701" w:type="dxa"/>
            <w:tcBorders>
              <w:top w:val="single" w:color="auto" w:sz="12" w:space="0"/>
              <w:left w:val="nil"/>
              <w:bottom w:val="single" w:color="auto" w:sz="4" w:space="0"/>
              <w:right w:val="nil"/>
            </w:tcBorders>
            <w:shd w:val="clear" w:color="auto" w:fill="auto"/>
          </w:tcPr>
          <w:p>
            <w:r>
              <w:t>Initial concentration</w:t>
            </w:r>
          </w:p>
        </w:tc>
        <w:tc>
          <w:tcPr>
            <w:tcW w:w="1787" w:type="dxa"/>
            <w:tcBorders>
              <w:top w:val="single" w:color="auto" w:sz="12" w:space="0"/>
              <w:left w:val="nil"/>
              <w:bottom w:val="single" w:color="auto" w:sz="4" w:space="0"/>
              <w:right w:val="nil"/>
            </w:tcBorders>
            <w:shd w:val="clear" w:color="auto" w:fill="auto"/>
          </w:tcPr>
          <w:p>
            <w:r>
              <w:t>Volume</w:t>
            </w:r>
          </w:p>
        </w:tc>
        <w:tc>
          <w:tcPr>
            <w:tcW w:w="2074" w:type="dxa"/>
            <w:tcBorders>
              <w:top w:val="single" w:color="auto" w:sz="12" w:space="0"/>
              <w:left w:val="nil"/>
              <w:bottom w:val="single" w:color="auto" w:sz="4" w:space="0"/>
              <w:right w:val="nil"/>
            </w:tcBorders>
            <w:shd w:val="clear" w:color="auto" w:fill="auto"/>
          </w:tcPr>
          <w:p>
            <w:r>
              <w:t>Final concentration</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single" w:color="auto" w:sz="4" w:space="0"/>
              <w:left w:val="nil"/>
              <w:bottom w:val="nil"/>
              <w:right w:val="nil"/>
            </w:tcBorders>
            <w:shd w:val="clear" w:color="auto" w:fill="auto"/>
          </w:tcPr>
          <w:p>
            <w:r>
              <w:t>Scaffold (M13mp18)</w:t>
            </w:r>
          </w:p>
        </w:tc>
        <w:tc>
          <w:tcPr>
            <w:tcW w:w="1701" w:type="dxa"/>
            <w:tcBorders>
              <w:top w:val="single" w:color="auto" w:sz="4" w:space="0"/>
              <w:left w:val="nil"/>
              <w:bottom w:val="nil"/>
              <w:right w:val="nil"/>
            </w:tcBorders>
            <w:shd w:val="clear" w:color="auto" w:fill="auto"/>
          </w:tcPr>
          <w:p>
            <w:r>
              <w:t xml:space="preserve">100 </w:t>
            </w:r>
            <w:r>
              <w:rPr>
                <w:rFonts w:hint="eastAsia"/>
              </w:rPr>
              <w:t>n</w:t>
            </w:r>
            <w:r>
              <w:t>M</w:t>
            </w:r>
          </w:p>
        </w:tc>
        <w:tc>
          <w:tcPr>
            <w:tcW w:w="1787" w:type="dxa"/>
            <w:tcBorders>
              <w:top w:val="single" w:color="auto" w:sz="4" w:space="0"/>
              <w:left w:val="nil"/>
              <w:bottom w:val="nil"/>
              <w:right w:val="nil"/>
            </w:tcBorders>
            <w:shd w:val="clear" w:color="auto" w:fill="auto"/>
          </w:tcPr>
          <w:p>
            <w:r>
              <w:t>1.6 μL</w:t>
            </w:r>
          </w:p>
        </w:tc>
        <w:tc>
          <w:tcPr>
            <w:tcW w:w="2074" w:type="dxa"/>
            <w:tcBorders>
              <w:top w:val="single" w:color="auto" w:sz="4" w:space="0"/>
              <w:left w:val="nil"/>
              <w:bottom w:val="nil"/>
              <w:right w:val="nil"/>
            </w:tcBorders>
            <w:shd w:val="clear" w:color="auto" w:fill="auto"/>
          </w:tcPr>
          <w:p>
            <w:r>
              <w:t>1.6 nM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nil"/>
              <w:right w:val="nil"/>
            </w:tcBorders>
            <w:shd w:val="clear" w:color="auto" w:fill="auto"/>
          </w:tcPr>
          <w:p>
            <w:r>
              <w:t>Staples</w:t>
            </w:r>
          </w:p>
        </w:tc>
        <w:tc>
          <w:tcPr>
            <w:tcW w:w="1701" w:type="dxa"/>
            <w:tcBorders>
              <w:top w:val="nil"/>
              <w:left w:val="nil"/>
              <w:bottom w:val="nil"/>
              <w:right w:val="nil"/>
            </w:tcBorders>
            <w:shd w:val="clear" w:color="auto" w:fill="auto"/>
          </w:tcPr>
          <w:p>
            <w:r>
              <w:t>0.</w:t>
            </w:r>
            <w:r>
              <w:rPr>
                <w:rFonts w:hint="eastAsia"/>
              </w:rPr>
              <w:t>64</w:t>
            </w:r>
            <w:r>
              <w:t xml:space="preserve"> μM</w:t>
            </w:r>
          </w:p>
        </w:tc>
        <w:tc>
          <w:tcPr>
            <w:tcW w:w="1787" w:type="dxa"/>
            <w:tcBorders>
              <w:top w:val="nil"/>
              <w:left w:val="nil"/>
              <w:bottom w:val="nil"/>
              <w:right w:val="nil"/>
            </w:tcBorders>
            <w:shd w:val="clear" w:color="auto" w:fill="auto"/>
          </w:tcPr>
          <w:p>
            <w:r>
              <w:rPr>
                <w:rFonts w:hint="eastAsia"/>
              </w:rPr>
              <w:t>25</w:t>
            </w:r>
            <w:r>
              <w:t xml:space="preserve"> μL</w:t>
            </w:r>
          </w:p>
        </w:tc>
        <w:tc>
          <w:tcPr>
            <w:tcW w:w="2074" w:type="dxa"/>
            <w:tcBorders>
              <w:top w:val="nil"/>
              <w:left w:val="nil"/>
              <w:bottom w:val="nil"/>
              <w:right w:val="nil"/>
            </w:tcBorders>
            <w:shd w:val="clear" w:color="auto" w:fill="auto"/>
          </w:tcPr>
          <w:p>
            <w:r>
              <w:t>160 nM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nil"/>
              <w:right w:val="nil"/>
            </w:tcBorders>
            <w:shd w:val="clear" w:color="auto" w:fill="auto"/>
          </w:tcPr>
          <w:p>
            <w:pPr>
              <w:rPr>
                <w:vertAlign w:val="subscript"/>
              </w:rPr>
            </w:pPr>
            <w:r>
              <w:t>MgCl</w:t>
            </w:r>
            <w:r>
              <w:rPr>
                <w:vertAlign w:val="subscript"/>
              </w:rPr>
              <w:t>2</w:t>
            </w:r>
          </w:p>
        </w:tc>
        <w:tc>
          <w:tcPr>
            <w:tcW w:w="1701" w:type="dxa"/>
            <w:tcBorders>
              <w:top w:val="nil"/>
              <w:left w:val="nil"/>
              <w:bottom w:val="nil"/>
              <w:right w:val="nil"/>
            </w:tcBorders>
            <w:shd w:val="clear" w:color="auto" w:fill="auto"/>
          </w:tcPr>
          <w:p>
            <w:r>
              <w:t>125 mM</w:t>
            </w:r>
          </w:p>
        </w:tc>
        <w:tc>
          <w:tcPr>
            <w:tcW w:w="1787" w:type="dxa"/>
            <w:tcBorders>
              <w:top w:val="nil"/>
              <w:left w:val="nil"/>
              <w:bottom w:val="nil"/>
              <w:right w:val="nil"/>
            </w:tcBorders>
            <w:shd w:val="clear" w:color="auto" w:fill="auto"/>
          </w:tcPr>
          <w:p>
            <w:r>
              <w:t>10 μL</w:t>
            </w:r>
          </w:p>
        </w:tc>
        <w:tc>
          <w:tcPr>
            <w:tcW w:w="2074" w:type="dxa"/>
            <w:tcBorders>
              <w:top w:val="nil"/>
              <w:left w:val="nil"/>
              <w:bottom w:val="nil"/>
              <w:right w:val="nil"/>
            </w:tcBorders>
            <w:shd w:val="clear" w:color="auto" w:fill="auto"/>
          </w:tcPr>
          <w:p>
            <w:r>
              <w:t>12.5 mM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nil"/>
              <w:right w:val="nil"/>
            </w:tcBorders>
            <w:shd w:val="clear" w:color="auto" w:fill="auto"/>
          </w:tcPr>
          <w:p>
            <w:r>
              <w:t>Ultrapure water</w:t>
            </w:r>
          </w:p>
        </w:tc>
        <w:tc>
          <w:tcPr>
            <w:tcW w:w="1701" w:type="dxa"/>
            <w:tcBorders>
              <w:top w:val="nil"/>
              <w:left w:val="nil"/>
              <w:bottom w:val="nil"/>
              <w:right w:val="nil"/>
            </w:tcBorders>
            <w:shd w:val="clear" w:color="auto" w:fill="auto"/>
          </w:tcPr>
          <w:p>
            <w:r>
              <w:rPr>
                <w:rFonts w:hint="eastAsia"/>
              </w:rPr>
              <w:t>/</w:t>
            </w:r>
          </w:p>
        </w:tc>
        <w:tc>
          <w:tcPr>
            <w:tcW w:w="1787" w:type="dxa"/>
            <w:tcBorders>
              <w:top w:val="nil"/>
              <w:left w:val="nil"/>
              <w:bottom w:val="nil"/>
              <w:right w:val="nil"/>
            </w:tcBorders>
            <w:shd w:val="clear" w:color="auto" w:fill="auto"/>
          </w:tcPr>
          <w:p>
            <w:r>
              <w:rPr>
                <w:rFonts w:hint="eastAsia"/>
              </w:rPr>
              <w:t xml:space="preserve">53.4 </w:t>
            </w:r>
            <w:r>
              <w:t>μL</w:t>
            </w:r>
          </w:p>
        </w:tc>
        <w:tc>
          <w:tcPr>
            <w:tcW w:w="2074" w:type="dxa"/>
            <w:tcBorders>
              <w:top w:val="nil"/>
              <w:left w:val="nil"/>
              <w:bottom w:val="nil"/>
              <w:right w:val="nil"/>
            </w:tcBorders>
            <w:shd w:val="clear" w:color="auto" w:fill="auto"/>
          </w:tcPr>
          <w:p>
            <w:r>
              <w:rPr>
                <w:rFonts w:hint="eastAsia"/>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7" w:type="dxa"/>
            <w:tcBorders>
              <w:top w:val="nil"/>
              <w:left w:val="nil"/>
              <w:bottom w:val="single" w:color="auto" w:sz="12" w:space="0"/>
              <w:right w:val="nil"/>
            </w:tcBorders>
            <w:shd w:val="clear" w:color="auto" w:fill="auto"/>
          </w:tcPr>
          <w:p>
            <w:r>
              <w:t xml:space="preserve">10 </w:t>
            </w:r>
            <w:r>
              <w:rPr>
                <w:rFonts w:ascii="Wingdings 2" w:hAnsi="Wingdings 2"/>
              </w:rPr>
              <w:t>Í</w:t>
            </w:r>
            <w:r>
              <w:t xml:space="preserve"> TAE</w:t>
            </w:r>
          </w:p>
        </w:tc>
        <w:tc>
          <w:tcPr>
            <w:tcW w:w="1701" w:type="dxa"/>
            <w:tcBorders>
              <w:top w:val="nil"/>
              <w:left w:val="nil"/>
              <w:bottom w:val="single" w:color="auto" w:sz="12" w:space="0"/>
              <w:right w:val="nil"/>
            </w:tcBorders>
            <w:shd w:val="clear" w:color="auto" w:fill="auto"/>
          </w:tcPr>
          <w:p>
            <w:r>
              <w:rPr>
                <w:rFonts w:hint="eastAsia"/>
              </w:rPr>
              <w:t>/</w:t>
            </w:r>
          </w:p>
        </w:tc>
        <w:tc>
          <w:tcPr>
            <w:tcW w:w="1787" w:type="dxa"/>
            <w:tcBorders>
              <w:top w:val="nil"/>
              <w:left w:val="nil"/>
              <w:bottom w:val="single" w:color="auto" w:sz="12" w:space="0"/>
              <w:right w:val="nil"/>
            </w:tcBorders>
            <w:shd w:val="clear" w:color="auto" w:fill="auto"/>
          </w:tcPr>
          <w:p>
            <w:r>
              <w:t>10 μL</w:t>
            </w:r>
          </w:p>
        </w:tc>
        <w:tc>
          <w:tcPr>
            <w:tcW w:w="2074" w:type="dxa"/>
            <w:tcBorders>
              <w:top w:val="nil"/>
              <w:left w:val="nil"/>
              <w:bottom w:val="single" w:color="auto" w:sz="12" w:space="0"/>
              <w:right w:val="nil"/>
            </w:tcBorders>
            <w:shd w:val="clear" w:color="auto" w:fill="auto"/>
          </w:tcPr>
          <w:p>
            <w:r>
              <w:rPr>
                <w:rFonts w:hint="eastAsia"/>
              </w:rPr>
              <w:t>/</w:t>
            </w:r>
          </w:p>
        </w:tc>
      </w:tr>
    </w:tbl>
    <w:p/>
    <w:p/>
    <w:p>
      <w:pPr>
        <w:rPr>
          <w:b/>
          <w:bCs/>
        </w:rPr>
      </w:pPr>
      <w:r>
        <w:rPr>
          <w:b/>
          <w:bCs/>
        </w:rPr>
        <w:t>S</w:t>
      </w:r>
      <w:r>
        <w:rPr>
          <w:rFonts w:hint="eastAsia"/>
          <w:b/>
          <w:bCs/>
        </w:rPr>
        <w:t>4</w:t>
      </w:r>
      <w:r>
        <w:rPr>
          <w:b/>
          <w:bCs/>
        </w:rPr>
        <w:t xml:space="preserve">. Yield% calculation for each DONs </w:t>
      </w:r>
    </w:p>
    <w:p>
      <w:r>
        <w:t>The theoretical value was calculated based on the ssDNA scaffold concentration (1.6 nM). Each n.t. was assumed to have an average molecular weight of 330 g/mol (</w:t>
      </w:r>
      <w:r>
        <w:rPr>
          <w:b/>
          <w:bCs/>
        </w:rPr>
        <w:t xml:space="preserve">Suppl. Mater. </w:t>
      </w:r>
      <w:r>
        <w:rPr>
          <w:rFonts w:hint="eastAsia"/>
          <w:b/>
          <w:bCs/>
        </w:rPr>
        <w:t>E</w:t>
      </w:r>
      <w:r>
        <w:rPr>
          <w:b/>
          <w:bCs/>
        </w:rPr>
        <w:t>xcel S2</w:t>
      </w:r>
      <w:r>
        <w:t>). Nanodrop was used to measure experimental concentrations of DNA-origami samples. One μL of purified individual DNA-origami nanostructure was dropped onto the sample detection platform, the droplet was forced into the center detection chamber of the platform by lowering the cantilever to form a liquid column. The double-stranded DNA detection module was selected, and the system default parameters were chosen as follow: a baseline corrected wavelength of 340 nm, a default double-stranded extinction coefficient of 50 ng-cm/μL, and the A260/A230 and A260/A280 ratios were used to validate the DNA purity. The final measurement of the sample concentration was recorded in ng/μL (</w:t>
      </w:r>
      <w:r>
        <w:rPr>
          <w:b/>
          <w:bCs/>
        </w:rPr>
        <w:t>Table S5</w:t>
      </w:r>
      <w:r>
        <w:t xml:space="preserve">). </w:t>
      </w:r>
    </w:p>
    <w:p>
      <w:pPr>
        <w:rPr>
          <w:b/>
          <w:bCs/>
        </w:rPr>
      </w:pPr>
      <w:r>
        <w:rPr>
          <w:b/>
          <w:bCs/>
        </w:rPr>
        <w:t>Table S</w:t>
      </w:r>
      <w:r>
        <w:rPr>
          <w:rFonts w:hint="eastAsia"/>
          <w:b/>
          <w:bCs/>
        </w:rPr>
        <w:t>.4</w:t>
      </w:r>
      <w:r>
        <w:rPr>
          <w:b/>
          <w:bCs/>
        </w:rPr>
        <w:t xml:space="preserve"> Yield% of DNA-origami nanostructures measured by Nanodrop</w:t>
      </w:r>
    </w:p>
    <w:tbl>
      <w:tblPr>
        <w:tblStyle w:val="9"/>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43"/>
        <w:gridCol w:w="2571"/>
        <w:gridCol w:w="2310"/>
        <w:gridCol w:w="1561"/>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1616" w:type="dxa"/>
            <w:tcBorders>
              <w:top w:val="single" w:color="auto" w:sz="12" w:space="0"/>
              <w:bottom w:val="single" w:color="auto" w:sz="4" w:space="0"/>
            </w:tcBorders>
          </w:tcPr>
          <w:p>
            <w:r>
              <w:t>DNA</w:t>
            </w:r>
            <w:r>
              <w:rPr>
                <w:rFonts w:hint="eastAsia"/>
              </w:rPr>
              <w:t>nanostructure</w:t>
            </w:r>
          </w:p>
        </w:tc>
        <w:tc>
          <w:tcPr>
            <w:tcW w:w="2571" w:type="dxa"/>
            <w:tcBorders>
              <w:top w:val="single" w:color="auto" w:sz="12" w:space="0"/>
              <w:bottom w:val="single" w:color="auto" w:sz="4" w:space="0"/>
            </w:tcBorders>
          </w:tcPr>
          <w:p>
            <w:r>
              <w:t>Measured concentration (ng/μL)</w:t>
            </w:r>
          </w:p>
        </w:tc>
        <w:tc>
          <w:tcPr>
            <w:tcW w:w="2310" w:type="dxa"/>
            <w:tcBorders>
              <w:top w:val="single" w:color="auto" w:sz="12" w:space="0"/>
              <w:bottom w:val="single" w:color="auto" w:sz="4" w:space="0"/>
            </w:tcBorders>
          </w:tcPr>
          <w:p>
            <w:r>
              <w:t>Estimated theoretical value (ng/</w:t>
            </w:r>
            <w:bookmarkStart w:id="0" w:name="_Hlk166959371"/>
            <w:r>
              <w:t>μ</w:t>
            </w:r>
            <w:bookmarkEnd w:id="0"/>
            <w:r>
              <w:t>L)</w:t>
            </w:r>
          </w:p>
        </w:tc>
        <w:tc>
          <w:tcPr>
            <w:tcW w:w="1561" w:type="dxa"/>
            <w:tcBorders>
              <w:top w:val="single" w:color="auto" w:sz="12" w:space="0"/>
              <w:bottom w:val="single" w:color="auto" w:sz="4" w:space="0"/>
            </w:tcBorders>
          </w:tcPr>
          <w:p>
            <w:r>
              <w:t>Yield</w:t>
            </w:r>
            <w:r>
              <w:rPr>
                <w:vertAlign w:val="superscript"/>
              </w:rPr>
              <w:t>a</w:t>
            </w:r>
            <w:r>
              <w:t xml:space="preserve">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16" w:type="dxa"/>
            <w:tcBorders>
              <w:top w:val="single" w:color="auto" w:sz="4" w:space="0"/>
            </w:tcBorders>
          </w:tcPr>
          <w:p>
            <w:r>
              <w:t>Triangle</w:t>
            </w:r>
          </w:p>
        </w:tc>
        <w:tc>
          <w:tcPr>
            <w:tcW w:w="2571" w:type="dxa"/>
            <w:tcBorders>
              <w:top w:val="single" w:color="auto" w:sz="4" w:space="0"/>
            </w:tcBorders>
          </w:tcPr>
          <w:p>
            <w:r>
              <w:rPr>
                <w:rFonts w:hint="eastAsia"/>
              </w:rPr>
              <w:t>5.0</w:t>
            </w:r>
            <w:r>
              <w:t xml:space="preserve"> ± 0.17</w:t>
            </w:r>
          </w:p>
        </w:tc>
        <w:tc>
          <w:tcPr>
            <w:tcW w:w="2310" w:type="dxa"/>
            <w:tcBorders>
              <w:top w:val="single" w:color="auto" w:sz="4" w:space="0"/>
            </w:tcBorders>
          </w:tcPr>
          <w:p>
            <w:r>
              <w:t>7.78</w:t>
            </w:r>
          </w:p>
        </w:tc>
        <w:tc>
          <w:tcPr>
            <w:tcW w:w="1561" w:type="dxa"/>
            <w:tcBorders>
              <w:top w:val="single" w:color="auto" w:sz="4" w:space="0"/>
            </w:tcBorders>
          </w:tcPr>
          <w:p>
            <w:r>
              <w:rPr>
                <w:rFonts w:hint="eastAsia"/>
              </w:rPr>
              <w:t>56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616" w:type="dxa"/>
          </w:tcPr>
          <w:p>
            <w:r>
              <w:t>Ring</w:t>
            </w:r>
          </w:p>
        </w:tc>
        <w:tc>
          <w:tcPr>
            <w:tcW w:w="2571" w:type="dxa"/>
          </w:tcPr>
          <w:p>
            <w:r>
              <w:t>4.</w:t>
            </w:r>
            <w:r>
              <w:rPr>
                <w:rFonts w:hint="eastAsia"/>
              </w:rPr>
              <w:t>2</w:t>
            </w:r>
            <w:r>
              <w:t xml:space="preserve"> </w:t>
            </w:r>
            <w:r>
              <w:rPr>
                <w:rFonts w:eastAsia="等线"/>
              </w:rPr>
              <w:t>±</w:t>
            </w:r>
            <w:r>
              <w:t xml:space="preserve"> 0.21</w:t>
            </w:r>
          </w:p>
        </w:tc>
        <w:tc>
          <w:tcPr>
            <w:tcW w:w="2310" w:type="dxa"/>
          </w:tcPr>
          <w:p>
            <w:r>
              <w:t>7.66</w:t>
            </w:r>
          </w:p>
        </w:tc>
        <w:tc>
          <w:tcPr>
            <w:tcW w:w="1561" w:type="dxa"/>
          </w:tcPr>
          <w:p>
            <w:r>
              <w:t>5</w:t>
            </w:r>
            <w:r>
              <w:rPr>
                <w:rFonts w:hint="eastAsia"/>
              </w:rPr>
              <w:t>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1616" w:type="dxa"/>
          </w:tcPr>
          <w:p>
            <w:r>
              <w:t>Rod</w:t>
            </w:r>
          </w:p>
        </w:tc>
        <w:tc>
          <w:tcPr>
            <w:tcW w:w="2571" w:type="dxa"/>
          </w:tcPr>
          <w:p>
            <w:r>
              <w:rPr>
                <w:rFonts w:hint="eastAsia"/>
              </w:rPr>
              <w:t>4</w:t>
            </w:r>
            <w:r>
              <w:t>.</w:t>
            </w:r>
            <w:r>
              <w:rPr>
                <w:rFonts w:hint="eastAsia"/>
              </w:rPr>
              <w:t>5</w:t>
            </w:r>
            <w:r>
              <w:t xml:space="preserve"> ± 0.12</w:t>
            </w:r>
          </w:p>
        </w:tc>
        <w:tc>
          <w:tcPr>
            <w:tcW w:w="2310" w:type="dxa"/>
          </w:tcPr>
          <w:p>
            <w:r>
              <w:t>7.68</w:t>
            </w:r>
          </w:p>
        </w:tc>
        <w:tc>
          <w:tcPr>
            <w:tcW w:w="1561" w:type="dxa"/>
          </w:tcPr>
          <w:p>
            <w:r>
              <w:rPr>
                <w:rFonts w:hint="eastAsia"/>
              </w:rPr>
              <w:t>59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1616" w:type="dxa"/>
          </w:tcPr>
          <w:p>
            <w:r>
              <w:t>Octahedron</w:t>
            </w:r>
          </w:p>
        </w:tc>
        <w:tc>
          <w:tcPr>
            <w:tcW w:w="2571" w:type="dxa"/>
          </w:tcPr>
          <w:p>
            <w:r>
              <w:rPr>
                <w:rFonts w:hint="eastAsia"/>
              </w:rPr>
              <w:t>3.9</w:t>
            </w:r>
            <w:r>
              <w:t xml:space="preserve"> ± 0.6</w:t>
            </w:r>
          </w:p>
        </w:tc>
        <w:tc>
          <w:tcPr>
            <w:tcW w:w="2310" w:type="dxa"/>
          </w:tcPr>
          <w:p>
            <w:r>
              <w:t>7.02</w:t>
            </w:r>
          </w:p>
        </w:tc>
        <w:tc>
          <w:tcPr>
            <w:tcW w:w="1561" w:type="dxa"/>
          </w:tcPr>
          <w:p>
            <w:r>
              <w:rPr>
                <w:rFonts w:hint="eastAsia"/>
              </w:rPr>
              <w:t>54</w:t>
            </w:r>
          </w:p>
        </w:tc>
      </w:tr>
    </w:tbl>
    <w:p>
      <w:r>
        <w:rPr>
          <w:rFonts w:hint="eastAsia"/>
        </w:rPr>
        <w:t xml:space="preserve">a: </w:t>
      </w:r>
      <m:oMath>
        <m:r>
          <m:rPr/>
          <w:rPr>
            <w:rFonts w:ascii="Cambria Math" w:hAnsi="Cambria Math"/>
          </w:rPr>
          <m:t>Yield</m:t>
        </m:r>
        <m:r>
          <m:rPr>
            <m:sty m:val="p"/>
          </m:rPr>
          <w:rPr>
            <w:rFonts w:ascii="Cambria Math" w:hAnsi="Cambria Math"/>
          </w:rPr>
          <m:t>=</m:t>
        </m:r>
        <m:f>
          <m:fPr>
            <m:ctrlPr>
              <w:rPr>
                <w:rFonts w:ascii="Cambria Math" w:hAnsi="Cambria Math"/>
              </w:rPr>
            </m:ctrlPr>
          </m:fPr>
          <m:num>
            <m:r>
              <m:rPr/>
              <w:rPr>
                <w:rFonts w:ascii="Cambria Math" w:hAnsi="Cambria Math"/>
              </w:rPr>
              <m:t>Measured</m:t>
            </m:r>
            <m:r>
              <m:rPr>
                <m:sty m:val="p"/>
              </m:rPr>
              <w:rPr>
                <w:rFonts w:ascii="Cambria Math" w:hAnsi="Cambria Math"/>
              </w:rPr>
              <m:t xml:space="preserve"> </m:t>
            </m:r>
            <m:r>
              <m:rPr/>
              <w:rPr>
                <w:rFonts w:ascii="Cambria Math" w:hAnsi="Cambria Math"/>
              </w:rPr>
              <m:t>concentration</m:t>
            </m:r>
            <m:ctrlPr>
              <w:rPr>
                <w:rFonts w:ascii="Cambria Math" w:hAnsi="Cambria Math"/>
              </w:rPr>
            </m:ctrlPr>
          </m:num>
          <m:den>
            <m:r>
              <m:rPr/>
              <w:rPr>
                <w:rFonts w:ascii="Cambria Math" w:hAnsi="Cambria Math"/>
              </w:rPr>
              <m:t>Tℎeoretical</m:t>
            </m:r>
            <m:r>
              <m:rPr>
                <m:sty m:val="p"/>
              </m:rPr>
              <w:rPr>
                <w:rFonts w:ascii="Cambria Math" w:hAnsi="Cambria Math"/>
              </w:rPr>
              <m:t xml:space="preserve"> </m:t>
            </m:r>
            <m:r>
              <m:rPr/>
              <w:rPr>
                <w:rFonts w:ascii="Cambria Math" w:hAnsi="Cambria Math"/>
              </w:rPr>
              <m:t>value</m:t>
            </m:r>
            <m:ctrlPr>
              <w:rPr>
                <w:rFonts w:ascii="Cambria Math" w:hAnsi="Cambria Math"/>
              </w:rPr>
            </m:ctrlPr>
          </m:den>
        </m:f>
        <m:r>
          <m:rPr>
            <m:sty m:val="p"/>
          </m:rPr>
          <w:rPr>
            <w:rFonts w:ascii="Cambria Math" w:hAnsi="Cambria Math"/>
          </w:rPr>
          <m:t>×100%</m:t>
        </m:r>
      </m:oMath>
    </w:p>
    <w:p/>
    <w:p>
      <w:pPr>
        <w:rPr>
          <w:b/>
          <w:bCs/>
        </w:rPr>
      </w:pPr>
      <w:r>
        <w:rPr>
          <w:b/>
          <w:bCs/>
        </w:rPr>
        <w:t>S</w:t>
      </w:r>
      <w:r>
        <w:rPr>
          <w:rFonts w:hint="eastAsia"/>
          <w:b/>
          <w:bCs/>
        </w:rPr>
        <w:t>5</w:t>
      </w:r>
      <w:r>
        <w:rPr>
          <w:b/>
          <w:bCs/>
        </w:rPr>
        <w:t xml:space="preserve">. </w:t>
      </w:r>
      <w:bookmarkStart w:id="1" w:name="OLE_LINK4"/>
      <w:r>
        <w:rPr>
          <w:b/>
          <w:bCs/>
        </w:rPr>
        <w:t xml:space="preserve">Purification efficiency using ultracentrifugation </w:t>
      </w:r>
      <w:bookmarkEnd w:id="1"/>
    </w:p>
    <w:p>
      <w:pPr>
        <w:pStyle w:val="2"/>
      </w:pPr>
      <w:r>
        <w:rPr>
          <w:rFonts w:hint="eastAsia"/>
        </w:rPr>
        <w:t>U</w:t>
      </w:r>
      <w:r>
        <w:t>ltracentrifugation greatly reduced the excess stapled DNA in the</w:t>
      </w:r>
      <w:r>
        <w:rPr>
          <w:rFonts w:hint="eastAsia"/>
        </w:rPr>
        <w:t xml:space="preserve"> </w:t>
      </w:r>
      <w:r>
        <w:t>DONs samples. To estimate the purification, we used Image J to quantify the OD values of each band on the agarose gel before and after ultracentrifugation (Table S</w:t>
      </w:r>
      <w:r>
        <w:rPr>
          <w:rFonts w:hint="eastAsia"/>
        </w:rPr>
        <w:t>3</w:t>
      </w:r>
      <w:r>
        <w:t>)</w:t>
      </w:r>
      <w:r>
        <w:rPr>
          <w:rFonts w:hint="eastAsia"/>
        </w:rPr>
        <w:t>.</w:t>
      </w:r>
    </w:p>
    <w:p>
      <w:pPr>
        <w:rPr>
          <w:b/>
          <w:bCs/>
        </w:rPr>
      </w:pPr>
      <w:r>
        <w:rPr>
          <w:b/>
          <w:bCs/>
        </w:rPr>
        <w:t>Table S</w:t>
      </w:r>
      <w:r>
        <w:rPr>
          <w:rFonts w:hint="eastAsia"/>
          <w:b/>
          <w:bCs/>
        </w:rPr>
        <w:t>.5</w:t>
      </w:r>
      <w:r>
        <w:rPr>
          <w:b/>
          <w:bCs/>
        </w:rPr>
        <w:t xml:space="preserve"> Purification of DNA origami structures (n=</w:t>
      </w:r>
      <w:r>
        <w:rPr>
          <w:rFonts w:hint="eastAsia"/>
          <w:b/>
          <w:bCs/>
        </w:rPr>
        <w:t>6</w:t>
      </w:r>
      <w:r>
        <w:rPr>
          <w:b/>
          <w:bCs/>
        </w:rPr>
        <w:t>)</w:t>
      </w:r>
    </w:p>
    <w:tbl>
      <w:tblPr>
        <w:tblStyle w:val="9"/>
        <w:tblW w:w="8440" w:type="dxa"/>
        <w:tblCellSpacing w:w="0" w:type="dxa"/>
        <w:tblInd w:w="0" w:type="dxa"/>
        <w:tblLayout w:type="autofit"/>
        <w:tblCellMar>
          <w:top w:w="0" w:type="dxa"/>
          <w:left w:w="0" w:type="dxa"/>
          <w:bottom w:w="0" w:type="dxa"/>
          <w:right w:w="0" w:type="dxa"/>
        </w:tblCellMar>
      </w:tblPr>
      <w:tblGrid>
        <w:gridCol w:w="1688"/>
        <w:gridCol w:w="1688"/>
        <w:gridCol w:w="1688"/>
        <w:gridCol w:w="1688"/>
        <w:gridCol w:w="1688"/>
      </w:tblGrid>
      <w:tr>
        <w:tblPrEx>
          <w:tblCellMar>
            <w:top w:w="0" w:type="dxa"/>
            <w:left w:w="0" w:type="dxa"/>
            <w:bottom w:w="0" w:type="dxa"/>
            <w:right w:w="0" w:type="dxa"/>
          </w:tblCellMar>
        </w:tblPrEx>
        <w:trPr>
          <w:trHeight w:val="334" w:hRule="atLeast"/>
          <w:tblCellSpacing w:w="0" w:type="dxa"/>
        </w:trPr>
        <w:tc>
          <w:tcPr>
            <w:tcW w:w="1688" w:type="dxa"/>
            <w:tcBorders>
              <w:top w:val="single" w:color="auto" w:sz="12" w:space="0"/>
              <w:bottom w:val="nil"/>
            </w:tcBorders>
            <w:tcMar>
              <w:top w:w="72" w:type="dxa"/>
              <w:left w:w="144" w:type="dxa"/>
              <w:bottom w:w="72" w:type="dxa"/>
              <w:right w:w="144" w:type="dxa"/>
            </w:tcMar>
          </w:tcPr>
          <w:p>
            <w:pPr>
              <w:pStyle w:val="7"/>
            </w:pPr>
          </w:p>
        </w:tc>
        <w:tc>
          <w:tcPr>
            <w:tcW w:w="3376" w:type="dxa"/>
            <w:gridSpan w:val="2"/>
            <w:tcBorders>
              <w:top w:val="single" w:color="auto" w:sz="12" w:space="0"/>
              <w:bottom w:val="single" w:color="auto" w:sz="4" w:space="0"/>
            </w:tcBorders>
            <w:tcMar>
              <w:top w:w="72" w:type="dxa"/>
              <w:left w:w="144" w:type="dxa"/>
              <w:bottom w:w="72" w:type="dxa"/>
              <w:right w:w="144" w:type="dxa"/>
            </w:tcMar>
          </w:tcPr>
          <w:p>
            <w:pPr>
              <w:pStyle w:val="7"/>
            </w:pPr>
            <w:r>
              <w:t>Before purification</w:t>
            </w:r>
          </w:p>
        </w:tc>
        <w:tc>
          <w:tcPr>
            <w:tcW w:w="3376" w:type="dxa"/>
            <w:gridSpan w:val="2"/>
            <w:tcBorders>
              <w:top w:val="single" w:color="auto" w:sz="12" w:space="0"/>
              <w:bottom w:val="single" w:color="auto" w:sz="4" w:space="0"/>
            </w:tcBorders>
            <w:tcMar>
              <w:top w:w="72" w:type="dxa"/>
              <w:left w:w="144" w:type="dxa"/>
              <w:bottom w:w="72" w:type="dxa"/>
              <w:right w:w="144" w:type="dxa"/>
            </w:tcMar>
          </w:tcPr>
          <w:p>
            <w:pPr>
              <w:pStyle w:val="7"/>
            </w:pPr>
            <w:r>
              <w:t>After purification</w:t>
            </w:r>
          </w:p>
        </w:tc>
      </w:tr>
      <w:tr>
        <w:tblPrEx>
          <w:tblCellMar>
            <w:top w:w="0" w:type="dxa"/>
            <w:left w:w="0" w:type="dxa"/>
            <w:bottom w:w="0" w:type="dxa"/>
            <w:right w:w="0" w:type="dxa"/>
          </w:tblCellMar>
        </w:tblPrEx>
        <w:trPr>
          <w:trHeight w:val="334" w:hRule="atLeast"/>
          <w:tblCellSpacing w:w="0" w:type="dxa"/>
        </w:trPr>
        <w:tc>
          <w:tcPr>
            <w:tcW w:w="1688" w:type="dxa"/>
            <w:tcBorders>
              <w:top w:val="nil"/>
              <w:bottom w:val="single" w:color="auto" w:sz="6" w:space="0"/>
            </w:tcBorders>
            <w:tcMar>
              <w:top w:w="72" w:type="dxa"/>
              <w:left w:w="144" w:type="dxa"/>
              <w:bottom w:w="72" w:type="dxa"/>
              <w:right w:w="144" w:type="dxa"/>
            </w:tcMar>
          </w:tcPr>
          <w:p>
            <w:pPr>
              <w:pStyle w:val="7"/>
            </w:pPr>
          </w:p>
        </w:tc>
        <w:tc>
          <w:tcPr>
            <w:tcW w:w="1688" w:type="dxa"/>
            <w:tcBorders>
              <w:top w:val="nil"/>
              <w:bottom w:val="single" w:color="auto" w:sz="6" w:space="0"/>
            </w:tcBorders>
            <w:tcMar>
              <w:top w:w="72" w:type="dxa"/>
              <w:left w:w="144" w:type="dxa"/>
              <w:bottom w:w="72" w:type="dxa"/>
              <w:right w:w="144" w:type="dxa"/>
            </w:tcMar>
          </w:tcPr>
          <w:p>
            <w:pPr>
              <w:pStyle w:val="7"/>
            </w:pPr>
            <w:r>
              <w:t xml:space="preserve">DNA origami </w:t>
            </w:r>
            <w:r>
              <w:rPr>
                <w:vertAlign w:val="superscript"/>
              </w:rPr>
              <w:t>a</w:t>
            </w:r>
          </w:p>
        </w:tc>
        <w:tc>
          <w:tcPr>
            <w:tcW w:w="1688" w:type="dxa"/>
            <w:tcBorders>
              <w:top w:val="nil"/>
              <w:bottom w:val="single" w:color="auto" w:sz="6" w:space="0"/>
            </w:tcBorders>
            <w:tcMar>
              <w:top w:w="72" w:type="dxa"/>
              <w:left w:w="144" w:type="dxa"/>
              <w:bottom w:w="72" w:type="dxa"/>
              <w:right w:w="144" w:type="dxa"/>
            </w:tcMar>
          </w:tcPr>
          <w:p>
            <w:pPr>
              <w:pStyle w:val="7"/>
            </w:pPr>
            <w:r>
              <w:t xml:space="preserve">staple DNA </w:t>
            </w:r>
            <w:r>
              <w:rPr>
                <w:vertAlign w:val="superscript"/>
              </w:rPr>
              <w:t>b</w:t>
            </w:r>
          </w:p>
        </w:tc>
        <w:tc>
          <w:tcPr>
            <w:tcW w:w="1688" w:type="dxa"/>
            <w:tcBorders>
              <w:top w:val="nil"/>
              <w:bottom w:val="single" w:color="auto" w:sz="6" w:space="0"/>
            </w:tcBorders>
            <w:tcMar>
              <w:top w:w="72" w:type="dxa"/>
              <w:left w:w="144" w:type="dxa"/>
              <w:bottom w:w="72" w:type="dxa"/>
              <w:right w:w="144" w:type="dxa"/>
            </w:tcMar>
          </w:tcPr>
          <w:p>
            <w:pPr>
              <w:pStyle w:val="7"/>
            </w:pPr>
            <w:r>
              <w:t xml:space="preserve">DNA origami </w:t>
            </w:r>
            <w:r>
              <w:rPr>
                <w:vertAlign w:val="superscript"/>
              </w:rPr>
              <w:t>a</w:t>
            </w:r>
          </w:p>
        </w:tc>
        <w:tc>
          <w:tcPr>
            <w:tcW w:w="1688" w:type="dxa"/>
            <w:tcBorders>
              <w:top w:val="nil"/>
              <w:bottom w:val="single" w:color="auto" w:sz="6" w:space="0"/>
            </w:tcBorders>
            <w:tcMar>
              <w:top w:w="72" w:type="dxa"/>
              <w:left w:w="144" w:type="dxa"/>
              <w:bottom w:w="72" w:type="dxa"/>
              <w:right w:w="144" w:type="dxa"/>
            </w:tcMar>
          </w:tcPr>
          <w:p>
            <w:pPr>
              <w:pStyle w:val="7"/>
            </w:pPr>
            <w:r>
              <w:t xml:space="preserve">staple DNA </w:t>
            </w:r>
            <w:r>
              <w:rPr>
                <w:vertAlign w:val="superscript"/>
              </w:rPr>
              <w:t>b</w:t>
            </w:r>
          </w:p>
        </w:tc>
      </w:tr>
      <w:tr>
        <w:tblPrEx>
          <w:tblCellMar>
            <w:top w:w="0" w:type="dxa"/>
            <w:left w:w="0" w:type="dxa"/>
            <w:bottom w:w="0" w:type="dxa"/>
            <w:right w:w="0" w:type="dxa"/>
          </w:tblCellMar>
        </w:tblPrEx>
        <w:trPr>
          <w:trHeight w:val="280" w:hRule="atLeast"/>
          <w:tblCellSpacing w:w="0" w:type="dxa"/>
        </w:trPr>
        <w:tc>
          <w:tcPr>
            <w:tcW w:w="1688" w:type="dxa"/>
            <w:tcBorders>
              <w:top w:val="nil"/>
              <w:bottom w:val="nil"/>
            </w:tcBorders>
            <w:tcMar>
              <w:top w:w="20" w:type="dxa"/>
              <w:left w:w="20" w:type="dxa"/>
              <w:bottom w:w="72" w:type="dxa"/>
              <w:right w:w="20" w:type="dxa"/>
            </w:tcMar>
            <w:vAlign w:val="center"/>
          </w:tcPr>
          <w:p>
            <w:pPr>
              <w:pStyle w:val="7"/>
            </w:pPr>
            <w:r>
              <w:t>triangle</w:t>
            </w:r>
          </w:p>
        </w:tc>
        <w:tc>
          <w:tcPr>
            <w:tcW w:w="1688" w:type="dxa"/>
            <w:tcBorders>
              <w:top w:val="nil"/>
              <w:bottom w:val="nil"/>
            </w:tcBorders>
            <w:tcMar>
              <w:top w:w="20" w:type="dxa"/>
              <w:left w:w="20" w:type="dxa"/>
              <w:bottom w:w="72" w:type="dxa"/>
              <w:right w:w="20" w:type="dxa"/>
            </w:tcMar>
            <w:vAlign w:val="center"/>
          </w:tcPr>
          <w:p>
            <w:pPr>
              <w:pStyle w:val="7"/>
            </w:pPr>
            <w:r>
              <w:t>8.04±1.04</w:t>
            </w:r>
          </w:p>
        </w:tc>
        <w:tc>
          <w:tcPr>
            <w:tcW w:w="1688" w:type="dxa"/>
            <w:tcBorders>
              <w:top w:val="nil"/>
              <w:bottom w:val="nil"/>
            </w:tcBorders>
            <w:tcMar>
              <w:top w:w="20" w:type="dxa"/>
              <w:left w:w="20" w:type="dxa"/>
              <w:bottom w:w="72" w:type="dxa"/>
              <w:right w:w="20" w:type="dxa"/>
            </w:tcMar>
            <w:vAlign w:val="center"/>
          </w:tcPr>
          <w:p>
            <w:pPr>
              <w:pStyle w:val="7"/>
            </w:pPr>
            <w:r>
              <w:t>91.96±1.04</w:t>
            </w:r>
          </w:p>
        </w:tc>
        <w:tc>
          <w:tcPr>
            <w:tcW w:w="1688" w:type="dxa"/>
            <w:tcBorders>
              <w:top w:val="nil"/>
              <w:bottom w:val="nil"/>
            </w:tcBorders>
            <w:tcMar>
              <w:top w:w="20" w:type="dxa"/>
              <w:left w:w="20" w:type="dxa"/>
              <w:bottom w:w="72" w:type="dxa"/>
              <w:right w:w="20" w:type="dxa"/>
            </w:tcMar>
            <w:vAlign w:val="center"/>
          </w:tcPr>
          <w:p>
            <w:pPr>
              <w:pStyle w:val="7"/>
            </w:pPr>
            <w:r>
              <w:t>82.73±15.04</w:t>
            </w:r>
          </w:p>
        </w:tc>
        <w:tc>
          <w:tcPr>
            <w:tcW w:w="1688" w:type="dxa"/>
            <w:tcBorders>
              <w:top w:val="nil"/>
              <w:bottom w:val="nil"/>
            </w:tcBorders>
            <w:tcMar>
              <w:top w:w="20" w:type="dxa"/>
              <w:left w:w="20" w:type="dxa"/>
              <w:bottom w:w="72" w:type="dxa"/>
              <w:right w:w="20" w:type="dxa"/>
            </w:tcMar>
            <w:vAlign w:val="center"/>
          </w:tcPr>
          <w:p>
            <w:pPr>
              <w:pStyle w:val="7"/>
            </w:pPr>
            <w:r>
              <w:t>17.27±15.04</w:t>
            </w:r>
          </w:p>
        </w:tc>
      </w:tr>
      <w:tr>
        <w:tblPrEx>
          <w:tblCellMar>
            <w:top w:w="0" w:type="dxa"/>
            <w:left w:w="0" w:type="dxa"/>
            <w:bottom w:w="0" w:type="dxa"/>
            <w:right w:w="0" w:type="dxa"/>
          </w:tblCellMar>
        </w:tblPrEx>
        <w:trPr>
          <w:trHeight w:val="280" w:hRule="atLeast"/>
          <w:tblCellSpacing w:w="0" w:type="dxa"/>
        </w:trPr>
        <w:tc>
          <w:tcPr>
            <w:tcW w:w="1688" w:type="dxa"/>
            <w:tcBorders>
              <w:top w:val="nil"/>
              <w:bottom w:val="nil"/>
            </w:tcBorders>
            <w:tcMar>
              <w:top w:w="20" w:type="dxa"/>
              <w:left w:w="20" w:type="dxa"/>
              <w:bottom w:w="72" w:type="dxa"/>
              <w:right w:w="20" w:type="dxa"/>
            </w:tcMar>
            <w:vAlign w:val="center"/>
          </w:tcPr>
          <w:p>
            <w:pPr>
              <w:pStyle w:val="7"/>
            </w:pPr>
            <w:r>
              <w:t>rod</w:t>
            </w:r>
          </w:p>
        </w:tc>
        <w:tc>
          <w:tcPr>
            <w:tcW w:w="1688" w:type="dxa"/>
            <w:tcBorders>
              <w:top w:val="nil"/>
              <w:bottom w:val="nil"/>
            </w:tcBorders>
            <w:tcMar>
              <w:top w:w="20" w:type="dxa"/>
              <w:left w:w="20" w:type="dxa"/>
              <w:bottom w:w="72" w:type="dxa"/>
              <w:right w:w="20" w:type="dxa"/>
            </w:tcMar>
            <w:vAlign w:val="center"/>
          </w:tcPr>
          <w:p>
            <w:pPr>
              <w:pStyle w:val="7"/>
            </w:pPr>
            <w:r>
              <w:t>8.36±0.90</w:t>
            </w:r>
          </w:p>
        </w:tc>
        <w:tc>
          <w:tcPr>
            <w:tcW w:w="1688" w:type="dxa"/>
            <w:tcBorders>
              <w:top w:val="nil"/>
              <w:bottom w:val="nil"/>
            </w:tcBorders>
            <w:tcMar>
              <w:top w:w="20" w:type="dxa"/>
              <w:left w:w="20" w:type="dxa"/>
              <w:bottom w:w="72" w:type="dxa"/>
              <w:right w:w="20" w:type="dxa"/>
            </w:tcMar>
            <w:vAlign w:val="center"/>
          </w:tcPr>
          <w:p>
            <w:pPr>
              <w:pStyle w:val="7"/>
            </w:pPr>
            <w:r>
              <w:t>91.64±0.90</w:t>
            </w:r>
          </w:p>
        </w:tc>
        <w:tc>
          <w:tcPr>
            <w:tcW w:w="1688" w:type="dxa"/>
            <w:tcBorders>
              <w:top w:val="nil"/>
              <w:bottom w:val="nil"/>
            </w:tcBorders>
            <w:tcMar>
              <w:top w:w="20" w:type="dxa"/>
              <w:left w:w="20" w:type="dxa"/>
              <w:bottom w:w="72" w:type="dxa"/>
              <w:right w:w="20" w:type="dxa"/>
            </w:tcMar>
            <w:vAlign w:val="center"/>
          </w:tcPr>
          <w:p>
            <w:pPr>
              <w:pStyle w:val="7"/>
            </w:pPr>
            <w:r>
              <w:t>83.07±21.18</w:t>
            </w:r>
          </w:p>
        </w:tc>
        <w:tc>
          <w:tcPr>
            <w:tcW w:w="1688" w:type="dxa"/>
            <w:tcBorders>
              <w:top w:val="nil"/>
              <w:bottom w:val="nil"/>
            </w:tcBorders>
            <w:tcMar>
              <w:top w:w="20" w:type="dxa"/>
              <w:left w:w="20" w:type="dxa"/>
              <w:bottom w:w="72" w:type="dxa"/>
              <w:right w:w="20" w:type="dxa"/>
            </w:tcMar>
            <w:vAlign w:val="center"/>
          </w:tcPr>
          <w:p>
            <w:pPr>
              <w:pStyle w:val="7"/>
            </w:pPr>
            <w:r>
              <w:t>16.93±21.18</w:t>
            </w:r>
          </w:p>
        </w:tc>
      </w:tr>
      <w:tr>
        <w:tblPrEx>
          <w:tblCellMar>
            <w:top w:w="0" w:type="dxa"/>
            <w:left w:w="0" w:type="dxa"/>
            <w:bottom w:w="0" w:type="dxa"/>
            <w:right w:w="0" w:type="dxa"/>
          </w:tblCellMar>
        </w:tblPrEx>
        <w:trPr>
          <w:trHeight w:val="280" w:hRule="atLeast"/>
          <w:tblCellSpacing w:w="0" w:type="dxa"/>
        </w:trPr>
        <w:tc>
          <w:tcPr>
            <w:tcW w:w="1688" w:type="dxa"/>
            <w:tcBorders>
              <w:top w:val="nil"/>
              <w:bottom w:val="nil"/>
            </w:tcBorders>
            <w:tcMar>
              <w:top w:w="20" w:type="dxa"/>
              <w:left w:w="20" w:type="dxa"/>
              <w:bottom w:w="72" w:type="dxa"/>
              <w:right w:w="20" w:type="dxa"/>
            </w:tcMar>
            <w:vAlign w:val="center"/>
          </w:tcPr>
          <w:p>
            <w:pPr>
              <w:pStyle w:val="7"/>
            </w:pPr>
            <w:r>
              <w:t>ring</w:t>
            </w:r>
          </w:p>
        </w:tc>
        <w:tc>
          <w:tcPr>
            <w:tcW w:w="1688" w:type="dxa"/>
            <w:tcBorders>
              <w:top w:val="nil"/>
              <w:bottom w:val="nil"/>
            </w:tcBorders>
            <w:tcMar>
              <w:top w:w="20" w:type="dxa"/>
              <w:left w:w="20" w:type="dxa"/>
              <w:bottom w:w="72" w:type="dxa"/>
              <w:right w:w="20" w:type="dxa"/>
            </w:tcMar>
            <w:vAlign w:val="center"/>
          </w:tcPr>
          <w:p>
            <w:pPr>
              <w:pStyle w:val="7"/>
            </w:pPr>
            <w:r>
              <w:t>5.99±4.25</w:t>
            </w:r>
          </w:p>
        </w:tc>
        <w:tc>
          <w:tcPr>
            <w:tcW w:w="1688" w:type="dxa"/>
            <w:tcBorders>
              <w:top w:val="nil"/>
              <w:bottom w:val="nil"/>
            </w:tcBorders>
            <w:tcMar>
              <w:top w:w="20" w:type="dxa"/>
              <w:left w:w="20" w:type="dxa"/>
              <w:bottom w:w="72" w:type="dxa"/>
              <w:right w:w="20" w:type="dxa"/>
            </w:tcMar>
            <w:vAlign w:val="center"/>
          </w:tcPr>
          <w:p>
            <w:pPr>
              <w:pStyle w:val="7"/>
            </w:pPr>
            <w:r>
              <w:t>94.01±4.25</w:t>
            </w:r>
          </w:p>
        </w:tc>
        <w:tc>
          <w:tcPr>
            <w:tcW w:w="1688" w:type="dxa"/>
            <w:tcBorders>
              <w:top w:val="nil"/>
              <w:bottom w:val="nil"/>
            </w:tcBorders>
            <w:tcMar>
              <w:top w:w="20" w:type="dxa"/>
              <w:left w:w="20" w:type="dxa"/>
              <w:bottom w:w="72" w:type="dxa"/>
              <w:right w:w="20" w:type="dxa"/>
            </w:tcMar>
            <w:vAlign w:val="center"/>
          </w:tcPr>
          <w:p>
            <w:pPr>
              <w:pStyle w:val="7"/>
            </w:pPr>
            <w:r>
              <w:t>81.84±14.17</w:t>
            </w:r>
          </w:p>
        </w:tc>
        <w:tc>
          <w:tcPr>
            <w:tcW w:w="1688" w:type="dxa"/>
            <w:tcBorders>
              <w:top w:val="nil"/>
              <w:bottom w:val="nil"/>
            </w:tcBorders>
            <w:tcMar>
              <w:top w:w="20" w:type="dxa"/>
              <w:left w:w="20" w:type="dxa"/>
              <w:bottom w:w="72" w:type="dxa"/>
              <w:right w:w="20" w:type="dxa"/>
            </w:tcMar>
            <w:vAlign w:val="center"/>
          </w:tcPr>
          <w:p>
            <w:pPr>
              <w:pStyle w:val="7"/>
            </w:pPr>
            <w:r>
              <w:t>18.16±14.17</w:t>
            </w:r>
          </w:p>
        </w:tc>
      </w:tr>
      <w:tr>
        <w:tblPrEx>
          <w:tblCellMar>
            <w:top w:w="0" w:type="dxa"/>
            <w:left w:w="0" w:type="dxa"/>
            <w:bottom w:w="0" w:type="dxa"/>
            <w:right w:w="0" w:type="dxa"/>
          </w:tblCellMar>
        </w:tblPrEx>
        <w:trPr>
          <w:trHeight w:val="280" w:hRule="atLeast"/>
          <w:tblCellSpacing w:w="0" w:type="dxa"/>
        </w:trPr>
        <w:tc>
          <w:tcPr>
            <w:tcW w:w="1688" w:type="dxa"/>
            <w:tcBorders>
              <w:top w:val="nil"/>
              <w:bottom w:val="single" w:color="auto" w:sz="12" w:space="0"/>
            </w:tcBorders>
            <w:tcMar>
              <w:top w:w="20" w:type="dxa"/>
              <w:left w:w="20" w:type="dxa"/>
              <w:bottom w:w="72" w:type="dxa"/>
              <w:right w:w="20" w:type="dxa"/>
            </w:tcMar>
            <w:vAlign w:val="center"/>
          </w:tcPr>
          <w:p>
            <w:pPr>
              <w:pStyle w:val="7"/>
            </w:pPr>
            <w:r>
              <w:t>octahedron</w:t>
            </w:r>
          </w:p>
        </w:tc>
        <w:tc>
          <w:tcPr>
            <w:tcW w:w="1688" w:type="dxa"/>
            <w:tcBorders>
              <w:top w:val="nil"/>
              <w:bottom w:val="single" w:color="auto" w:sz="12" w:space="0"/>
            </w:tcBorders>
            <w:tcMar>
              <w:top w:w="20" w:type="dxa"/>
              <w:left w:w="20" w:type="dxa"/>
              <w:bottom w:w="72" w:type="dxa"/>
              <w:right w:w="20" w:type="dxa"/>
            </w:tcMar>
            <w:vAlign w:val="center"/>
          </w:tcPr>
          <w:p>
            <w:pPr>
              <w:pStyle w:val="7"/>
            </w:pPr>
            <w:r>
              <w:t>5.40±1.27</w:t>
            </w:r>
          </w:p>
        </w:tc>
        <w:tc>
          <w:tcPr>
            <w:tcW w:w="1688" w:type="dxa"/>
            <w:tcBorders>
              <w:top w:val="nil"/>
              <w:bottom w:val="single" w:color="auto" w:sz="12" w:space="0"/>
            </w:tcBorders>
            <w:tcMar>
              <w:top w:w="20" w:type="dxa"/>
              <w:left w:w="20" w:type="dxa"/>
              <w:bottom w:w="72" w:type="dxa"/>
              <w:right w:w="20" w:type="dxa"/>
            </w:tcMar>
            <w:vAlign w:val="center"/>
          </w:tcPr>
          <w:p>
            <w:pPr>
              <w:pStyle w:val="7"/>
            </w:pPr>
            <w:r>
              <w:t>94.60±1.27</w:t>
            </w:r>
          </w:p>
        </w:tc>
        <w:tc>
          <w:tcPr>
            <w:tcW w:w="1688" w:type="dxa"/>
            <w:tcBorders>
              <w:top w:val="nil"/>
              <w:bottom w:val="single" w:color="auto" w:sz="12" w:space="0"/>
            </w:tcBorders>
            <w:tcMar>
              <w:top w:w="20" w:type="dxa"/>
              <w:left w:w="20" w:type="dxa"/>
              <w:bottom w:w="72" w:type="dxa"/>
              <w:right w:w="20" w:type="dxa"/>
            </w:tcMar>
            <w:vAlign w:val="center"/>
          </w:tcPr>
          <w:p>
            <w:pPr>
              <w:pStyle w:val="7"/>
            </w:pPr>
            <w:r>
              <w:t>73.50±32.10</w:t>
            </w:r>
          </w:p>
        </w:tc>
        <w:tc>
          <w:tcPr>
            <w:tcW w:w="1688" w:type="dxa"/>
            <w:tcBorders>
              <w:top w:val="nil"/>
              <w:bottom w:val="single" w:color="auto" w:sz="12" w:space="0"/>
            </w:tcBorders>
            <w:tcMar>
              <w:top w:w="20" w:type="dxa"/>
              <w:left w:w="20" w:type="dxa"/>
              <w:bottom w:w="72" w:type="dxa"/>
              <w:right w:w="20" w:type="dxa"/>
            </w:tcMar>
            <w:vAlign w:val="center"/>
          </w:tcPr>
          <w:p>
            <w:pPr>
              <w:pStyle w:val="7"/>
            </w:pPr>
            <w:r>
              <w:t>26.50±32.10</w:t>
            </w:r>
          </w:p>
        </w:tc>
      </w:tr>
    </w:tbl>
    <w:p>
      <w:pPr>
        <w:rPr>
          <w:sz w:val="36"/>
          <w:szCs w:val="36"/>
        </w:rPr>
      </w:pPr>
      <w:r>
        <w:rPr>
          <w:rFonts w:hint="eastAsia"/>
        </w:rPr>
        <w:t xml:space="preserve">a : </w:t>
      </w:r>
      <m:oMath>
        <m:r>
          <m:rPr>
            <m:sty m:val="p"/>
          </m:rPr>
          <w:rPr>
            <w:rFonts w:ascii="Cambria Math" w:hAnsi="Cambria Math"/>
          </w:rPr>
          <m:t xml:space="preserve"> </m:t>
        </m:r>
        <m:r>
          <m:rPr/>
          <w:rPr>
            <w:rFonts w:ascii="Cambria Math" w:hAnsi="Cambria Math"/>
          </w:rPr>
          <m:t>Purity</m:t>
        </m:r>
        <m:r>
          <m:rPr>
            <m:sty m:val="p"/>
          </m:rPr>
          <w:rPr>
            <w:rFonts w:ascii="Cambria Math" w:hAnsi="Cambria Math"/>
          </w:rPr>
          <m:t>%=</m:t>
        </m:r>
        <m:f>
          <m:fPr>
            <m:ctrlPr>
              <w:rPr>
                <w:rFonts w:ascii="Cambria Math" w:hAnsi="Cambria Math"/>
              </w:rPr>
            </m:ctrlPr>
          </m:fPr>
          <m:num>
            <m:r>
              <m:rPr/>
              <w:rPr>
                <w:rFonts w:ascii="Cambria Math" w:hAnsi="Cambria Math"/>
              </w:rPr>
              <m:t>OD</m:t>
            </m:r>
            <m:r>
              <m:rPr>
                <m:sty m:val="p"/>
              </m:rPr>
              <w:rPr>
                <w:rFonts w:ascii="Cambria Math" w:hAnsi="Cambria Math"/>
              </w:rPr>
              <m:t xml:space="preserve"> </m:t>
            </m:r>
            <m:r>
              <m:rPr/>
              <w:rPr>
                <w:rFonts w:ascii="Cambria Math" w:hAnsi="Cambria Math"/>
              </w:rPr>
              <m:t>of</m:t>
            </m:r>
            <m:r>
              <m:rPr>
                <m:sty m:val="p"/>
              </m:rPr>
              <w:rPr>
                <w:rFonts w:ascii="Cambria Math" w:hAnsi="Cambria Math"/>
              </w:rPr>
              <m:t xml:space="preserve"> </m:t>
            </m:r>
            <m:r>
              <m:rPr/>
              <w:rPr>
                <w:rFonts w:ascii="Cambria Math" w:hAnsi="Cambria Math"/>
              </w:rPr>
              <m:t>DNA</m:t>
            </m:r>
            <m:r>
              <m:rPr>
                <m:sty m:val="p"/>
              </m:rPr>
              <w:rPr>
                <w:rFonts w:ascii="Cambria Math" w:hAnsi="Cambria Math"/>
              </w:rPr>
              <m:t>−</m:t>
            </m:r>
            <m:r>
              <m:rPr/>
              <w:rPr>
                <w:rFonts w:ascii="Cambria Math" w:hAnsi="Cambria Math"/>
              </w:rPr>
              <m:t>Origami</m:t>
            </m:r>
            <m:r>
              <m:rPr>
                <m:sty m:val="p"/>
              </m:rPr>
              <w:rPr>
                <w:rFonts w:ascii="Cambria Math" w:hAnsi="Cambria Math"/>
              </w:rPr>
              <m:t xml:space="preserve"> </m:t>
            </m:r>
            <m:r>
              <m:rPr/>
              <w:rPr>
                <w:rFonts w:ascii="Cambria Math" w:hAnsi="Cambria Math"/>
              </w:rPr>
              <m:t>Structure</m:t>
            </m:r>
            <m:r>
              <m:rPr>
                <m:sty m:val="p"/>
              </m:rPr>
              <w:rPr>
                <w:rFonts w:ascii="Cambria Math" w:hAnsi="Cambria Math"/>
              </w:rPr>
              <m:t xml:space="preserve">  </m:t>
            </m:r>
            <m:ctrlPr>
              <w:rPr>
                <w:rFonts w:ascii="Cambria Math" w:hAnsi="Cambria Math"/>
              </w:rPr>
            </m:ctrlPr>
          </m:num>
          <m:den>
            <m:r>
              <m:rPr/>
              <w:rPr>
                <w:rFonts w:ascii="Cambria Math" w:hAnsi="Cambria Math"/>
              </w:rPr>
              <m:t>OD</m:t>
            </m:r>
            <m:r>
              <m:rPr>
                <m:sty m:val="p"/>
              </m:rPr>
              <w:rPr>
                <w:rFonts w:ascii="Cambria Math" w:hAnsi="Cambria Math"/>
              </w:rPr>
              <m:t xml:space="preserve"> </m:t>
            </m:r>
            <m:r>
              <m:rPr/>
              <w:rPr>
                <w:rFonts w:ascii="Cambria Math" w:hAnsi="Cambria Math"/>
              </w:rPr>
              <m:t>of</m:t>
            </m:r>
            <m:r>
              <m:rPr>
                <m:sty m:val="p"/>
              </m:rPr>
              <w:rPr>
                <w:rFonts w:ascii="Cambria Math" w:hAnsi="Cambria Math"/>
              </w:rPr>
              <m:t xml:space="preserve"> </m:t>
            </m:r>
            <m:r>
              <m:rPr/>
              <w:rPr>
                <w:rFonts w:ascii="Cambria Math" w:hAnsi="Cambria Math"/>
              </w:rPr>
              <m:t>sum</m:t>
            </m:r>
            <m:r>
              <m:rPr>
                <m:sty m:val="p"/>
              </m:rPr>
              <w:rPr>
                <w:rFonts w:ascii="Cambria Math" w:hAnsi="Cambria Math"/>
              </w:rPr>
              <m:t xml:space="preserve"> [</m:t>
            </m:r>
            <m:r>
              <m:rPr/>
              <w:rPr>
                <w:rFonts w:ascii="Cambria Math" w:hAnsi="Cambria Math"/>
              </w:rPr>
              <m:t>DNA</m:t>
            </m:r>
            <m:r>
              <m:rPr>
                <m:sty m:val="p"/>
              </m:rPr>
              <w:rPr>
                <w:rFonts w:ascii="Cambria Math" w:hAnsi="Cambria Math"/>
              </w:rPr>
              <m:t>−</m:t>
            </m:r>
            <m:r>
              <m:rPr/>
              <w:rPr>
                <w:rFonts w:ascii="Cambria Math" w:hAnsi="Cambria Math"/>
              </w:rPr>
              <m:t>origami</m:t>
            </m:r>
            <m:r>
              <m:rPr>
                <m:sty m:val="p"/>
              </m:rPr>
              <w:rPr>
                <w:rFonts w:ascii="Cambria Math" w:hAnsi="Cambria Math"/>
              </w:rPr>
              <m:t xml:space="preserve"> </m:t>
            </m:r>
            <m:r>
              <m:rPr/>
              <w:rPr>
                <w:rFonts w:ascii="Cambria Math" w:hAnsi="Cambria Math"/>
              </w:rPr>
              <m:t>structure</m:t>
            </m:r>
            <m:r>
              <m:rPr>
                <m:sty m:val="p"/>
              </m:rPr>
              <w:rPr>
                <w:rFonts w:ascii="Cambria Math" w:hAnsi="Cambria Math"/>
              </w:rPr>
              <m:t xml:space="preserve"> + </m:t>
            </m:r>
            <m:r>
              <m:rPr/>
              <w:rPr>
                <w:rFonts w:ascii="Cambria Math" w:hAnsi="Cambria Math"/>
              </w:rPr>
              <m:t>staple</m:t>
            </m:r>
            <m:r>
              <m:rPr>
                <m:sty m:val="p"/>
              </m:rPr>
              <w:rPr>
                <w:rFonts w:ascii="Cambria Math" w:hAnsi="Cambria Math"/>
              </w:rPr>
              <m:t xml:space="preserve"> </m:t>
            </m:r>
            <m:r>
              <m:rPr/>
              <w:rPr>
                <w:rFonts w:ascii="Cambria Math" w:hAnsi="Cambria Math"/>
              </w:rPr>
              <m:t>DNA</m:t>
            </m:r>
            <m:r>
              <m:rPr>
                <m:sty m:val="p"/>
              </m:rPr>
              <w:rPr>
                <w:rFonts w:ascii="Cambria Math" w:hAnsi="Cambria Math"/>
              </w:rPr>
              <m:t xml:space="preserve">]  </m:t>
            </m:r>
            <m:ctrlPr>
              <w:rPr>
                <w:rFonts w:ascii="Cambria Math" w:hAnsi="Cambria Math"/>
              </w:rPr>
            </m:ctrlPr>
          </m:den>
        </m:f>
        <m:r>
          <m:rPr>
            <m:sty m:val="p"/>
          </m:rPr>
          <w:rPr>
            <w:rFonts w:ascii="Cambria Math" w:hAnsi="Cambria Math"/>
          </w:rPr>
          <m:t>×100%</m:t>
        </m:r>
      </m:oMath>
    </w:p>
    <w:p>
      <w:r>
        <w:rPr>
          <w:rFonts w:hint="eastAsia"/>
        </w:rPr>
        <w:t xml:space="preserve">b : </w:t>
      </w:r>
      <m:oMath>
        <m:r>
          <m:rPr>
            <m:sty m:val="p"/>
          </m:rPr>
          <w:rPr>
            <w:rFonts w:ascii="Cambria Math" w:hAnsi="Cambria Math"/>
          </w:rPr>
          <m:t xml:space="preserve"> </m:t>
        </m:r>
        <m:r>
          <m:rPr/>
          <w:rPr>
            <w:rFonts w:ascii="Cambria Math" w:hAnsi="Cambria Math"/>
          </w:rPr>
          <m:t>Purity</m:t>
        </m:r>
        <m:r>
          <m:rPr>
            <m:sty m:val="p"/>
          </m:rPr>
          <w:rPr>
            <w:rFonts w:ascii="Cambria Math" w:hAnsi="Cambria Math"/>
          </w:rPr>
          <m:t>%=</m:t>
        </m:r>
        <m:f>
          <m:fPr>
            <m:ctrlPr>
              <w:rPr>
                <w:rFonts w:ascii="Cambria Math" w:hAnsi="Cambria Math"/>
              </w:rPr>
            </m:ctrlPr>
          </m:fPr>
          <m:num>
            <m:r>
              <m:rPr/>
              <w:rPr>
                <w:rFonts w:ascii="Cambria Math" w:hAnsi="Cambria Math"/>
              </w:rPr>
              <m:t xml:space="preserve">OD </m:t>
            </m:r>
            <m:r>
              <m:rPr>
                <m:sty m:val="p"/>
              </m:rPr>
              <w:rPr>
                <w:rFonts w:ascii="Cambria Math" w:hAnsi="Cambria Math"/>
              </w:rPr>
              <m:t xml:space="preserve"> </m:t>
            </m:r>
            <m:r>
              <m:rPr/>
              <w:rPr>
                <w:rFonts w:ascii="Cambria Math" w:hAnsi="Cambria Math"/>
              </w:rPr>
              <m:t>of</m:t>
            </m:r>
            <m:r>
              <m:rPr>
                <m:sty m:val="p"/>
              </m:rPr>
              <w:rPr>
                <w:rFonts w:ascii="Cambria Math" w:hAnsi="Cambria Math"/>
              </w:rPr>
              <m:t xml:space="preserve"> </m:t>
            </m:r>
            <m:r>
              <m:rPr/>
              <w:rPr>
                <w:rFonts w:ascii="Cambria Math" w:hAnsi="Cambria Math"/>
              </w:rPr>
              <m:t>Staple</m:t>
            </m:r>
            <m:r>
              <m:rPr>
                <m:sty m:val="p"/>
              </m:rPr>
              <w:rPr>
                <w:rFonts w:ascii="Cambria Math" w:hAnsi="Cambria Math"/>
              </w:rPr>
              <m:t xml:space="preserve"> </m:t>
            </m:r>
            <m:r>
              <m:rPr/>
              <w:rPr>
                <w:rFonts w:ascii="Cambria Math" w:hAnsi="Cambria Math"/>
              </w:rPr>
              <m:t>DNA</m:t>
            </m:r>
            <m:r>
              <m:rPr>
                <m:sty m:val="p"/>
              </m:rPr>
              <w:rPr>
                <w:rFonts w:ascii="Cambria Math" w:hAnsi="Cambria Math"/>
              </w:rPr>
              <m:t xml:space="preserve">   </m:t>
            </m:r>
            <m:ctrlPr>
              <w:rPr>
                <w:rFonts w:ascii="Cambria Math" w:hAnsi="Cambria Math"/>
              </w:rPr>
            </m:ctrlPr>
          </m:num>
          <m:den>
            <m:r>
              <m:rPr/>
              <w:rPr>
                <w:rFonts w:ascii="Cambria Math" w:hAnsi="Cambria Math"/>
              </w:rPr>
              <m:t>OD</m:t>
            </m:r>
            <m:r>
              <m:rPr>
                <m:sty m:val="p"/>
              </m:rPr>
              <w:rPr>
                <w:rFonts w:ascii="Cambria Math" w:hAnsi="Cambria Math"/>
              </w:rPr>
              <m:t xml:space="preserve"> </m:t>
            </m:r>
            <m:r>
              <m:rPr/>
              <w:rPr>
                <w:rFonts w:ascii="Cambria Math" w:hAnsi="Cambria Math"/>
              </w:rPr>
              <m:t>of</m:t>
            </m:r>
            <m:r>
              <m:rPr>
                <m:sty m:val="p"/>
              </m:rPr>
              <w:rPr>
                <w:rFonts w:ascii="Cambria Math" w:hAnsi="Cambria Math"/>
              </w:rPr>
              <m:t xml:space="preserve"> </m:t>
            </m:r>
            <m:r>
              <m:rPr/>
              <w:rPr>
                <w:rFonts w:ascii="Cambria Math" w:hAnsi="Cambria Math"/>
              </w:rPr>
              <m:t>sum</m:t>
            </m:r>
            <m:r>
              <m:rPr>
                <m:sty m:val="p"/>
              </m:rPr>
              <w:rPr>
                <w:rFonts w:ascii="Cambria Math" w:hAnsi="Cambria Math"/>
              </w:rPr>
              <m:t xml:space="preserve"> [</m:t>
            </m:r>
            <m:r>
              <m:rPr/>
              <w:rPr>
                <w:rFonts w:ascii="Cambria Math" w:hAnsi="Cambria Math"/>
              </w:rPr>
              <m:t>DNA</m:t>
            </m:r>
            <m:r>
              <m:rPr>
                <m:sty m:val="p"/>
              </m:rPr>
              <w:rPr>
                <w:rFonts w:ascii="Cambria Math" w:hAnsi="Cambria Math"/>
              </w:rPr>
              <m:t>−</m:t>
            </m:r>
            <m:r>
              <m:rPr/>
              <w:rPr>
                <w:rFonts w:ascii="Cambria Math" w:hAnsi="Cambria Math"/>
              </w:rPr>
              <m:t>origami</m:t>
            </m:r>
            <m:r>
              <m:rPr>
                <m:sty m:val="p"/>
              </m:rPr>
              <w:rPr>
                <w:rFonts w:ascii="Cambria Math" w:hAnsi="Cambria Math"/>
              </w:rPr>
              <m:t xml:space="preserve"> </m:t>
            </m:r>
            <m:r>
              <m:rPr/>
              <w:rPr>
                <w:rFonts w:ascii="Cambria Math" w:hAnsi="Cambria Math"/>
              </w:rPr>
              <m:t>structure</m:t>
            </m:r>
            <m:r>
              <m:rPr>
                <m:sty m:val="p"/>
              </m:rPr>
              <w:rPr>
                <w:rFonts w:ascii="Cambria Math" w:hAnsi="Cambria Math"/>
              </w:rPr>
              <m:t xml:space="preserve"> + </m:t>
            </m:r>
            <m:r>
              <m:rPr/>
              <w:rPr>
                <w:rFonts w:ascii="Cambria Math" w:hAnsi="Cambria Math"/>
              </w:rPr>
              <m:t>staple</m:t>
            </m:r>
            <m:r>
              <m:rPr>
                <m:sty m:val="p"/>
              </m:rPr>
              <w:rPr>
                <w:rFonts w:ascii="Cambria Math" w:hAnsi="Cambria Math"/>
              </w:rPr>
              <m:t xml:space="preserve"> </m:t>
            </m:r>
            <m:r>
              <m:rPr/>
              <w:rPr>
                <w:rFonts w:ascii="Cambria Math" w:hAnsi="Cambria Math"/>
              </w:rPr>
              <m:t>DNA</m:t>
            </m:r>
            <m:r>
              <m:rPr>
                <m:sty m:val="p"/>
              </m:rPr>
              <w:rPr>
                <w:rFonts w:ascii="Cambria Math" w:hAnsi="Cambria Math"/>
              </w:rPr>
              <m:t xml:space="preserve">] </m:t>
            </m:r>
            <m:ctrlPr>
              <w:rPr>
                <w:rFonts w:ascii="Cambria Math" w:hAnsi="Cambria Math"/>
              </w:rPr>
            </m:ctrlPr>
          </m:den>
        </m:f>
        <m:r>
          <m:rPr>
            <m:sty m:val="p"/>
          </m:rPr>
          <w:rPr>
            <w:rFonts w:ascii="Cambria Math" w:hAnsi="Cambria Math"/>
          </w:rPr>
          <m:t>×100%</m:t>
        </m:r>
      </m:oMath>
    </w:p>
    <w:p/>
    <w:p>
      <w:pPr>
        <w:rPr>
          <w:b/>
          <w:bCs/>
        </w:rPr>
      </w:pPr>
      <w:r>
        <w:rPr>
          <w:b/>
          <w:bCs/>
        </w:rPr>
        <w:t>S</w:t>
      </w:r>
      <w:r>
        <w:rPr>
          <w:rFonts w:hint="eastAsia"/>
          <w:b/>
          <w:bCs/>
        </w:rPr>
        <w:t>6</w:t>
      </w:r>
      <w:r>
        <w:rPr>
          <w:b/>
          <w:bCs/>
        </w:rPr>
        <w:t xml:space="preserve">. A fluorescence calibration of Cy5-labelled DONs </w:t>
      </w:r>
    </w:p>
    <w:p>
      <w:pPr>
        <w:rPr>
          <w:b/>
          <w:bCs/>
        </w:rPr>
      </w:pPr>
      <w:bookmarkStart w:id="2" w:name="OLE_LINK3"/>
      <w:r>
        <w:t>To prepare the standard curve, the staple strand labelled with Cy5 (</w:t>
      </w:r>
      <w:r>
        <w:rPr>
          <w:rFonts w:hint="eastAsia"/>
        </w:rPr>
        <w:t>Sangon Biotech, China</w:t>
      </w:r>
      <w:r>
        <w:t xml:space="preserve">) were diluted using a serial dilution method (including concentration points of </w:t>
      </w:r>
      <w:r>
        <w:rPr>
          <w:rFonts w:hint="eastAsia"/>
        </w:rPr>
        <w:t>430</w:t>
      </w:r>
      <w:r>
        <w:t xml:space="preserve"> nM, </w:t>
      </w:r>
      <w:r>
        <w:rPr>
          <w:rFonts w:hint="eastAsia"/>
        </w:rPr>
        <w:t>215</w:t>
      </w:r>
      <w:r>
        <w:t xml:space="preserve"> nM, </w:t>
      </w:r>
      <w:r>
        <w:rPr>
          <w:rFonts w:hint="eastAsia"/>
        </w:rPr>
        <w:t>107.5</w:t>
      </w:r>
      <w:r>
        <w:t xml:space="preserve"> nM, </w:t>
      </w:r>
      <w:r>
        <w:rPr>
          <w:rFonts w:hint="eastAsia"/>
        </w:rPr>
        <w:t>53.75</w:t>
      </w:r>
      <w:r>
        <w:t xml:space="preserve"> nM, </w:t>
      </w:r>
      <w:r>
        <w:rPr>
          <w:rFonts w:hint="eastAsia"/>
        </w:rPr>
        <w:t>26.9</w:t>
      </w:r>
      <w:r>
        <w:t xml:space="preserve"> nM). </w:t>
      </w:r>
      <w:r>
        <w:rPr>
          <w:rFonts w:hint="eastAsia"/>
        </w:rPr>
        <w:t>10</w:t>
      </w:r>
      <w:r>
        <w:t xml:space="preserve"> μL of individual DNA-origami nanostructure was added into each well of a 384-well plate. The multifunctional enzyme-linked immunosorbent assay reader (</w:t>
      </w:r>
      <w:r>
        <w:rPr>
          <w:rFonts w:hint="eastAsia"/>
          <w:szCs w:val="22"/>
        </w:rPr>
        <w:t>SPARK</w:t>
      </w:r>
      <w:r>
        <w:t xml:space="preserve">, </w:t>
      </w:r>
      <w:r>
        <w:rPr>
          <w:rFonts w:hint="eastAsia"/>
          <w:szCs w:val="22"/>
        </w:rPr>
        <w:t>Tecan, Switzerland</w:t>
      </w:r>
      <w:r>
        <w:t xml:space="preserve">) was used to detect the fluorescence intensity corresponding to different concentrations of Cy5 (630 nm for excitation, 670 nm for emission). </w:t>
      </w:r>
      <w:bookmarkEnd w:id="2"/>
      <w:r>
        <w:rPr>
          <w:rFonts w:hint="eastAsia"/>
        </w:rPr>
        <w:t>Th</w:t>
      </w:r>
      <w:r>
        <w:t>is</w:t>
      </w:r>
      <w:r>
        <w:rPr>
          <w:rFonts w:hint="eastAsia"/>
        </w:rPr>
        <w:t xml:space="preserve"> standard curve </w:t>
      </w:r>
      <w:r>
        <w:t xml:space="preserve">was used </w:t>
      </w:r>
      <w:r>
        <w:rPr>
          <w:rFonts w:hint="eastAsia"/>
        </w:rPr>
        <w:t>to calculate the concentration of Cy5 in the prepared Cy5-labelled</w:t>
      </w:r>
      <w:r>
        <w:t xml:space="preserve"> DONs</w:t>
      </w:r>
      <w:r>
        <w:rPr>
          <w:rFonts w:hint="eastAsia"/>
        </w:rPr>
        <w:t xml:space="preserve">, thus </w:t>
      </w:r>
      <w:r>
        <w:t xml:space="preserve">determining </w:t>
      </w:r>
      <w:r>
        <w:rPr>
          <w:rFonts w:hint="eastAsia"/>
        </w:rPr>
        <w:t>the grafting rate of Cy5 in</w:t>
      </w:r>
      <w:r>
        <w:t xml:space="preserve"> each DONs</w:t>
      </w:r>
      <w:r>
        <w:rPr>
          <w:rFonts w:hint="eastAsia"/>
        </w:rPr>
        <w:t>.</w:t>
      </w:r>
    </w:p>
    <w:p>
      <w:r>
        <w:rPr>
          <w:rFonts w:hint="eastAsia"/>
        </w:rPr>
        <w:drawing>
          <wp:inline distT="0" distB="0" distL="114300" distR="114300">
            <wp:extent cx="3238500" cy="2179320"/>
            <wp:effectExtent l="0" t="0" r="0" b="0"/>
            <wp:docPr id="12" name="图片 12" descr="Dat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ata 2"/>
                    <pic:cNvPicPr>
                      <a:picLocks noChangeAspect="1"/>
                    </pic:cNvPicPr>
                  </pic:nvPicPr>
                  <pic:blipFill>
                    <a:blip r:embed="rId12"/>
                    <a:stretch>
                      <a:fillRect/>
                    </a:stretch>
                  </pic:blipFill>
                  <pic:spPr>
                    <a:xfrm>
                      <a:off x="0" y="0"/>
                      <a:ext cx="3238500" cy="2179320"/>
                    </a:xfrm>
                    <a:prstGeom prst="rect">
                      <a:avLst/>
                    </a:prstGeom>
                  </pic:spPr>
                </pic:pic>
              </a:graphicData>
            </a:graphic>
          </wp:inline>
        </w:drawing>
      </w:r>
    </w:p>
    <w:p>
      <w:pPr>
        <w:rPr>
          <w:b/>
          <w:bCs/>
        </w:rPr>
      </w:pPr>
      <w:r>
        <w:rPr>
          <w:b/>
          <w:bCs/>
        </w:rPr>
        <w:t>Figure S</w:t>
      </w:r>
      <w:r>
        <w:rPr>
          <w:rFonts w:hint="eastAsia"/>
          <w:b/>
          <w:bCs/>
        </w:rPr>
        <w:t>.6</w:t>
      </w:r>
      <w:r>
        <w:rPr>
          <w:b/>
          <w:bCs/>
        </w:rPr>
        <w:t xml:space="preserve"> </w:t>
      </w:r>
      <w:r>
        <w:t>A</w:t>
      </w:r>
      <w:r>
        <w:rPr>
          <w:b/>
          <w:bCs/>
        </w:rPr>
        <w:t xml:space="preserve"> </w:t>
      </w:r>
      <w:r>
        <w:t xml:space="preserve">standard curve of fluorescence intensity vs. Cy5 labeled staple over a concentration range of </w:t>
      </w:r>
      <w:r>
        <w:rPr>
          <w:rFonts w:hint="eastAsia"/>
        </w:rPr>
        <w:t>26.9</w:t>
      </w:r>
      <w:r>
        <w:t xml:space="preserve">nM to </w:t>
      </w:r>
      <w:r>
        <w:rPr>
          <w:rFonts w:hint="eastAsia"/>
        </w:rPr>
        <w:t>430</w:t>
      </w:r>
      <w:r>
        <w:t>nM (n=6).</w:t>
      </w:r>
      <w:r>
        <w:rPr>
          <w:rFonts w:hint="eastAsia"/>
        </w:rPr>
        <w:t xml:space="preserve"> </w:t>
      </w:r>
    </w:p>
    <w:p/>
    <w:p>
      <w:pPr>
        <w:rPr>
          <w:b/>
          <w:bCs/>
        </w:rPr>
      </w:pPr>
      <w:r>
        <w:rPr>
          <w:b/>
          <w:bCs/>
        </w:rPr>
        <w:t>S</w:t>
      </w:r>
      <w:r>
        <w:rPr>
          <w:rFonts w:hint="eastAsia"/>
          <w:b/>
          <w:bCs/>
        </w:rPr>
        <w:t>7</w:t>
      </w:r>
      <w:r>
        <w:rPr>
          <w:b/>
          <w:bCs/>
        </w:rPr>
        <w:t xml:space="preserve">. </w:t>
      </w:r>
      <w:r>
        <w:rPr>
          <w:rFonts w:hint="eastAsia"/>
          <w:b/>
          <w:bCs/>
        </w:rPr>
        <w:t xml:space="preserve">Concentration </w:t>
      </w:r>
      <w:r>
        <w:rPr>
          <w:b/>
          <w:bCs/>
        </w:rPr>
        <w:t>of Cy5-labelled DONs</w:t>
      </w:r>
    </w:p>
    <w:p>
      <w:pPr>
        <w:rPr>
          <w:lang w:val="en-CA"/>
        </w:rPr>
      </w:pPr>
      <w:r>
        <w:rPr>
          <w:rFonts w:hint="eastAsia"/>
          <w:lang w:val="en-CA"/>
        </w:rPr>
        <w:t xml:space="preserve">The concentration of </w:t>
      </w:r>
      <w:r>
        <w:rPr>
          <w:lang w:val="en-CA"/>
        </w:rPr>
        <w:t xml:space="preserve">each </w:t>
      </w:r>
      <w:r>
        <w:rPr>
          <w:rFonts w:hint="eastAsia"/>
          <w:lang w:val="en-CA"/>
        </w:rPr>
        <w:t xml:space="preserve">Cy5-labelled </w:t>
      </w:r>
      <w:r>
        <w:rPr>
          <w:lang w:val="en-CA"/>
        </w:rPr>
        <w:t>DONs</w:t>
      </w:r>
      <w:r>
        <w:rPr>
          <w:rFonts w:hint="eastAsia"/>
          <w:lang w:val="en-CA"/>
        </w:rPr>
        <w:t xml:space="preserve"> was </w:t>
      </w:r>
      <w:r>
        <w:t>measured</w:t>
      </w:r>
      <w:r>
        <w:rPr>
          <w:rFonts w:hint="eastAsia"/>
          <w:lang w:val="en-CA"/>
        </w:rPr>
        <w:t xml:space="preserve"> by </w:t>
      </w:r>
      <w:r>
        <w:t>NanoDrop</w:t>
      </w:r>
      <w:r>
        <w:rPr>
          <w:rFonts w:hint="eastAsia"/>
          <w:vertAlign w:val="superscript"/>
        </w:rPr>
        <w:t>TM</w:t>
      </w:r>
      <w:r>
        <w:rPr>
          <w:rFonts w:hint="eastAsia"/>
        </w:rPr>
        <w:t>One</w:t>
      </w:r>
      <w:r>
        <w:rPr>
          <w:rFonts w:hint="eastAsia"/>
          <w:vertAlign w:val="superscript"/>
        </w:rPr>
        <w:t>C</w:t>
      </w:r>
      <w:r>
        <w:rPr>
          <w:rFonts w:hint="eastAsia"/>
          <w:lang w:val="en-CA"/>
        </w:rPr>
        <w:t>, and the fluorescence intensity of Cy5-labelled DNA nanostructures was detected</w:t>
      </w:r>
      <w:r>
        <w:rPr>
          <w:rFonts w:hint="eastAsia"/>
        </w:rPr>
        <w:t xml:space="preserve"> </w:t>
      </w:r>
      <w:r>
        <w:t>by the multifunctional enzyme-linked immunosorbent assay reader</w:t>
      </w:r>
      <w:r>
        <w:rPr>
          <w:rFonts w:hint="eastAsia"/>
          <w:lang w:val="en-CA"/>
        </w:rPr>
        <w:t>. The grafting rate of the structure can be calculated by dividing the concentration of Cy5 in Cy5-labelled DNA nanostructure by the concentration of the DNA structure. In order to balance the difference in the grafting rates of the four structures, a correction factor was used to calibrate the fluorescence intensity of the four structure</w:t>
      </w:r>
      <w:r>
        <w:rPr>
          <w:rFonts w:hint="eastAsia"/>
        </w:rPr>
        <w:t xml:space="preserve">. </w:t>
      </w:r>
      <w:r>
        <w:rPr>
          <w:rFonts w:hint="eastAsia"/>
          <w:lang w:val="en-CA"/>
        </w:rPr>
        <w:t xml:space="preserve">The </w:t>
      </w:r>
      <w:bookmarkStart w:id="3" w:name="OLE_LINK2"/>
      <w:r>
        <w:rPr>
          <w:rFonts w:hint="eastAsia"/>
          <w:lang w:val="en-CA"/>
        </w:rPr>
        <w:t>correction factor</w:t>
      </w:r>
      <w:bookmarkEnd w:id="3"/>
      <w:r>
        <w:rPr>
          <w:rFonts w:hint="eastAsia"/>
          <w:lang w:val="en-CA"/>
        </w:rPr>
        <w:t xml:space="preserve"> of </w:t>
      </w:r>
      <w:r>
        <w:rPr>
          <w:lang w:val="en-CA"/>
        </w:rPr>
        <w:t xml:space="preserve">each </w:t>
      </w:r>
      <w:r>
        <w:rPr>
          <w:rFonts w:hint="eastAsia"/>
          <w:lang w:val="en-CA"/>
        </w:rPr>
        <w:t xml:space="preserve">Cy5-labelled DNA nanostructure </w:t>
      </w:r>
      <w:r>
        <w:rPr>
          <w:lang w:val="en-CA"/>
        </w:rPr>
        <w:t xml:space="preserve">was calculated according to the following equation: </w:t>
      </w:r>
    </w:p>
    <w:p>
      <w:pPr>
        <w:rPr>
          <w:rFonts w:ascii="Cambria Math" w:hAnsi="Cambria Math"/>
          <w:lang w:val="en-CA"/>
        </w:rPr>
      </w:pPr>
      <m:oMath>
        <m:r>
          <m:rPr/>
          <w:rPr>
            <w:rFonts w:ascii="Cambria Math" w:hAnsi="Cambria Math"/>
            <w:sz w:val="22"/>
            <w:szCs w:val="22"/>
          </w:rPr>
          <m:t>Correction</m:t>
        </m:r>
        <m:r>
          <m:rPr>
            <m:sty m:val="p"/>
          </m:rPr>
          <w:rPr>
            <w:rFonts w:ascii="Cambria Math" w:hAnsi="Cambria Math"/>
            <w:sz w:val="22"/>
            <w:szCs w:val="22"/>
          </w:rPr>
          <m:t xml:space="preserve"> </m:t>
        </m:r>
        <m:r>
          <m:rPr/>
          <w:rPr>
            <w:rFonts w:ascii="Cambria Math" w:hAnsi="Cambria Math"/>
            <w:sz w:val="22"/>
            <w:szCs w:val="22"/>
          </w:rPr>
          <m:t>factor=</m:t>
        </m:r>
        <m:f>
          <m:fPr>
            <m:ctrlPr>
              <w:rPr>
                <w:rFonts w:ascii="Cambria Math" w:hAnsi="Cambria Math"/>
                <w:sz w:val="22"/>
                <w:szCs w:val="22"/>
              </w:rPr>
            </m:ctrlPr>
          </m:fPr>
          <m:num>
            <m:r>
              <m:rPr>
                <m:sty m:val="p"/>
              </m:rPr>
              <w:rPr>
                <w:rFonts w:ascii="Cambria Math" w:hAnsi="Cambria Math"/>
                <w:sz w:val="22"/>
                <w:szCs w:val="22"/>
              </w:rPr>
              <m:t>F</m:t>
            </m:r>
            <m:r>
              <m:rPr>
                <m:sty m:val="p"/>
              </m:rPr>
              <w:rPr>
                <w:rFonts w:ascii="Cambria Math" w:hAnsi="Cambria Math"/>
                <w:sz w:val="22"/>
                <w:szCs w:val="22"/>
                <w:lang w:val="en-CA"/>
              </w:rPr>
              <m:t>luore</m:t>
            </m:r>
            <m:r>
              <m:rPr>
                <m:sty m:val="p"/>
              </m:rPr>
              <w:rPr>
                <w:rFonts w:ascii="Cambria Math" w:hAnsi="Cambria Math"/>
                <w:sz w:val="22"/>
                <w:szCs w:val="22"/>
              </w:rPr>
              <m:t xml:space="preserve"> </m:t>
            </m:r>
            <m:r>
              <m:rPr>
                <m:sty m:val="p"/>
              </m:rPr>
              <w:rPr>
                <w:rFonts w:ascii="Cambria Math" w:hAnsi="Cambria Math"/>
                <w:sz w:val="22"/>
                <w:szCs w:val="22"/>
                <w:lang w:val="en-CA"/>
              </w:rPr>
              <m:t>scence intensity of DNA structure</m:t>
            </m:r>
            <m:ctrlPr>
              <w:rPr>
                <w:rFonts w:ascii="Cambria Math" w:hAnsi="Cambria Math"/>
                <w:sz w:val="22"/>
                <w:szCs w:val="22"/>
              </w:rPr>
            </m:ctrlPr>
          </m:num>
          <m:den>
            <m:r>
              <m:rPr>
                <m:sty m:val="p"/>
              </m:rPr>
              <w:rPr>
                <w:rFonts w:ascii="Cambria Math" w:hAnsi="Cambria Math"/>
                <w:sz w:val="22"/>
                <w:szCs w:val="22"/>
              </w:rPr>
              <m:t>F</m:t>
            </m:r>
            <m:r>
              <m:rPr>
                <m:sty m:val="p"/>
              </m:rPr>
              <w:rPr>
                <w:rFonts w:ascii="Cambria Math" w:hAnsi="Cambria Math"/>
                <w:sz w:val="22"/>
                <w:szCs w:val="22"/>
                <w:lang w:val="en-CA"/>
              </w:rPr>
              <m:t>luorescence intensity of Triangle</m:t>
            </m:r>
            <m:r>
              <m:rPr>
                <m:sty m:val="p"/>
              </m:rPr>
              <w:rPr>
                <w:rFonts w:ascii="Cambria Math" w:hAnsi="Cambria Math"/>
                <w:sz w:val="22"/>
                <w:szCs w:val="22"/>
              </w:rPr>
              <m:t xml:space="preserve">  </m:t>
            </m:r>
            <m:ctrlPr>
              <w:rPr>
                <w:rFonts w:ascii="Cambria Math" w:hAnsi="Cambria Math"/>
                <w:sz w:val="22"/>
                <w:szCs w:val="22"/>
              </w:rPr>
            </m:ctrlPr>
          </m:den>
        </m:f>
        <m:r>
          <m:rPr>
            <m:sty m:val="p"/>
          </m:rPr>
          <w:rPr>
            <w:rFonts w:ascii="Cambria Math" w:hAnsi="Cambria Math"/>
            <w:sz w:val="22"/>
            <w:szCs w:val="22"/>
          </w:rPr>
          <m:t>×</m:t>
        </m:r>
        <m:f>
          <m:fPr>
            <m:ctrlPr>
              <w:rPr>
                <w:rFonts w:ascii="Cambria Math" w:hAnsi="Cambria Math"/>
                <w:sz w:val="22"/>
                <w:szCs w:val="22"/>
              </w:rPr>
            </m:ctrlPr>
          </m:fPr>
          <m:num>
            <m:r>
              <m:rPr>
                <m:sty m:val="p"/>
              </m:rPr>
              <w:rPr>
                <w:rFonts w:ascii="Cambria Math" w:hAnsi="Cambria Math"/>
                <w:sz w:val="22"/>
                <w:szCs w:val="22"/>
              </w:rPr>
              <m:t>Molar concentration of DNA structure</m:t>
            </m:r>
            <m:ctrlPr>
              <w:rPr>
                <w:rFonts w:ascii="Cambria Math" w:hAnsi="Cambria Math"/>
                <w:sz w:val="22"/>
                <w:szCs w:val="22"/>
              </w:rPr>
            </m:ctrlPr>
          </m:num>
          <m:den>
            <m:r>
              <m:rPr>
                <m:sty m:val="p"/>
              </m:rPr>
              <w:rPr>
                <w:rFonts w:ascii="Cambria Math" w:hAnsi="Cambria Math"/>
                <w:sz w:val="22"/>
                <w:szCs w:val="22"/>
              </w:rPr>
              <m:t xml:space="preserve"> Molar concentration of Triangle </m:t>
            </m:r>
            <m:ctrlPr>
              <w:rPr>
                <w:rFonts w:ascii="Cambria Math" w:hAnsi="Cambria Math"/>
                <w:sz w:val="22"/>
                <w:szCs w:val="22"/>
              </w:rPr>
            </m:ctrlPr>
          </m:den>
        </m:f>
      </m:oMath>
      <w:r>
        <w:rPr>
          <w:rFonts w:ascii="Cambria Math" w:hAnsi="Cambria Math"/>
        </w:rPr>
        <w:t xml:space="preserve"> </w:t>
      </w:r>
    </w:p>
    <w:p>
      <w:pPr>
        <w:rPr>
          <w:b/>
          <w:bCs/>
          <w:lang w:val="en-CA"/>
        </w:rPr>
      </w:pPr>
      <w:r>
        <w:rPr>
          <w:b/>
          <w:bCs/>
        </w:rPr>
        <w:t>Table S</w:t>
      </w:r>
      <w:r>
        <w:rPr>
          <w:rFonts w:hint="eastAsia"/>
          <w:b/>
          <w:bCs/>
        </w:rPr>
        <w:t>.7</w:t>
      </w:r>
      <w:r>
        <w:rPr>
          <w:b/>
          <w:bCs/>
        </w:rPr>
        <w:t xml:space="preserve"> C</w:t>
      </w:r>
      <w:r>
        <w:rPr>
          <w:b/>
          <w:bCs/>
          <w:lang w:val="en-CA"/>
        </w:rPr>
        <w:t>orrection</w:t>
      </w:r>
      <w:r>
        <w:rPr>
          <w:rFonts w:hint="eastAsia"/>
          <w:b/>
          <w:bCs/>
          <w:lang w:val="en-CA"/>
        </w:rPr>
        <w:t xml:space="preserve"> factor</w:t>
      </w:r>
      <w:r>
        <w:rPr>
          <w:b/>
          <w:bCs/>
        </w:rPr>
        <w:t xml:space="preserve"> of </w:t>
      </w:r>
      <w:r>
        <w:rPr>
          <w:rFonts w:hint="eastAsia"/>
          <w:b/>
          <w:bCs/>
        </w:rPr>
        <w:t xml:space="preserve">Cy5-labelled DNA </w:t>
      </w:r>
      <w:r>
        <w:rPr>
          <w:b/>
          <w:bCs/>
        </w:rPr>
        <w:t>nanostructures</w:t>
      </w:r>
      <w:r>
        <w:rPr>
          <w:rFonts w:hint="eastAsia"/>
          <w:b/>
          <w:bCs/>
        </w:rPr>
        <w:t xml:space="preserve"> </w:t>
      </w:r>
    </w:p>
    <w:tbl>
      <w:tblPr>
        <w:tblStyle w:val="9"/>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32"/>
        <w:gridCol w:w="2597"/>
        <w:gridCol w:w="2333"/>
        <w:gridCol w:w="1576"/>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1632" w:type="dxa"/>
            <w:tcBorders>
              <w:top w:val="single" w:color="auto" w:sz="12" w:space="0"/>
              <w:bottom w:val="single" w:color="auto" w:sz="4" w:space="0"/>
            </w:tcBorders>
          </w:tcPr>
          <w:p>
            <w:r>
              <w:rPr>
                <w:rFonts w:hint="eastAsia"/>
              </w:rPr>
              <w:t>Origami nanostructure</w:t>
            </w:r>
          </w:p>
        </w:tc>
        <w:tc>
          <w:tcPr>
            <w:tcW w:w="2597" w:type="dxa"/>
            <w:tcBorders>
              <w:top w:val="single" w:color="auto" w:sz="12" w:space="0"/>
              <w:bottom w:val="single" w:color="auto" w:sz="4" w:space="0"/>
            </w:tcBorders>
          </w:tcPr>
          <w:p>
            <w:r>
              <w:rPr>
                <w:rFonts w:hint="eastAsia"/>
              </w:rPr>
              <w:t>molar concentration</w:t>
            </w:r>
            <w:r>
              <w:t xml:space="preserve"> </w:t>
            </w:r>
            <w:r>
              <w:rPr>
                <w:rFonts w:hint="eastAsia"/>
              </w:rPr>
              <w:t>(nM)</w:t>
            </w:r>
          </w:p>
        </w:tc>
        <w:tc>
          <w:tcPr>
            <w:tcW w:w="2333" w:type="dxa"/>
            <w:tcBorders>
              <w:top w:val="single" w:color="auto" w:sz="12" w:space="0"/>
              <w:bottom w:val="single" w:color="auto" w:sz="4" w:space="0"/>
            </w:tcBorders>
          </w:tcPr>
          <w:p>
            <w:bookmarkStart w:id="4" w:name="OLE_LINK5"/>
            <w:r>
              <w:rPr>
                <w:rFonts w:hint="eastAsia"/>
              </w:rPr>
              <w:t>F</w:t>
            </w:r>
            <w:r>
              <w:rPr>
                <w:rFonts w:hint="eastAsia"/>
                <w:lang w:val="en-CA"/>
              </w:rPr>
              <w:t>luorescence intensity</w:t>
            </w:r>
            <w:bookmarkEnd w:id="4"/>
          </w:p>
        </w:tc>
        <w:tc>
          <w:tcPr>
            <w:tcW w:w="1576" w:type="dxa"/>
            <w:tcBorders>
              <w:top w:val="single" w:color="auto" w:sz="12" w:space="0"/>
              <w:bottom w:val="single" w:color="auto" w:sz="4" w:space="0"/>
            </w:tcBorders>
          </w:tcPr>
          <w:p>
            <w:r>
              <w:rPr>
                <w:rFonts w:hint="eastAsia"/>
              </w:rPr>
              <w:t>C</w:t>
            </w:r>
            <w:r>
              <w:rPr>
                <w:rFonts w:hint="eastAsia"/>
                <w:lang w:val="en-CA"/>
              </w:rPr>
              <w:t>orrection factor</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632" w:type="dxa"/>
            <w:tcBorders>
              <w:top w:val="single" w:color="auto" w:sz="4" w:space="0"/>
            </w:tcBorders>
          </w:tcPr>
          <w:p>
            <w:r>
              <w:t>Triangle</w:t>
            </w:r>
          </w:p>
        </w:tc>
        <w:tc>
          <w:tcPr>
            <w:tcW w:w="2597" w:type="dxa"/>
            <w:tcBorders>
              <w:top w:val="single" w:color="auto" w:sz="4" w:space="0"/>
            </w:tcBorders>
          </w:tcPr>
          <w:p>
            <w:r>
              <w:rPr>
                <w:rFonts w:hint="eastAsia"/>
              </w:rPr>
              <w:t>0.96</w:t>
            </w:r>
            <w:r>
              <w:t xml:space="preserve"> ± </w:t>
            </w:r>
            <w:r>
              <w:rPr>
                <w:rFonts w:hint="eastAsia"/>
              </w:rPr>
              <w:t>0.08</w:t>
            </w:r>
          </w:p>
        </w:tc>
        <w:tc>
          <w:tcPr>
            <w:tcW w:w="2333" w:type="dxa"/>
            <w:tcBorders>
              <w:top w:val="single" w:color="auto" w:sz="4" w:space="0"/>
            </w:tcBorders>
          </w:tcPr>
          <w:p>
            <w:r>
              <w:t>37790</w:t>
            </w:r>
            <w:r>
              <w:rPr>
                <w:rFonts w:hint="eastAsia"/>
              </w:rPr>
              <w:t xml:space="preserve"> </w:t>
            </w:r>
            <w:r>
              <w:t>±</w:t>
            </w:r>
            <w:r>
              <w:rPr>
                <w:rFonts w:hint="eastAsia"/>
              </w:rPr>
              <w:t xml:space="preserve"> </w:t>
            </w:r>
            <w:r>
              <w:t>2977</w:t>
            </w:r>
          </w:p>
        </w:tc>
        <w:tc>
          <w:tcPr>
            <w:tcW w:w="1576" w:type="dxa"/>
            <w:tcBorders>
              <w:top w:val="single" w:color="auto" w:sz="4" w:space="0"/>
            </w:tcBorders>
          </w:tcPr>
          <w:p>
            <w:r>
              <w:rPr>
                <w:rFonts w:hint="eastAsia"/>
              </w:rPr>
              <w:t>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1632" w:type="dxa"/>
          </w:tcPr>
          <w:p>
            <w:r>
              <w:t>R</w:t>
            </w:r>
            <w:r>
              <w:rPr>
                <w:rFonts w:hint="eastAsia"/>
              </w:rPr>
              <w:t>od</w:t>
            </w:r>
          </w:p>
        </w:tc>
        <w:tc>
          <w:tcPr>
            <w:tcW w:w="2597" w:type="dxa"/>
          </w:tcPr>
          <w:p>
            <w:r>
              <w:rPr>
                <w:rFonts w:hint="eastAsia"/>
              </w:rPr>
              <w:t>0.92</w:t>
            </w:r>
            <w:r>
              <w:t xml:space="preserve"> </w:t>
            </w:r>
            <w:r>
              <w:rPr>
                <w:rFonts w:eastAsia="等线"/>
              </w:rPr>
              <w:t>±</w:t>
            </w:r>
            <w:r>
              <w:t xml:space="preserve"> 0.</w:t>
            </w:r>
            <w:r>
              <w:rPr>
                <w:rFonts w:hint="eastAsia"/>
              </w:rPr>
              <w:t>03</w:t>
            </w:r>
          </w:p>
        </w:tc>
        <w:tc>
          <w:tcPr>
            <w:tcW w:w="2333" w:type="dxa"/>
          </w:tcPr>
          <w:p>
            <w:r>
              <w:t>49362</w:t>
            </w:r>
            <w:r>
              <w:rPr>
                <w:rFonts w:hint="eastAsia"/>
              </w:rPr>
              <w:t xml:space="preserve"> </w:t>
            </w:r>
            <w:r>
              <w:t>±</w:t>
            </w:r>
            <w:r>
              <w:rPr>
                <w:rFonts w:hint="eastAsia"/>
              </w:rPr>
              <w:t xml:space="preserve"> </w:t>
            </w:r>
            <w:r>
              <w:t>944</w:t>
            </w:r>
          </w:p>
        </w:tc>
        <w:tc>
          <w:tcPr>
            <w:tcW w:w="1576" w:type="dxa"/>
          </w:tcPr>
          <w:p>
            <w:r>
              <w:rPr>
                <w:rFonts w:hint="eastAsia"/>
              </w:rPr>
              <w:t>1.3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1632" w:type="dxa"/>
          </w:tcPr>
          <w:p>
            <w:r>
              <w:t>R</w:t>
            </w:r>
            <w:r>
              <w:rPr>
                <w:rFonts w:hint="eastAsia"/>
              </w:rPr>
              <w:t>ing</w:t>
            </w:r>
          </w:p>
        </w:tc>
        <w:tc>
          <w:tcPr>
            <w:tcW w:w="2597" w:type="dxa"/>
          </w:tcPr>
          <w:p>
            <w:r>
              <w:rPr>
                <w:rFonts w:hint="eastAsia"/>
              </w:rPr>
              <w:t>0.94</w:t>
            </w:r>
            <w:r>
              <w:t xml:space="preserve"> ± 0.</w:t>
            </w:r>
            <w:r>
              <w:rPr>
                <w:rFonts w:hint="eastAsia"/>
              </w:rPr>
              <w:t>04</w:t>
            </w:r>
          </w:p>
        </w:tc>
        <w:tc>
          <w:tcPr>
            <w:tcW w:w="2333" w:type="dxa"/>
          </w:tcPr>
          <w:p>
            <w:r>
              <w:t>38168</w:t>
            </w:r>
            <w:r>
              <w:rPr>
                <w:rFonts w:hint="eastAsia"/>
              </w:rPr>
              <w:t xml:space="preserve"> </w:t>
            </w:r>
            <w:r>
              <w:t>±</w:t>
            </w:r>
            <w:r>
              <w:rPr>
                <w:rFonts w:hint="eastAsia"/>
              </w:rPr>
              <w:t xml:space="preserve"> </w:t>
            </w:r>
            <w:r>
              <w:t>1085</w:t>
            </w:r>
          </w:p>
        </w:tc>
        <w:tc>
          <w:tcPr>
            <w:tcW w:w="1576" w:type="dxa"/>
          </w:tcPr>
          <w:p>
            <w:r>
              <w:rPr>
                <w:rFonts w:hint="eastAsia"/>
              </w:rPr>
              <w:t>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632" w:type="dxa"/>
          </w:tcPr>
          <w:p>
            <w:r>
              <w:t>Octahedron</w:t>
            </w:r>
          </w:p>
        </w:tc>
        <w:tc>
          <w:tcPr>
            <w:tcW w:w="2597" w:type="dxa"/>
          </w:tcPr>
          <w:p>
            <w:r>
              <w:rPr>
                <w:rFonts w:hint="eastAsia"/>
              </w:rPr>
              <w:t>0.92</w:t>
            </w:r>
            <w:r>
              <w:t xml:space="preserve"> ± 0.</w:t>
            </w:r>
            <w:r>
              <w:rPr>
                <w:rFonts w:hint="eastAsia"/>
              </w:rPr>
              <w:t>03</w:t>
            </w:r>
          </w:p>
        </w:tc>
        <w:tc>
          <w:tcPr>
            <w:tcW w:w="2333" w:type="dxa"/>
          </w:tcPr>
          <w:p>
            <w:r>
              <w:t>41516</w:t>
            </w:r>
            <w:r>
              <w:rPr>
                <w:rFonts w:hint="eastAsia"/>
              </w:rPr>
              <w:t xml:space="preserve"> </w:t>
            </w:r>
            <w:r>
              <w:t>±</w:t>
            </w:r>
            <w:r>
              <w:rPr>
                <w:rFonts w:hint="eastAsia"/>
              </w:rPr>
              <w:t xml:space="preserve"> </w:t>
            </w:r>
            <w:r>
              <w:t>994</w:t>
            </w:r>
          </w:p>
        </w:tc>
        <w:tc>
          <w:tcPr>
            <w:tcW w:w="1576" w:type="dxa"/>
          </w:tcPr>
          <w:p>
            <w:r>
              <w:rPr>
                <w:rFonts w:hint="eastAsia"/>
              </w:rPr>
              <w:t>1.1</w:t>
            </w:r>
          </w:p>
        </w:tc>
      </w:tr>
    </w:tbl>
    <w:p/>
    <w:p>
      <w:pPr>
        <w:rPr>
          <w:rFonts w:hAnsi="Cambria Math"/>
          <w:b/>
          <w:bCs/>
          <w:color w:val="000000" w:themeColor="text1"/>
          <w:sz w:val="13"/>
          <w:szCs w:val="13"/>
          <w14:textFill>
            <w14:solidFill>
              <w14:schemeClr w14:val="tx1"/>
            </w14:solidFill>
          </w14:textFill>
        </w:rPr>
      </w:pPr>
      <w:r>
        <w:rPr>
          <w:b/>
          <w:bCs/>
        </w:rPr>
        <w:t>S</w:t>
      </w:r>
      <w:r>
        <w:rPr>
          <w:rFonts w:hint="eastAsia"/>
          <w:b/>
          <w:bCs/>
        </w:rPr>
        <w:t>8</w:t>
      </w:r>
      <w:r>
        <w:rPr>
          <w:b/>
          <w:bCs/>
        </w:rPr>
        <w:t>. Flow cytometry determination of cellular uptake of Cy5-labelled DONs</w:t>
      </w:r>
    </w:p>
    <w:p>
      <w:r>
        <w:drawing>
          <wp:inline distT="0" distB="0" distL="114300" distR="114300">
            <wp:extent cx="2552065" cy="5603240"/>
            <wp:effectExtent l="0" t="0" r="0" b="0"/>
            <wp:docPr id="13" name="图片 13" descr="流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流式"/>
                    <pic:cNvPicPr>
                      <a:picLocks noChangeAspect="1"/>
                    </pic:cNvPicPr>
                  </pic:nvPicPr>
                  <pic:blipFill>
                    <a:blip r:embed="rId13"/>
                    <a:stretch>
                      <a:fillRect/>
                    </a:stretch>
                  </pic:blipFill>
                  <pic:spPr>
                    <a:xfrm>
                      <a:off x="0" y="0"/>
                      <a:ext cx="2552065" cy="5603240"/>
                    </a:xfrm>
                    <a:prstGeom prst="rect">
                      <a:avLst/>
                    </a:prstGeom>
                  </pic:spPr>
                </pic:pic>
              </a:graphicData>
            </a:graphic>
          </wp:inline>
        </w:drawing>
      </w:r>
    </w:p>
    <w:p>
      <w:pPr>
        <w:rPr>
          <w:rFonts w:hAnsi="Cambria Math"/>
          <w:color w:val="000000" w:themeColor="text1"/>
          <w:sz w:val="13"/>
          <w:szCs w:val="13"/>
          <w14:textFill>
            <w14:solidFill>
              <w14:schemeClr w14:val="tx1"/>
            </w14:solidFill>
          </w14:textFill>
        </w:rPr>
      </w:pPr>
      <w:r>
        <w:rPr>
          <w:b/>
          <w:bCs/>
        </w:rPr>
        <w:t xml:space="preserve">Figure </w:t>
      </w:r>
      <w:r>
        <w:rPr>
          <w:rFonts w:hint="eastAsia"/>
          <w:b/>
          <w:bCs/>
        </w:rPr>
        <w:t>S.8</w:t>
      </w:r>
      <w:r>
        <w:rPr>
          <w:b/>
          <w:bCs/>
        </w:rPr>
        <w:t xml:space="preserve"> </w:t>
      </w:r>
      <w:r>
        <w:t>Histogram-waterfall plot of cellular uptake of DNA nanostructures in human lens epithelial cells HLE-B3.</w:t>
      </w:r>
      <w:r>
        <w:rPr>
          <w:rFonts w:hint="eastAsia"/>
        </w:rPr>
        <w:t xml:space="preserve"> </w:t>
      </w:r>
      <w:r>
        <w:t xml:space="preserve">Flow cytometry analysis of cellular uptake of four DNA nanostructures at pre-determined incubation time points (5, 15, 30, 60, and 120 min) in HLE-B3 cells. The APC channel in the flow cytometer was used to detect Cy5 fluorescence. </w:t>
      </w:r>
    </w:p>
    <w:p/>
    <w:p>
      <w:r>
        <w:rPr>
          <w:b/>
          <w:bCs/>
        </w:rPr>
        <w:t>S</w:t>
      </w:r>
      <w:r>
        <w:rPr>
          <w:rFonts w:hint="eastAsia"/>
          <w:b/>
          <w:bCs/>
        </w:rPr>
        <w:t>9</w:t>
      </w:r>
      <w:r>
        <w:rPr>
          <w:b/>
          <w:bCs/>
        </w:rPr>
        <w:t>. PCC analysis of co-localization of Cy5-labelled DONd and cellular organelles in confocal images</w:t>
      </w:r>
    </w:p>
    <w:p>
      <w:bookmarkStart w:id="5" w:name="OLE_LINK1"/>
      <w:r>
        <w:t>To quantitatively determine whether DNA nanostructures were co-localized at nucleus and mitochondria and their degree of co-localization, the Pearson’s correlation coefficient (PCC) was chosen to describe the fluorescence co-occurrence of Cy5 with mito-tracker and DAPI, respectively. In brief, we used coloc 2 in Image J (</w:t>
      </w:r>
      <w:r>
        <w:rPr>
          <w:rFonts w:hint="eastAsia"/>
        </w:rPr>
        <w:t>https://imagej.net/ij, version 1.51j8, USA</w:t>
      </w:r>
      <w:r>
        <w:t xml:space="preserve">). </w:t>
      </w:r>
      <w:r>
        <w:rPr>
          <w:rFonts w:hint="eastAsia"/>
        </w:rPr>
        <w:t>s</w:t>
      </w:r>
      <w:r>
        <w:t>elected</w:t>
      </w:r>
      <w:r>
        <w:rPr>
          <w:rFonts w:hint="eastAsia"/>
        </w:rPr>
        <w:t xml:space="preserve"> 67, 68, 62 and 117 cells</w:t>
      </w:r>
      <w:r>
        <w:t xml:space="preserve"> for </w:t>
      </w:r>
      <w:r>
        <w:rPr>
          <w:rFonts w:hint="eastAsia"/>
        </w:rPr>
        <w:t>four</w:t>
      </w:r>
      <w:r>
        <w:t xml:space="preserve"> DNA nanostructure by using ROI manager. Differential biodistribution of four origami shapes at mitochondria and nucleus were shown in Figure S</w:t>
      </w:r>
      <w:r>
        <w:rPr>
          <w:rFonts w:hint="eastAsia"/>
        </w:rPr>
        <w:t>9</w:t>
      </w:r>
      <w:r>
        <w:t>.</w:t>
      </w:r>
      <w:r>
        <w:rPr>
          <w:rFonts w:hint="eastAsia"/>
        </w:rPr>
        <w:t xml:space="preserve"> </w:t>
      </w:r>
      <w:r>
        <w:t xml:space="preserve">One-way ANOVA (GraphPad, </w:t>
      </w:r>
      <w:r>
        <w:rPr>
          <w:rFonts w:hint="eastAsia"/>
        </w:rPr>
        <w:t>u</w:t>
      </w:r>
      <w:r>
        <w:t>npaired</w:t>
      </w:r>
      <w:r>
        <w:rPr>
          <w:rFonts w:hint="eastAsia"/>
        </w:rPr>
        <w:t>, Gaussian distribution</w:t>
      </w:r>
      <w:r>
        <w:t xml:space="preserve">) was performed to compare the difference of means of four DNA nanostructures. </w:t>
      </w:r>
    </w:p>
    <w:p>
      <w:r>
        <w:t>P value between 1 and -1 describes the degree of co-localization of the dye fluorescence of mitochondria or nucleus with each Cy5 labelled DNA nanostructure.</w:t>
      </w:r>
      <w:r>
        <w:rPr>
          <w:rFonts w:hint="eastAsia"/>
        </w:rPr>
        <w:t xml:space="preserve"> 1 denotes </w:t>
      </w:r>
      <w:r>
        <w:t xml:space="preserve">the </w:t>
      </w:r>
      <w:r>
        <w:rPr>
          <w:rFonts w:hint="eastAsia"/>
        </w:rPr>
        <w:t>perfect correlation (where there is A</w:t>
      </w:r>
      <w:r>
        <w:t>,</w:t>
      </w:r>
      <w:r>
        <w:rPr>
          <w:rFonts w:hint="eastAsia"/>
        </w:rPr>
        <w:t xml:space="preserve"> there must be B); -1 denotes </w:t>
      </w:r>
      <w:r>
        <w:t xml:space="preserve">the </w:t>
      </w:r>
      <w:r>
        <w:rPr>
          <w:rFonts w:hint="eastAsia"/>
        </w:rPr>
        <w:t>complete exclusion (where there is A</w:t>
      </w:r>
      <w:r>
        <w:t>,</w:t>
      </w:r>
      <w:r>
        <w:rPr>
          <w:rFonts w:hint="eastAsia"/>
        </w:rPr>
        <w:t xml:space="preserve"> there must be no B), and 0 denotes a stochastic relationship (A and B are randomly distributed and unrelated)</w:t>
      </w:r>
      <w:r>
        <w:t xml:space="preserve"> </w:t>
      </w:r>
      <w:r>
        <w:fldChar w:fldCharType="begin">
          <w:fldData xml:space="preserve">PEVuZE5vdGU+PENpdGU+PEF1dGhvcj5NYW5kZXJzPC9BdXRob3I+PFllYXI+MTk5MzwvWWVhcj48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</w:fldData>
        </w:fldChar>
      </w:r>
      <w:r>
        <w:instrText xml:space="preserve"> ADDIN EN.CITE </w:instrText>
      </w:r>
      <w:r>
        <w:fldChar w:fldCharType="begin">
          <w:fldData xml:space="preserve">PEVuZE5vdGU+PENpdGU+PEF1dGhvcj5NYW5kZXJzPC9BdXRob3I+PFllYXI+MTk5MzwvWWVhcj48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</w:fldData>
        </w:fldChar>
      </w:r>
      <w:r>
        <w:instrText xml:space="preserve"> ADDIN EN.CITE.DATA </w:instrText>
      </w:r>
      <w:r>
        <w:fldChar w:fldCharType="end"/>
      </w:r>
      <w:r>
        <w:fldChar w:fldCharType="separate"/>
      </w:r>
      <w:r>
        <w:t>[4-7]</w:t>
      </w:r>
      <w:r>
        <w:fldChar w:fldCharType="end"/>
      </w:r>
      <w:r>
        <w:rPr>
          <w:rFonts w:hint="eastAsia"/>
        </w:rPr>
        <w:t>.</w:t>
      </w:r>
      <w:bookmarkEnd w:id="5"/>
    </w:p>
    <w:p>
      <w:pPr>
        <w:rPr>
          <w:rStyle w:val="13"/>
          <w:sz w:val="24"/>
          <w:szCs w:val="24"/>
        </w:rPr>
      </w:pPr>
      <w:r>
        <w:drawing>
          <wp:inline distT="0" distB="0" distL="114300" distR="114300">
            <wp:extent cx="5267325" cy="2695575"/>
            <wp:effectExtent l="0" t="0" r="0" b="0"/>
            <wp:docPr id="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pic:cNvPicPr>
                      <a:picLocks noChangeAspect="1"/>
                    </pic:cNvPicPr>
                  </pic:nvPicPr>
                  <pic:blipFill>
                    <a:blip r:embed="rId14"/>
                    <a:srcRect b="9853"/>
                    <a:stretch>
                      <a:fillRect/>
                    </a:stretch>
                  </pic:blipFill>
                  <pic:spPr>
                    <a:xfrm>
                      <a:off x="0" y="0"/>
                      <a:ext cx="5267325" cy="2695575"/>
                    </a:xfrm>
                    <a:prstGeom prst="rect">
                      <a:avLst/>
                    </a:prstGeom>
                    <a:noFill/>
                    <a:ln>
                      <a:noFill/>
                    </a:ln>
                  </pic:spPr>
                </pic:pic>
              </a:graphicData>
            </a:graphic>
          </wp:inline>
        </w:drawing>
      </w:r>
    </w:p>
    <w:p>
      <w:pPr>
        <w:rPr>
          <w:b/>
          <w:bCs/>
        </w:rPr>
      </w:pPr>
      <w:r>
        <w:rPr>
          <w:b/>
          <w:bCs/>
        </w:rPr>
        <w:t>Figure S</w:t>
      </w:r>
      <w:r>
        <w:rPr>
          <w:rFonts w:hint="eastAsia"/>
          <w:b/>
          <w:bCs/>
        </w:rPr>
        <w:t xml:space="preserve">.9 </w:t>
      </w:r>
      <w:r>
        <w:t xml:space="preserve">PCC distribution of DONs in HLEB-3 cells. The dash line was the mean of PCC. *P&lt;0.05; **P&lt;0.01; ***P&lt;0.001; ****P&lt;0.0001. One-way ANOVA was used to compare means between groups. </w:t>
      </w:r>
    </w:p>
    <w:p>
      <w:pPr>
        <w:rPr>
          <w:lang w:val="en-CA"/>
        </w:rPr>
      </w:pPr>
    </w:p>
    <w:p>
      <w:pPr>
        <w:rPr>
          <w:lang w:val="en-CA"/>
        </w:rPr>
      </w:pPr>
    </w:p>
    <w:p>
      <w:pPr>
        <w:rPr>
          <w:b/>
          <w:bCs/>
        </w:rPr>
      </w:pPr>
      <w:r>
        <w:rPr>
          <w:rFonts w:hint="eastAsia"/>
          <w:b/>
          <w:bCs/>
        </w:rPr>
        <w:t>S10</w:t>
      </w:r>
      <w:r>
        <w:rPr>
          <w:b/>
          <w:bCs/>
        </w:rPr>
        <w:t xml:space="preserve">. </w:t>
      </w:r>
      <w:r>
        <w:rPr>
          <w:rFonts w:hint="eastAsia"/>
          <w:b/>
          <w:bCs/>
        </w:rPr>
        <w:t>Statistical</w:t>
      </w:r>
      <w:r>
        <w:rPr>
          <w:b/>
          <w:bCs/>
        </w:rPr>
        <w:t xml:space="preserve"> comparison</w:t>
      </w:r>
      <w:r>
        <w:rPr>
          <w:rFonts w:hint="eastAsia"/>
          <w:b/>
          <w:bCs/>
        </w:rPr>
        <w:t xml:space="preserve"> </w:t>
      </w:r>
      <w:r>
        <w:rPr>
          <w:b/>
          <w:bCs/>
        </w:rPr>
        <w:t xml:space="preserve">of MCC </w:t>
      </w:r>
      <w:r>
        <w:rPr>
          <w:rFonts w:hint="eastAsia"/>
          <w:b/>
          <w:bCs/>
        </w:rPr>
        <w:t xml:space="preserve">of mitochondria and nuclei </w:t>
      </w:r>
      <w:r>
        <w:rPr>
          <w:b/>
          <w:bCs/>
        </w:rPr>
        <w:t>for</w:t>
      </w:r>
      <w:r>
        <w:rPr>
          <w:rFonts w:hint="eastAsia"/>
          <w:b/>
          <w:bCs/>
        </w:rPr>
        <w:t xml:space="preserve"> triangles with other </w:t>
      </w:r>
      <w:r>
        <w:rPr>
          <w:b/>
          <w:bCs/>
        </w:rPr>
        <w:t>DONs</w:t>
      </w:r>
      <w:r>
        <w:rPr>
          <w:rFonts w:hint="eastAsia"/>
          <w:b/>
          <w:bCs/>
        </w:rPr>
        <w:t xml:space="preserve"> </w:t>
      </w:r>
    </w:p>
    <w:p>
      <w:r>
        <w:t>The data</w:t>
      </w:r>
      <w:r>
        <w:rPr>
          <w:rFonts w:hint="eastAsia"/>
        </w:rPr>
        <w:t xml:space="preserve"> was</w:t>
      </w:r>
      <w:r>
        <w:t xml:space="preserve"> analyzed</w:t>
      </w:r>
      <w:r>
        <w:rPr>
          <w:rFonts w:hint="eastAsia"/>
        </w:rPr>
        <w:t xml:space="preserve"> </w:t>
      </w:r>
      <w:r>
        <w:t xml:space="preserve">based on Figure 7b) (manuscript). Co-localization data of all DONs with mitochondria and nuclei were obtained by MCC analysis, including </w:t>
      </w:r>
      <w:r>
        <w:rPr>
          <w:rFonts w:hint="eastAsia"/>
        </w:rPr>
        <w:t>M</w:t>
      </w:r>
      <w:r>
        <w:t xml:space="preserve">1-mito, </w:t>
      </w:r>
      <w:r>
        <w:rPr>
          <w:rFonts w:hint="eastAsia"/>
        </w:rPr>
        <w:t>M</w:t>
      </w:r>
      <w:r>
        <w:t xml:space="preserve">2-mito, </w:t>
      </w:r>
      <w:r>
        <w:rPr>
          <w:rFonts w:hint="eastAsia"/>
        </w:rPr>
        <w:t>M</w:t>
      </w:r>
      <w:r>
        <w:t xml:space="preserve">1-nuclei and </w:t>
      </w:r>
      <w:r>
        <w:rPr>
          <w:rFonts w:hint="eastAsia"/>
        </w:rPr>
        <w:t>M</w:t>
      </w:r>
      <w:r>
        <w:t>2-nuclei.</w:t>
      </w:r>
      <w:r>
        <w:rPr>
          <w:rFonts w:hint="eastAsia"/>
        </w:rPr>
        <w:t xml:space="preserve"> </w:t>
      </w:r>
      <w:r>
        <w:t xml:space="preserve">Subsequently MMC data (M1 and M2) for the triangles were compared with other DONs using T-test. The results were shown in Table </w:t>
      </w:r>
      <w:r>
        <w:rPr>
          <w:rFonts w:hint="eastAsia"/>
        </w:rPr>
        <w:t>S.10</w:t>
      </w:r>
      <w:r>
        <w:t>. For mitochondria co-localization, there was significant differences between the triangles and the remaining three structures, while in nucleus, significant difference existed only with the octahedron.</w:t>
      </w:r>
    </w:p>
    <w:p>
      <w:pPr>
        <w:rPr>
          <w:b/>
          <w:bCs/>
        </w:rPr>
      </w:pPr>
    </w:p>
    <w:p>
      <w:r>
        <w:rPr>
          <w:b/>
          <w:bCs/>
        </w:rPr>
        <w:t>Table S</w:t>
      </w:r>
      <w:r>
        <w:rPr>
          <w:rFonts w:hint="eastAsia"/>
          <w:b/>
          <w:bCs/>
        </w:rPr>
        <w:t>.10</w:t>
      </w:r>
      <w:r>
        <w:rPr>
          <w:b/>
          <w:bCs/>
        </w:rPr>
        <w:t xml:space="preserve"> </w:t>
      </w:r>
      <w:r>
        <w:rPr>
          <w:rFonts w:hint="eastAsia"/>
          <w:b/>
          <w:bCs/>
        </w:rPr>
        <w:t xml:space="preserve">Comparison of MCC </w:t>
      </w:r>
      <w:r>
        <w:rPr>
          <w:b/>
          <w:bCs/>
        </w:rPr>
        <w:t>for</w:t>
      </w:r>
      <w:r>
        <w:rPr>
          <w:rFonts w:hint="eastAsia"/>
          <w:b/>
          <w:bCs/>
        </w:rPr>
        <w:t xml:space="preserve"> triangles with </w:t>
      </w:r>
      <w:r>
        <w:rPr>
          <w:b/>
          <w:bCs/>
        </w:rPr>
        <w:t xml:space="preserve">ones of </w:t>
      </w:r>
      <w:r>
        <w:rPr>
          <w:rFonts w:hint="eastAsia"/>
          <w:b/>
          <w:bCs/>
        </w:rPr>
        <w:t xml:space="preserve">three other </w:t>
      </w:r>
      <w:r>
        <w:rPr>
          <w:b/>
          <w:bCs/>
        </w:rPr>
        <w:t>DONs</w:t>
      </w:r>
    </w:p>
    <w:tbl>
      <w:tblPr>
        <w:tblStyle w:val="9"/>
        <w:tblW w:w="0" w:type="auto"/>
        <w:tblInd w:w="0" w:type="dxa"/>
        <w:tblLayout w:type="autofit"/>
        <w:tblCellMar>
          <w:top w:w="0" w:type="dxa"/>
          <w:left w:w="108" w:type="dxa"/>
          <w:bottom w:w="0" w:type="dxa"/>
          <w:right w:w="108" w:type="dxa"/>
        </w:tblCellMar>
      </w:tblPr>
      <w:tblGrid>
        <w:gridCol w:w="1704"/>
        <w:gridCol w:w="1704"/>
        <w:gridCol w:w="1704"/>
        <w:gridCol w:w="1705"/>
        <w:gridCol w:w="1705"/>
      </w:tblGrid>
      <w:tr>
        <w:tblPrEx>
          <w:tblCellMar>
            <w:top w:w="0" w:type="dxa"/>
            <w:left w:w="108" w:type="dxa"/>
            <w:bottom w:w="0" w:type="dxa"/>
            <w:right w:w="108" w:type="dxa"/>
          </w:tblCellMar>
        </w:tblPrEx>
        <w:tc>
          <w:tcPr>
            <w:tcW w:w="1704" w:type="dxa"/>
            <w:tcBorders>
              <w:top w:val="single" w:color="auto" w:sz="12" w:space="0"/>
              <w:bottom w:val="single" w:color="auto" w:sz="4" w:space="0"/>
              <w:tl2br w:val="nil"/>
            </w:tcBorders>
            <w:shd w:val="clear" w:color="auto" w:fill="FFFFFF"/>
          </w:tcPr>
          <w:p>
            <w:pPr>
              <w:rPr>
                <w:b/>
                <w:bCs/>
                <w:color w:val="000000"/>
              </w:rPr>
            </w:pPr>
            <w:r>
              <w:rPr>
                <w:rFonts w:hint="eastAsia"/>
                <w:b/>
                <w:bCs/>
                <w:color w:val="000000"/>
              </w:rPr>
              <w:t xml:space="preserve">T </w:t>
            </w:r>
            <w:r>
              <w:rPr>
                <w:b/>
                <w:bCs/>
                <w:color w:val="000000"/>
              </w:rPr>
              <w:t>T</w:t>
            </w:r>
            <w:r>
              <w:rPr>
                <w:rFonts w:hint="eastAsia"/>
                <w:b/>
                <w:bCs/>
                <w:color w:val="000000"/>
              </w:rPr>
              <w:t>es</w:t>
            </w:r>
            <w:r>
              <w:rPr>
                <w:b/>
                <w:bCs/>
                <w:color w:val="000000"/>
              </w:rPr>
              <w:t>t</w:t>
            </w:r>
            <w:r>
              <w:rPr>
                <w:rFonts w:hint="eastAsia"/>
                <w:b/>
                <w:bCs/>
                <w:color w:val="000000"/>
                <w:vertAlign w:val="superscript"/>
              </w:rPr>
              <w:t>a</w:t>
            </w:r>
          </w:p>
        </w:tc>
        <w:tc>
          <w:tcPr>
            <w:tcW w:w="1704" w:type="dxa"/>
            <w:tcBorders>
              <w:top w:val="single" w:color="auto" w:sz="12" w:space="0"/>
              <w:bottom w:val="single" w:color="auto" w:sz="4" w:space="0"/>
            </w:tcBorders>
            <w:shd w:val="clear" w:color="auto" w:fill="FFFFFF"/>
          </w:tcPr>
          <w:p>
            <w:pPr>
              <w:rPr>
                <w:b/>
                <w:bCs/>
                <w:color w:val="000000"/>
              </w:rPr>
            </w:pPr>
            <w:r>
              <w:rPr>
                <w:rFonts w:hint="eastAsia"/>
                <w:b/>
                <w:bCs/>
                <w:color w:val="000000"/>
              </w:rPr>
              <w:t>M1-mito</w:t>
            </w:r>
          </w:p>
        </w:tc>
        <w:tc>
          <w:tcPr>
            <w:tcW w:w="1704" w:type="dxa"/>
            <w:tcBorders>
              <w:top w:val="single" w:color="auto" w:sz="12" w:space="0"/>
              <w:bottom w:val="single" w:color="auto" w:sz="4" w:space="0"/>
            </w:tcBorders>
            <w:shd w:val="clear" w:color="auto" w:fill="FFFFFF"/>
          </w:tcPr>
          <w:p>
            <w:pPr>
              <w:rPr>
                <w:b/>
                <w:bCs/>
                <w:color w:val="000000"/>
              </w:rPr>
            </w:pPr>
            <w:r>
              <w:rPr>
                <w:rFonts w:hint="eastAsia"/>
                <w:b/>
                <w:bCs/>
                <w:color w:val="000000"/>
              </w:rPr>
              <w:t>M2-mito</w:t>
            </w:r>
          </w:p>
        </w:tc>
        <w:tc>
          <w:tcPr>
            <w:tcW w:w="1705" w:type="dxa"/>
            <w:tcBorders>
              <w:top w:val="single" w:color="auto" w:sz="12" w:space="0"/>
              <w:bottom w:val="single" w:color="auto" w:sz="4" w:space="0"/>
            </w:tcBorders>
            <w:shd w:val="clear" w:color="auto" w:fill="FFFFFF"/>
          </w:tcPr>
          <w:p>
            <w:pPr>
              <w:rPr>
                <w:b/>
                <w:bCs/>
                <w:color w:val="000000"/>
              </w:rPr>
            </w:pPr>
            <w:r>
              <w:rPr>
                <w:rFonts w:hint="eastAsia"/>
                <w:b/>
                <w:bCs/>
                <w:color w:val="000000"/>
              </w:rPr>
              <w:t>M1-</w:t>
            </w:r>
            <w:r>
              <w:rPr>
                <w:rFonts w:hint="eastAsia"/>
                <w:b/>
                <w:bCs/>
              </w:rPr>
              <w:t>nuclei</w:t>
            </w:r>
          </w:p>
        </w:tc>
        <w:tc>
          <w:tcPr>
            <w:tcW w:w="1705" w:type="dxa"/>
            <w:tcBorders>
              <w:top w:val="single" w:color="auto" w:sz="12" w:space="0"/>
              <w:bottom w:val="single" w:color="auto" w:sz="4" w:space="0"/>
            </w:tcBorders>
            <w:shd w:val="clear" w:color="auto" w:fill="FFFFFF"/>
          </w:tcPr>
          <w:p>
            <w:pPr>
              <w:rPr>
                <w:b/>
                <w:bCs/>
                <w:color w:val="000000"/>
              </w:rPr>
            </w:pPr>
            <w:r>
              <w:rPr>
                <w:rFonts w:hint="eastAsia"/>
                <w:b/>
                <w:bCs/>
                <w:color w:val="000000"/>
              </w:rPr>
              <w:t>M2-</w:t>
            </w:r>
            <w:r>
              <w:rPr>
                <w:rFonts w:hint="eastAsia"/>
                <w:b/>
                <w:bCs/>
              </w:rPr>
              <w:t>nuclei</w:t>
            </w:r>
          </w:p>
        </w:tc>
      </w:tr>
      <w:tr>
        <w:tblPrEx>
          <w:tblCellMar>
            <w:top w:w="0" w:type="dxa"/>
            <w:left w:w="108" w:type="dxa"/>
            <w:bottom w:w="0" w:type="dxa"/>
            <w:right w:w="108" w:type="dxa"/>
          </w:tblCellMar>
        </w:tblPrEx>
        <w:tc>
          <w:tcPr>
            <w:tcW w:w="1704" w:type="dxa"/>
            <w:tcBorders>
              <w:top w:val="single" w:color="auto" w:sz="4" w:space="0"/>
            </w:tcBorders>
            <w:shd w:val="clear" w:color="auto" w:fill="FFFFFF"/>
          </w:tcPr>
          <w:p>
            <w:pPr>
              <w:rPr>
                <w:color w:val="000000"/>
              </w:rPr>
            </w:pPr>
            <w:r>
              <w:rPr>
                <w:rFonts w:hint="eastAsia"/>
                <w:color w:val="000000"/>
              </w:rPr>
              <w:t>T-Rod</w:t>
            </w:r>
          </w:p>
        </w:tc>
        <w:tc>
          <w:tcPr>
            <w:tcW w:w="1704" w:type="dxa"/>
            <w:tcBorders>
              <w:top w:val="single" w:color="auto" w:sz="4" w:space="0"/>
            </w:tcBorders>
            <w:shd w:val="clear" w:color="auto" w:fill="FFFFFF"/>
          </w:tcPr>
          <w:p>
            <w:pPr>
              <w:rPr>
                <w:color w:val="000000"/>
              </w:rPr>
            </w:pPr>
            <w:r>
              <w:rPr>
                <w:rFonts w:hint="eastAsia"/>
                <w:color w:val="000000"/>
              </w:rPr>
              <w:t>***</w:t>
            </w:r>
          </w:p>
        </w:tc>
        <w:tc>
          <w:tcPr>
            <w:tcW w:w="1704" w:type="dxa"/>
            <w:tcBorders>
              <w:top w:val="single" w:color="auto" w:sz="4" w:space="0"/>
            </w:tcBorders>
            <w:shd w:val="clear" w:color="auto" w:fill="FFFFFF"/>
          </w:tcPr>
          <w:p>
            <w:pPr>
              <w:rPr>
                <w:color w:val="000000"/>
              </w:rPr>
            </w:pPr>
            <w:r>
              <w:rPr>
                <w:rFonts w:hint="eastAsia"/>
                <w:color w:val="000000"/>
              </w:rPr>
              <w:t>*</w:t>
            </w:r>
          </w:p>
        </w:tc>
        <w:tc>
          <w:tcPr>
            <w:tcW w:w="1705" w:type="dxa"/>
            <w:tcBorders>
              <w:top w:val="single" w:color="auto" w:sz="4" w:space="0"/>
            </w:tcBorders>
            <w:shd w:val="clear" w:color="auto" w:fill="FFFFFF"/>
          </w:tcPr>
          <w:p>
            <w:pPr>
              <w:rPr>
                <w:color w:val="000000"/>
              </w:rPr>
            </w:pPr>
            <w:r>
              <w:rPr>
                <w:rFonts w:hint="eastAsia"/>
                <w:color w:val="000000"/>
              </w:rPr>
              <w:t>/</w:t>
            </w:r>
          </w:p>
        </w:tc>
        <w:tc>
          <w:tcPr>
            <w:tcW w:w="1705" w:type="dxa"/>
            <w:tcBorders>
              <w:top w:val="single" w:color="auto" w:sz="4" w:space="0"/>
            </w:tcBorders>
            <w:shd w:val="clear" w:color="auto" w:fill="FFFFFF"/>
          </w:tcPr>
          <w:p>
            <w:pPr>
              <w:rPr>
                <w:color w:val="000000"/>
              </w:rPr>
            </w:pPr>
            <w:r>
              <w:rPr>
                <w:rFonts w:hint="eastAsia"/>
                <w:color w:val="000000"/>
              </w:rPr>
              <w:t>/</w:t>
            </w:r>
          </w:p>
        </w:tc>
      </w:tr>
      <w:tr>
        <w:tblPrEx>
          <w:tblCellMar>
            <w:top w:w="0" w:type="dxa"/>
            <w:left w:w="108" w:type="dxa"/>
            <w:bottom w:w="0" w:type="dxa"/>
            <w:right w:w="108" w:type="dxa"/>
          </w:tblCellMar>
        </w:tblPrEx>
        <w:tc>
          <w:tcPr>
            <w:tcW w:w="1704" w:type="dxa"/>
            <w:shd w:val="clear" w:color="auto" w:fill="FFFFFF"/>
          </w:tcPr>
          <w:p>
            <w:pPr>
              <w:rPr>
                <w:color w:val="000000"/>
              </w:rPr>
            </w:pPr>
            <w:r>
              <w:rPr>
                <w:rFonts w:hint="eastAsia"/>
                <w:color w:val="000000"/>
              </w:rPr>
              <w:t>T-Ring</w:t>
            </w:r>
          </w:p>
        </w:tc>
        <w:tc>
          <w:tcPr>
            <w:tcW w:w="1704" w:type="dxa"/>
            <w:shd w:val="clear" w:color="auto" w:fill="FFFFFF"/>
          </w:tcPr>
          <w:p>
            <w:pPr>
              <w:rPr>
                <w:color w:val="000000"/>
              </w:rPr>
            </w:pPr>
            <w:r>
              <w:rPr>
                <w:rFonts w:hint="eastAsia"/>
                <w:color w:val="000000"/>
              </w:rPr>
              <w:t>****</w:t>
            </w:r>
          </w:p>
        </w:tc>
        <w:tc>
          <w:tcPr>
            <w:tcW w:w="1704" w:type="dxa"/>
            <w:shd w:val="clear" w:color="auto" w:fill="FFFFFF"/>
          </w:tcPr>
          <w:p>
            <w:pPr>
              <w:rPr>
                <w:color w:val="000000"/>
              </w:rPr>
            </w:pPr>
            <w:r>
              <w:rPr>
                <w:rFonts w:hint="eastAsia"/>
                <w:color w:val="000000"/>
              </w:rPr>
              <w:t>****</w:t>
            </w:r>
          </w:p>
        </w:tc>
        <w:tc>
          <w:tcPr>
            <w:tcW w:w="1705" w:type="dxa"/>
            <w:shd w:val="clear" w:color="auto" w:fill="FFFFFF"/>
          </w:tcPr>
          <w:p>
            <w:pPr>
              <w:rPr>
                <w:color w:val="000000"/>
              </w:rPr>
            </w:pPr>
            <w:r>
              <w:rPr>
                <w:rFonts w:hint="eastAsia"/>
                <w:color w:val="000000"/>
              </w:rPr>
              <w:t>**</w:t>
            </w:r>
          </w:p>
        </w:tc>
        <w:tc>
          <w:tcPr>
            <w:tcW w:w="1705" w:type="dxa"/>
            <w:shd w:val="clear" w:color="auto" w:fill="FFFFFF"/>
          </w:tcPr>
          <w:p>
            <w:pPr>
              <w:rPr>
                <w:color w:val="000000"/>
              </w:rPr>
            </w:pPr>
            <w:r>
              <w:rPr>
                <w:rFonts w:hint="eastAsia"/>
                <w:color w:val="000000"/>
              </w:rPr>
              <w:t>/</w:t>
            </w:r>
          </w:p>
        </w:tc>
      </w:tr>
      <w:tr>
        <w:tblPrEx>
          <w:tblCellMar>
            <w:top w:w="0" w:type="dxa"/>
            <w:left w:w="108" w:type="dxa"/>
            <w:bottom w:w="0" w:type="dxa"/>
            <w:right w:w="108" w:type="dxa"/>
          </w:tblCellMar>
        </w:tblPrEx>
        <w:tc>
          <w:tcPr>
            <w:tcW w:w="1704" w:type="dxa"/>
            <w:tcBorders>
              <w:bottom w:val="single" w:color="auto" w:sz="12" w:space="0"/>
            </w:tcBorders>
            <w:shd w:val="clear" w:color="auto" w:fill="FFFFFF"/>
          </w:tcPr>
          <w:p>
            <w:pPr>
              <w:rPr>
                <w:color w:val="000000"/>
              </w:rPr>
            </w:pPr>
            <w:r>
              <w:rPr>
                <w:rFonts w:hint="eastAsia"/>
                <w:color w:val="000000"/>
              </w:rPr>
              <w:t>T-Octahedron</w:t>
            </w:r>
          </w:p>
        </w:tc>
        <w:tc>
          <w:tcPr>
            <w:tcW w:w="1704" w:type="dxa"/>
            <w:tcBorders>
              <w:bottom w:val="single" w:color="auto" w:sz="12" w:space="0"/>
            </w:tcBorders>
            <w:shd w:val="clear" w:color="auto" w:fill="FFFFFF"/>
          </w:tcPr>
          <w:p>
            <w:pPr>
              <w:rPr>
                <w:color w:val="000000"/>
              </w:rPr>
            </w:pPr>
            <w:r>
              <w:rPr>
                <w:rFonts w:hint="eastAsia"/>
                <w:color w:val="000000"/>
              </w:rPr>
              <w:t>****</w:t>
            </w:r>
          </w:p>
        </w:tc>
        <w:tc>
          <w:tcPr>
            <w:tcW w:w="1704" w:type="dxa"/>
            <w:tcBorders>
              <w:bottom w:val="single" w:color="auto" w:sz="12" w:space="0"/>
            </w:tcBorders>
            <w:shd w:val="clear" w:color="auto" w:fill="FFFFFF"/>
          </w:tcPr>
          <w:p>
            <w:pPr>
              <w:rPr>
                <w:color w:val="000000"/>
              </w:rPr>
            </w:pPr>
            <w:r>
              <w:rPr>
                <w:rFonts w:hint="eastAsia"/>
                <w:color w:val="000000"/>
              </w:rPr>
              <w:t>**</w:t>
            </w:r>
          </w:p>
        </w:tc>
        <w:tc>
          <w:tcPr>
            <w:tcW w:w="1705" w:type="dxa"/>
            <w:tcBorders>
              <w:bottom w:val="single" w:color="auto" w:sz="12" w:space="0"/>
            </w:tcBorders>
            <w:shd w:val="clear" w:color="auto" w:fill="FFFFFF"/>
          </w:tcPr>
          <w:p>
            <w:pPr>
              <w:rPr>
                <w:color w:val="000000"/>
              </w:rPr>
            </w:pPr>
            <w:r>
              <w:rPr>
                <w:rFonts w:hint="eastAsia"/>
                <w:color w:val="000000"/>
              </w:rPr>
              <w:t>****</w:t>
            </w:r>
          </w:p>
        </w:tc>
        <w:tc>
          <w:tcPr>
            <w:tcW w:w="1705" w:type="dxa"/>
            <w:tcBorders>
              <w:bottom w:val="single" w:color="auto" w:sz="12" w:space="0"/>
            </w:tcBorders>
            <w:shd w:val="clear" w:color="auto" w:fill="FFFFFF"/>
          </w:tcPr>
          <w:p>
            <w:pPr>
              <w:rPr>
                <w:color w:val="000000"/>
              </w:rPr>
            </w:pPr>
            <w:r>
              <w:rPr>
                <w:rFonts w:hint="eastAsia"/>
                <w:color w:val="000000"/>
              </w:rPr>
              <w:t>****</w:t>
            </w:r>
          </w:p>
        </w:tc>
      </w:tr>
    </w:tbl>
    <w:p>
      <w:pPr>
        <w:rPr>
          <w:sz w:val="32"/>
          <w:szCs w:val="32"/>
          <w:vertAlign w:val="superscript"/>
        </w:rPr>
      </w:pPr>
      <w:r>
        <w:rPr>
          <w:rFonts w:hint="eastAsia"/>
          <w:sz w:val="32"/>
          <w:szCs w:val="32"/>
          <w:vertAlign w:val="superscript"/>
        </w:rPr>
        <w:t xml:space="preserve">a: </w:t>
      </w:r>
      <w:r>
        <w:rPr>
          <w:sz w:val="32"/>
          <w:szCs w:val="32"/>
          <w:vertAlign w:val="superscript"/>
        </w:rPr>
        <w:t>*P&lt;0.05; **P&lt;0.01; ***P&lt;0.001; ****P&lt;0.0001</w:t>
      </w:r>
      <w:r>
        <w:rPr>
          <w:rFonts w:hint="eastAsia"/>
          <w:sz w:val="32"/>
          <w:szCs w:val="32"/>
          <w:vertAlign w:val="superscript"/>
        </w:rPr>
        <w:t>.</w:t>
      </w:r>
    </w:p>
    <w:p>
      <w:pPr>
        <w:rPr>
          <w:lang w:val="en-CA"/>
        </w:rPr>
      </w:pPr>
    </w:p>
    <w:p>
      <w:pPr>
        <w:rPr>
          <w:lang w:val="en-CA"/>
        </w:rPr>
      </w:pPr>
      <w:r>
        <w:rPr>
          <w:b/>
          <w:bCs/>
          <w:lang w:val="en-CA"/>
        </w:rPr>
        <w:t>R</w:t>
      </w:r>
      <w:r>
        <w:rPr>
          <w:rFonts w:hint="eastAsia"/>
          <w:b/>
          <w:bCs/>
          <w:lang w:val="en-CA"/>
        </w:rPr>
        <w:t>eference</w:t>
      </w:r>
    </w:p>
    <w:p>
      <w:pPr>
        <w:pStyle w:val="18"/>
      </w:pPr>
      <w:r>
        <w:rPr>
          <w:lang w:val="en-CA"/>
        </w:rPr>
        <w:fldChar w:fldCharType="begin"/>
      </w:r>
      <w:r>
        <w:rPr>
          <w:lang w:val="en-CA"/>
        </w:rPr>
        <w:instrText xml:space="preserve"> ADDIN EN.REFLIST </w:instrText>
      </w:r>
      <w:r>
        <w:rPr>
          <w:lang w:val="en-CA"/>
        </w:rPr>
        <w:fldChar w:fldCharType="separate"/>
      </w:r>
      <w:r>
        <w:t>1. Suma A, Poppleton E, Matthies M, Sulc P, Romano F, Louis AA, et al. TacoxDNA: A user-friendly web server for simulations of complex DNA structures, from single strands to origami. J Comput Chem. 2019;40(29):2586-95. doi: 10.1002/jcc.26029.</w:t>
      </w:r>
    </w:p>
    <w:p>
      <w:pPr>
        <w:pStyle w:val="18"/>
      </w:pPr>
      <w:r>
        <w:t>2. Douglas SM, Marblestone AH, Teerapittayanon S, Vazquez A, Church GM, Shih WM. Rapid prototyping of 3D DNA-origami shapes with caDNAno. Nucleic Acids Res. 2009;37(15):5001-6. doi: 10.1093/nar/gkp436.</w:t>
      </w:r>
    </w:p>
    <w:p>
      <w:pPr>
        <w:pStyle w:val="18"/>
      </w:pPr>
      <w:r>
        <w:t>3. Poppleton E, Romero R, Mallya A, Rovigatti L, Šulc P. OxDNA.org: a public webserver for coarse-grained simulations of DNA and RNA nanostructures. Nucleic Acids Res. 2021;49(W1):W491-w8. doi: 10.1093/nar/gkab324.</w:t>
      </w:r>
    </w:p>
    <w:p>
      <w:pPr>
        <w:pStyle w:val="18"/>
      </w:pPr>
      <w:r>
        <w:t>4. Manders EMM, Verbeek FJ, Aten JA. Measurement of co-localization of objects in dual-colour confocal images. J Microsc. 1993;169(3):375-82. doi: 10.1111/j.1365-2818.1993.tb03313.x.</w:t>
      </w:r>
    </w:p>
    <w:p>
      <w:pPr>
        <w:pStyle w:val="18"/>
      </w:pPr>
      <w:r>
        <w:t xml:space="preserve">5. Comeau JWD, Costantino S, Wiseman PW. A Guide to Accurate Fluorescence Microscopy Colocalization Measurements. Biophysical journal. 2006;91(12):4611-22. doi: </w:t>
      </w:r>
      <w:r>
        <w:fldChar w:fldCharType="begin"/>
      </w:r>
      <w:r>
        <w:instrText xml:space="preserve"> HYPERLINK "https://doi.org/10.1529/biophysj.106.089441" </w:instrText>
      </w:r>
      <w:r>
        <w:fldChar w:fldCharType="separate"/>
      </w:r>
      <w:r>
        <w:rPr>
          <w:rStyle w:val="12"/>
        </w:rPr>
        <w:t>https://doi.org/10.1529/biophysj.106.089441</w:t>
      </w:r>
      <w:r>
        <w:rPr>
          <w:rStyle w:val="12"/>
        </w:rPr>
        <w:fldChar w:fldCharType="end"/>
      </w:r>
      <w:r>
        <w:t>.</w:t>
      </w:r>
    </w:p>
    <w:p>
      <w:pPr>
        <w:pStyle w:val="18"/>
      </w:pPr>
      <w:r>
        <w:t>6. Dunn KW, Kamocka MM, McDonald JH. A practical guide to evaluating colocalization in biological microscopy. American journal of physiology Cell physiology. 2011;300(4):C723-42. doi: 10.1152/ajpcell.00462.2010.</w:t>
      </w:r>
    </w:p>
    <w:p>
      <w:pPr>
        <w:pStyle w:val="18"/>
      </w:pPr>
      <w:r>
        <w:t>7</w:t>
      </w:r>
      <w:bookmarkStart w:id="6" w:name="_GoBack"/>
      <w:r>
        <w:t>. French AP, Mills S, Swarup R, Bennett MJ, Pridmore TP. Colocalization of fluorescent markers in confocal microscope images of plant cells. Nature Protocols. 2008;3(4):619-28. doi: 10.1038/nprot.2008.31.</w:t>
      </w:r>
      <w:bookmarkEnd w:id="6"/>
    </w:p>
    <w:p>
      <w:pPr>
        <w:rPr>
          <w:lang w:val="en-CA"/>
        </w:rPr>
      </w:pPr>
      <w:r>
        <w:rPr>
          <w:lang w:val="en-CA"/>
        </w:rPr>
        <w:fldChar w:fldCharType="end"/>
      </w:r>
    </w:p>
    <w:sectPr>
      <w:footerReference r:id="rId5"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decorative"/>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yODkwNjBhYzg4ZmFjOGFiYjFmMDExOTg4NDNhNTgifQ=="/>
    <w:docVar w:name="EN.InstantFormat" w:val="&lt;ENInstantFormat&gt;&lt;Enabled&gt;1&lt;/Enabled&gt;&lt;ScanUnformatted&gt;1&lt;/ScanUnformatted&gt;&lt;ScanChanges&gt;1&lt;/ScanChanges&gt;&lt;Suspended&gt;0&lt;/Suspended&gt;&lt;/ENInstantFormat&gt;"/>
    <w:docVar w:name="EN.Layout" w:val="&lt;ENLayout&gt;&lt;Style&gt;Springer Vancouver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sre29at9t2pqe2zprv9ftg29wf9wdpfezp&quot;&gt;My EndNote Library&lt;record-ids&gt;&lt;item&gt;61&lt;/item&gt;&lt;item&gt;63&lt;/item&gt;&lt;item&gt;143&lt;/item&gt;&lt;item&gt;149&lt;/item&gt;&lt;item&gt;150&lt;/item&gt;&lt;item&gt;151&lt;/item&gt;&lt;item&gt;152&lt;/item&gt;&lt;/record-ids&gt;&lt;/item&gt;&lt;/Libraries&gt;"/>
  </w:docVars>
  <w:rsids>
    <w:rsidRoot w:val="279812F0"/>
    <w:rsid w:val="0007200F"/>
    <w:rsid w:val="000942D9"/>
    <w:rsid w:val="0009446E"/>
    <w:rsid w:val="00095109"/>
    <w:rsid w:val="000A09A5"/>
    <w:rsid w:val="000B3E4C"/>
    <w:rsid w:val="000C75B9"/>
    <w:rsid w:val="000D5027"/>
    <w:rsid w:val="00140972"/>
    <w:rsid w:val="00145C4A"/>
    <w:rsid w:val="00180A03"/>
    <w:rsid w:val="00190F16"/>
    <w:rsid w:val="00195E87"/>
    <w:rsid w:val="001A2AB3"/>
    <w:rsid w:val="001B0BE3"/>
    <w:rsid w:val="001D6537"/>
    <w:rsid w:val="001F6345"/>
    <w:rsid w:val="001F664E"/>
    <w:rsid w:val="00201CAB"/>
    <w:rsid w:val="002046D9"/>
    <w:rsid w:val="00207491"/>
    <w:rsid w:val="00236F0D"/>
    <w:rsid w:val="0025673D"/>
    <w:rsid w:val="00287AC9"/>
    <w:rsid w:val="0029360C"/>
    <w:rsid w:val="002A6D52"/>
    <w:rsid w:val="002B54C4"/>
    <w:rsid w:val="002D78A5"/>
    <w:rsid w:val="003031D1"/>
    <w:rsid w:val="00321ED5"/>
    <w:rsid w:val="003315B1"/>
    <w:rsid w:val="0033428A"/>
    <w:rsid w:val="00345F95"/>
    <w:rsid w:val="00383E18"/>
    <w:rsid w:val="003B446F"/>
    <w:rsid w:val="003E3FAF"/>
    <w:rsid w:val="003E78F9"/>
    <w:rsid w:val="003F6E75"/>
    <w:rsid w:val="00432BB1"/>
    <w:rsid w:val="00435093"/>
    <w:rsid w:val="00444945"/>
    <w:rsid w:val="00460018"/>
    <w:rsid w:val="0049373D"/>
    <w:rsid w:val="004A7F4E"/>
    <w:rsid w:val="004C59CE"/>
    <w:rsid w:val="004D1B17"/>
    <w:rsid w:val="004E783C"/>
    <w:rsid w:val="004F4BC5"/>
    <w:rsid w:val="004F6657"/>
    <w:rsid w:val="00513B21"/>
    <w:rsid w:val="00545379"/>
    <w:rsid w:val="005734D6"/>
    <w:rsid w:val="00577ABD"/>
    <w:rsid w:val="00595585"/>
    <w:rsid w:val="005E0816"/>
    <w:rsid w:val="005E70EF"/>
    <w:rsid w:val="00614215"/>
    <w:rsid w:val="00663637"/>
    <w:rsid w:val="00664BC7"/>
    <w:rsid w:val="006D5633"/>
    <w:rsid w:val="00721457"/>
    <w:rsid w:val="007760F4"/>
    <w:rsid w:val="00791687"/>
    <w:rsid w:val="00791CB3"/>
    <w:rsid w:val="007E0680"/>
    <w:rsid w:val="007E3A65"/>
    <w:rsid w:val="007E51ED"/>
    <w:rsid w:val="008011AA"/>
    <w:rsid w:val="00801266"/>
    <w:rsid w:val="0082717D"/>
    <w:rsid w:val="00833DDE"/>
    <w:rsid w:val="00847D9A"/>
    <w:rsid w:val="008605CF"/>
    <w:rsid w:val="00887DF6"/>
    <w:rsid w:val="008B0428"/>
    <w:rsid w:val="008B4065"/>
    <w:rsid w:val="008C570E"/>
    <w:rsid w:val="008D7CB7"/>
    <w:rsid w:val="008E5928"/>
    <w:rsid w:val="008F582B"/>
    <w:rsid w:val="00903B5C"/>
    <w:rsid w:val="00926E07"/>
    <w:rsid w:val="009455AE"/>
    <w:rsid w:val="00947595"/>
    <w:rsid w:val="00950ED4"/>
    <w:rsid w:val="00955132"/>
    <w:rsid w:val="00975E76"/>
    <w:rsid w:val="009B2479"/>
    <w:rsid w:val="009D455F"/>
    <w:rsid w:val="009E63C5"/>
    <w:rsid w:val="00A441AF"/>
    <w:rsid w:val="00AB0CC5"/>
    <w:rsid w:val="00AB7CCD"/>
    <w:rsid w:val="00AD4566"/>
    <w:rsid w:val="00AF5986"/>
    <w:rsid w:val="00B3550D"/>
    <w:rsid w:val="00B40B32"/>
    <w:rsid w:val="00B41BB2"/>
    <w:rsid w:val="00B42CBB"/>
    <w:rsid w:val="00B53E4C"/>
    <w:rsid w:val="00B55097"/>
    <w:rsid w:val="00B55CC0"/>
    <w:rsid w:val="00B75B40"/>
    <w:rsid w:val="00B83FA8"/>
    <w:rsid w:val="00BB3B4E"/>
    <w:rsid w:val="00BE2447"/>
    <w:rsid w:val="00BE7A29"/>
    <w:rsid w:val="00C047F2"/>
    <w:rsid w:val="00C04CB4"/>
    <w:rsid w:val="00C17F55"/>
    <w:rsid w:val="00C35B02"/>
    <w:rsid w:val="00C63475"/>
    <w:rsid w:val="00C673A5"/>
    <w:rsid w:val="00C939F6"/>
    <w:rsid w:val="00C95F9A"/>
    <w:rsid w:val="00CB3564"/>
    <w:rsid w:val="00CF153F"/>
    <w:rsid w:val="00CF6234"/>
    <w:rsid w:val="00D10168"/>
    <w:rsid w:val="00D14843"/>
    <w:rsid w:val="00D16AC2"/>
    <w:rsid w:val="00D375E0"/>
    <w:rsid w:val="00D5664F"/>
    <w:rsid w:val="00D56F2F"/>
    <w:rsid w:val="00DA102C"/>
    <w:rsid w:val="00DA2327"/>
    <w:rsid w:val="00DB12D2"/>
    <w:rsid w:val="00DB1A27"/>
    <w:rsid w:val="00E03CCC"/>
    <w:rsid w:val="00E27F7F"/>
    <w:rsid w:val="00E64B92"/>
    <w:rsid w:val="00E71627"/>
    <w:rsid w:val="00E94F70"/>
    <w:rsid w:val="00EA6590"/>
    <w:rsid w:val="00ED7590"/>
    <w:rsid w:val="00EE53A9"/>
    <w:rsid w:val="00EF76C9"/>
    <w:rsid w:val="00F00715"/>
    <w:rsid w:val="00F10D2B"/>
    <w:rsid w:val="00F14DC6"/>
    <w:rsid w:val="00F20ACB"/>
    <w:rsid w:val="00F504B5"/>
    <w:rsid w:val="00F64194"/>
    <w:rsid w:val="00F813CA"/>
    <w:rsid w:val="00F87762"/>
    <w:rsid w:val="00FB24FC"/>
    <w:rsid w:val="03F53B07"/>
    <w:rsid w:val="0524757C"/>
    <w:rsid w:val="0F0C6141"/>
    <w:rsid w:val="107E60F1"/>
    <w:rsid w:val="135950B8"/>
    <w:rsid w:val="17A62E5D"/>
    <w:rsid w:val="1A4E703E"/>
    <w:rsid w:val="1B813069"/>
    <w:rsid w:val="1E8C7DF4"/>
    <w:rsid w:val="22E845A7"/>
    <w:rsid w:val="26E30CDC"/>
    <w:rsid w:val="279812F0"/>
    <w:rsid w:val="2CE643F2"/>
    <w:rsid w:val="43544604"/>
    <w:rsid w:val="48CC307C"/>
    <w:rsid w:val="533437A6"/>
    <w:rsid w:val="55524F2D"/>
    <w:rsid w:val="5CD06416"/>
    <w:rsid w:val="613B6814"/>
    <w:rsid w:val="649D3433"/>
    <w:rsid w:val="665C652A"/>
    <w:rsid w:val="67F6499F"/>
    <w:rsid w:val="70627814"/>
    <w:rsid w:val="72842293"/>
    <w:rsid w:val="741632B6"/>
    <w:rsid w:val="74DA0BB0"/>
    <w:rsid w:val="79112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jc w:val="both"/>
    </w:pPr>
    <w:rPr>
      <w:rFonts w:ascii="Times New Roman" w:hAnsi="Times New Roman" w:eastAsia="宋体" w:cs="Times New Roman"/>
      <w:sz w:val="24"/>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autoRedefine/>
    <w:qFormat/>
    <w:uiPriority w:val="0"/>
    <w:pPr>
      <w:jc w:val="left"/>
    </w:pPr>
  </w:style>
  <w:style w:type="paragraph" w:styleId="3">
    <w:name w:val="Balloon Text"/>
    <w:basedOn w:val="1"/>
    <w:link w:val="15"/>
    <w:autoRedefine/>
    <w:qFormat/>
    <w:uiPriority w:val="0"/>
    <w:rPr>
      <w:rFonts w:ascii="宋体"/>
      <w:sz w:val="18"/>
      <w:szCs w:val="18"/>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rPr>
  </w:style>
  <w:style w:type="paragraph" w:styleId="7">
    <w:name w:val="Normal (Web)"/>
    <w:basedOn w:val="1"/>
    <w:autoRedefine/>
    <w:qFormat/>
    <w:uiPriority w:val="0"/>
    <w:pPr>
      <w:spacing w:before="100" w:beforeAutospacing="1" w:after="100" w:afterAutospacing="1"/>
      <w:jc w:val="left"/>
    </w:pPr>
  </w:style>
  <w:style w:type="paragraph" w:styleId="8">
    <w:name w:val="annotation subject"/>
    <w:basedOn w:val="2"/>
    <w:next w:val="2"/>
    <w:link w:val="16"/>
    <w:autoRedefine/>
    <w:qFormat/>
    <w:uiPriority w:val="0"/>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autoRedefine/>
    <w:unhideWhenUsed/>
    <w:qFormat/>
    <w:uiPriority w:val="99"/>
    <w:rPr>
      <w:color w:val="0026E5"/>
      <w:u w:val="single"/>
    </w:rPr>
  </w:style>
  <w:style w:type="character" w:styleId="13">
    <w:name w:val="annotation reference"/>
    <w:autoRedefine/>
    <w:qFormat/>
    <w:uiPriority w:val="0"/>
    <w:rPr>
      <w:sz w:val="21"/>
      <w:szCs w:val="21"/>
    </w:rPr>
  </w:style>
  <w:style w:type="character" w:customStyle="1" w:styleId="14">
    <w:name w:val="Comment Text Char"/>
    <w:link w:val="2"/>
    <w:autoRedefine/>
    <w:qFormat/>
    <w:uiPriority w:val="0"/>
    <w:rPr>
      <w:sz w:val="24"/>
      <w:szCs w:val="24"/>
    </w:rPr>
  </w:style>
  <w:style w:type="character" w:customStyle="1" w:styleId="15">
    <w:name w:val="Balloon Text Char"/>
    <w:link w:val="3"/>
    <w:autoRedefine/>
    <w:qFormat/>
    <w:uiPriority w:val="0"/>
    <w:rPr>
      <w:rFonts w:ascii="宋体" w:eastAsia="宋体"/>
      <w:sz w:val="18"/>
      <w:szCs w:val="18"/>
    </w:rPr>
  </w:style>
  <w:style w:type="character" w:customStyle="1" w:styleId="16">
    <w:name w:val="Comment Subject Char"/>
    <w:link w:val="8"/>
    <w:autoRedefine/>
    <w:qFormat/>
    <w:uiPriority w:val="0"/>
    <w:rPr>
      <w:b/>
      <w:bCs/>
      <w:sz w:val="24"/>
      <w:szCs w:val="24"/>
    </w:rPr>
  </w:style>
  <w:style w:type="paragraph" w:customStyle="1" w:styleId="17">
    <w:name w:val="_Style 13"/>
    <w:autoRedefine/>
    <w:semiHidden/>
    <w:qFormat/>
    <w:uiPriority w:val="99"/>
    <w:rPr>
      <w:rFonts w:ascii="Times New Roman" w:hAnsi="Times New Roman" w:eastAsia="宋体" w:cs="Times New Roman"/>
      <w:sz w:val="24"/>
      <w:szCs w:val="24"/>
      <w:lang w:val="en-US" w:eastAsia="zh-CN" w:bidi="ar-SA"/>
    </w:rPr>
  </w:style>
  <w:style w:type="paragraph" w:customStyle="1" w:styleId="18">
    <w:name w:val="EndNote Bibliography"/>
    <w:basedOn w:val="1"/>
    <w:autoRedefine/>
    <w:qFormat/>
    <w:uiPriority w:val="0"/>
    <w:pPr>
      <w:spacing w:line="240" w:lineRule="auto"/>
    </w:pPr>
    <w:rPr>
      <w:rFonts w:eastAsia="等线"/>
    </w:rPr>
  </w:style>
  <w:style w:type="paragraph" w:customStyle="1" w:styleId="19">
    <w:name w:val="修订1"/>
    <w:autoRedefine/>
    <w:hidden/>
    <w:semiHidden/>
    <w:qFormat/>
    <w:uiPriority w:val="99"/>
    <w:rPr>
      <w:rFonts w:ascii="Times New Roman" w:hAnsi="Times New Roman" w:eastAsia="宋体" w:cs="Times New Roman"/>
      <w:sz w:val="24"/>
      <w:szCs w:val="24"/>
      <w:lang w:val="en-US" w:eastAsia="zh-CN" w:bidi="ar-SA"/>
    </w:rPr>
  </w:style>
  <w:style w:type="paragraph" w:customStyle="1" w:styleId="20">
    <w:name w:val="EndNote Bibliography Title"/>
    <w:basedOn w:val="1"/>
    <w:link w:val="21"/>
    <w:autoRedefine/>
    <w:qFormat/>
    <w:uiPriority w:val="0"/>
    <w:pPr>
      <w:jc w:val="center"/>
    </w:pPr>
  </w:style>
  <w:style w:type="character" w:customStyle="1" w:styleId="21">
    <w:name w:val="EndNote Bibliography Title 字符"/>
    <w:basedOn w:val="11"/>
    <w:link w:val="20"/>
    <w:autoRedefine/>
    <w:qFormat/>
    <w:uiPriority w:val="0"/>
    <w:rPr>
      <w:sz w:val="24"/>
      <w:szCs w:val="24"/>
    </w:rPr>
  </w:style>
  <w:style w:type="character" w:customStyle="1" w:styleId="22">
    <w:name w:val="Unresolved Mention1"/>
    <w:basedOn w:val="11"/>
    <w:autoRedefine/>
    <w:semiHidden/>
    <w:unhideWhenUsed/>
    <w:qFormat/>
    <w:uiPriority w:val="99"/>
    <w:rPr>
      <w:color w:val="605E5C"/>
      <w:shd w:val="clear" w:color="auto" w:fill="E1DFDD"/>
    </w:rPr>
  </w:style>
  <w:style w:type="paragraph" w:customStyle="1" w:styleId="23">
    <w:name w:val="Revision1"/>
    <w:autoRedefine/>
    <w:hidden/>
    <w:semiHidden/>
    <w:uiPriority w:val="99"/>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tiff"/><Relationship Id="rId7" Type="http://schemas.openxmlformats.org/officeDocument/2006/relationships/image" Target="media/image1.tif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8.png"/><Relationship Id="rId13" Type="http://schemas.openxmlformats.org/officeDocument/2006/relationships/image" Target="media/image7.tiff"/><Relationship Id="rId12" Type="http://schemas.openxmlformats.org/officeDocument/2006/relationships/image" Target="media/image6.tiff"/><Relationship Id="rId11" Type="http://schemas.openxmlformats.org/officeDocument/2006/relationships/image" Target="media/image5.tiff"/><Relationship Id="rId10" Type="http://schemas.openxmlformats.org/officeDocument/2006/relationships/image" Target="media/image4.tif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2231</Words>
  <Characters>18298</Characters>
  <Lines>159</Lines>
  <Paragraphs>44</Paragraphs>
  <TotalTime>5</TotalTime>
  <ScaleCrop>false</ScaleCrop>
  <LinksUpToDate>false</LinksUpToDate>
  <CharactersWithSpaces>19978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2024-08-03T16:02:00Z</dcterms:created>
  <dc:creator>郭烨炫</dc:creator>
  <cp:lastModifiedBy>郭烨炫</cp:lastModifiedBy>
  <dcterms:modified xsi:type="dcterms:W3CDTF">2024-08-11T13:45:27Z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058AADDB36A54DCABB319BEF6F652D4A_13</vt:lpwstr>
  </property>
</Properties>
</file>