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D600" w14:textId="77777777" w:rsidR="001A40EC" w:rsidRDefault="001A40EC" w:rsidP="001A40EC">
      <w:pPr>
        <w:spacing w:line="360" w:lineRule="auto"/>
        <w:jc w:val="center"/>
        <w:rPr>
          <w:rFonts w:ascii="Times New Roman" w:hAnsi="Times New Roman" w:cs="Times New Roman"/>
          <w:b/>
          <w:bCs/>
          <w:noProof/>
          <w:sz w:val="32"/>
          <w:szCs w:val="32"/>
        </w:rPr>
      </w:pPr>
      <w:r w:rsidRPr="001A40EC">
        <w:rPr>
          <w:rFonts w:ascii="Times New Roman" w:hAnsi="Times New Roman" w:cs="Times New Roman"/>
          <w:b/>
          <w:bCs/>
          <w:noProof/>
          <w:sz w:val="32"/>
          <w:szCs w:val="32"/>
        </w:rPr>
        <w:t>S</w:t>
      </w:r>
      <w:r w:rsidRPr="001A40EC">
        <w:rPr>
          <w:rFonts w:ascii="Times New Roman" w:hAnsi="Times New Roman" w:cs="Times New Roman" w:hint="eastAsia"/>
          <w:b/>
          <w:bCs/>
          <w:noProof/>
          <w:sz w:val="32"/>
          <w:szCs w:val="32"/>
        </w:rPr>
        <w:t>upplemental data</w:t>
      </w:r>
    </w:p>
    <w:p w14:paraId="1ED47AEA" w14:textId="77777777" w:rsidR="001C495B" w:rsidRPr="006E3E49" w:rsidRDefault="001C495B" w:rsidP="001C495B">
      <w:pPr>
        <w:spacing w:line="360" w:lineRule="auto"/>
        <w:rPr>
          <w:rFonts w:ascii="Times New Roman" w:hAnsi="Times New Roman" w:cs="Times New Roman"/>
          <w:b/>
          <w:bCs/>
          <w:noProof/>
          <w:sz w:val="24"/>
          <w:szCs w:val="24"/>
        </w:rPr>
      </w:pPr>
    </w:p>
    <w:p w14:paraId="587C1B81" w14:textId="77777777" w:rsidR="001C495B" w:rsidRDefault="001C495B" w:rsidP="001C495B">
      <w:pPr>
        <w:spacing w:line="360" w:lineRule="auto"/>
        <w:rPr>
          <w:rFonts w:ascii="Times New Roman" w:hAnsi="Times New Roman" w:cs="Times New Roman"/>
          <w:b/>
          <w:bCs/>
          <w:noProof/>
          <w:sz w:val="24"/>
          <w:szCs w:val="24"/>
        </w:rPr>
      </w:pPr>
      <w:r w:rsidRPr="001C495B">
        <w:rPr>
          <w:rFonts w:ascii="Times New Roman" w:hAnsi="Times New Roman" w:cs="Times New Roman"/>
          <w:b/>
          <w:bCs/>
          <w:noProof/>
          <w:sz w:val="24"/>
          <w:szCs w:val="24"/>
        </w:rPr>
        <w:t>S</w:t>
      </w:r>
      <w:r w:rsidRPr="001C495B">
        <w:rPr>
          <w:rFonts w:ascii="Times New Roman" w:hAnsi="Times New Roman" w:cs="Times New Roman" w:hint="eastAsia"/>
          <w:b/>
          <w:bCs/>
          <w:noProof/>
          <w:sz w:val="24"/>
          <w:szCs w:val="24"/>
        </w:rPr>
        <w:t xml:space="preserve">upplemental </w:t>
      </w:r>
      <w:r w:rsidRPr="001C495B">
        <w:rPr>
          <w:rFonts w:ascii="Times New Roman" w:hAnsi="Times New Roman" w:cs="Times New Roman"/>
          <w:b/>
          <w:bCs/>
          <w:noProof/>
          <w:sz w:val="24"/>
          <w:szCs w:val="24"/>
        </w:rPr>
        <w:t>materials and methods</w:t>
      </w:r>
    </w:p>
    <w:p w14:paraId="2C37FC0E" w14:textId="77777777" w:rsidR="001C495B" w:rsidRPr="006271DE" w:rsidRDefault="001C495B" w:rsidP="001C495B">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Clinical sample collection</w:t>
      </w:r>
    </w:p>
    <w:p w14:paraId="7ACD76E8" w14:textId="77777777" w:rsidR="001C495B" w:rsidRDefault="001C495B" w:rsidP="001C495B">
      <w:pPr>
        <w:spacing w:line="480" w:lineRule="auto"/>
        <w:rPr>
          <w:rFonts w:ascii="Times New Roman" w:hAnsi="Times New Roman" w:cs="Times New Roman"/>
          <w:sz w:val="24"/>
          <w:szCs w:val="24"/>
        </w:rPr>
      </w:pPr>
      <w:r w:rsidRPr="006271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7B6F">
        <w:rPr>
          <w:rFonts w:ascii="Times New Roman" w:hAnsi="Times New Roman" w:cs="Times New Roman"/>
          <w:sz w:val="24"/>
          <w:szCs w:val="24"/>
        </w:rPr>
        <w:t>Clinical cornea samples were collected between 2022 and 2024 at the Affiliated Eye Hospital of Nanjing Medical University. This study adhered to the Declaration of Helsinki, with approval from the hospital's Ethical Committee. All patients provided informed consent. The samples were obtained from keratitis patients undergoing corneal transplantation and their corresponding donors.</w:t>
      </w:r>
    </w:p>
    <w:p w14:paraId="3757899C" w14:textId="77777777" w:rsidR="003C5C6C" w:rsidRPr="006271DE" w:rsidRDefault="003C5C6C" w:rsidP="003C5C6C">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Immunofluorescence staining</w:t>
      </w:r>
    </w:p>
    <w:p w14:paraId="3446EBBB" w14:textId="77777777" w:rsidR="003C5C6C" w:rsidRDefault="003C5C6C" w:rsidP="003C5C6C">
      <w:pPr>
        <w:spacing w:line="480" w:lineRule="auto"/>
        <w:ind w:firstLineChars="200" w:firstLine="480"/>
        <w:rPr>
          <w:rFonts w:ascii="Times New Roman" w:hAnsi="Times New Roman" w:cs="Times New Roman"/>
          <w:sz w:val="24"/>
          <w:szCs w:val="24"/>
        </w:rPr>
      </w:pPr>
      <w:r w:rsidRPr="00A37B6F">
        <w:rPr>
          <w:rFonts w:ascii="Times New Roman" w:hAnsi="Times New Roman" w:cs="Times New Roman"/>
          <w:sz w:val="24"/>
          <w:szCs w:val="24"/>
        </w:rPr>
        <w:t>Corneas were fixed in 4% paraformaldehyde (</w:t>
      </w:r>
      <w:proofErr w:type="spellStart"/>
      <w:r w:rsidRPr="00A37B6F">
        <w:rPr>
          <w:rFonts w:ascii="Times New Roman" w:hAnsi="Times New Roman" w:cs="Times New Roman"/>
          <w:sz w:val="24"/>
          <w:szCs w:val="24"/>
        </w:rPr>
        <w:t>Sbjbio</w:t>
      </w:r>
      <w:proofErr w:type="spellEnd"/>
      <w:r w:rsidRPr="00A37B6F">
        <w:rPr>
          <w:rFonts w:ascii="Times New Roman" w:hAnsi="Times New Roman" w:cs="Times New Roman"/>
          <w:sz w:val="24"/>
          <w:szCs w:val="24"/>
        </w:rPr>
        <w:t>, China, BL-G002) for 40 min at room temperature, followed by permeabilization with 1% Triton X-100 (</w:t>
      </w:r>
      <w:proofErr w:type="spellStart"/>
      <w:r w:rsidRPr="00A37B6F">
        <w:rPr>
          <w:rFonts w:ascii="Times New Roman" w:hAnsi="Times New Roman" w:cs="Times New Roman"/>
          <w:sz w:val="24"/>
          <w:szCs w:val="24"/>
        </w:rPr>
        <w:t>Xilong</w:t>
      </w:r>
      <w:proofErr w:type="spellEnd"/>
      <w:r w:rsidRPr="00A37B6F">
        <w:rPr>
          <w:rFonts w:ascii="Times New Roman" w:hAnsi="Times New Roman" w:cs="Times New Roman"/>
          <w:sz w:val="24"/>
          <w:szCs w:val="24"/>
        </w:rPr>
        <w:t xml:space="preserve"> Scientific, China) for 30 min</w:t>
      </w:r>
      <w:r>
        <w:rPr>
          <w:rFonts w:ascii="Times New Roman" w:hAnsi="Times New Roman" w:cs="Times New Roman"/>
          <w:sz w:val="24"/>
          <w:szCs w:val="24"/>
        </w:rPr>
        <w:t xml:space="preserve"> </w:t>
      </w:r>
      <w:r w:rsidRPr="00A37B6F">
        <w:rPr>
          <w:rFonts w:ascii="Times New Roman" w:hAnsi="Times New Roman" w:cs="Times New Roman"/>
          <w:sz w:val="24"/>
          <w:szCs w:val="24"/>
        </w:rPr>
        <w:t>at 37°C. Immunofluorescence staining was performed using rabbit anti-mouse LYVE-1 primary antibody (1:50, Abcam, USA, ab14917) incubated overnight at 4°C, and Alexa Fluor 594 goat anti-rabbit secondary antibody (1:200, Invitrogen, USA, 2506100) incubated for 2 h at room temperature. Fluorescent images were captured using an Olympus fluorescence microscope.</w:t>
      </w:r>
    </w:p>
    <w:p w14:paraId="1FCE3868" w14:textId="77777777" w:rsidR="003C5C6C" w:rsidRPr="006271DE" w:rsidRDefault="003C5C6C" w:rsidP="003C5C6C">
      <w:pPr>
        <w:spacing w:line="480" w:lineRule="auto"/>
        <w:rPr>
          <w:rFonts w:ascii="Times New Roman" w:hAnsi="Times New Roman" w:cs="Times New Roman"/>
          <w:b/>
          <w:bCs/>
          <w:sz w:val="24"/>
          <w:szCs w:val="24"/>
        </w:rPr>
      </w:pPr>
      <w:r>
        <w:rPr>
          <w:rFonts w:ascii="Times New Roman" w:hAnsi="Times New Roman" w:cs="Times New Roman"/>
          <w:sz w:val="24"/>
          <w:szCs w:val="24"/>
        </w:rPr>
        <w:t>`</w:t>
      </w:r>
      <w:r w:rsidRPr="006271DE">
        <w:rPr>
          <w:rFonts w:ascii="Times New Roman" w:hAnsi="Times New Roman" w:cs="Times New Roman"/>
          <w:b/>
          <w:bCs/>
          <w:sz w:val="24"/>
          <w:szCs w:val="24"/>
        </w:rPr>
        <w:t>5-Ethynyl-2′-deoxyuridine (</w:t>
      </w:r>
      <w:proofErr w:type="spellStart"/>
      <w:r w:rsidRPr="006271DE">
        <w:rPr>
          <w:rFonts w:ascii="Times New Roman" w:hAnsi="Times New Roman" w:cs="Times New Roman"/>
          <w:b/>
          <w:bCs/>
          <w:sz w:val="24"/>
          <w:szCs w:val="24"/>
        </w:rPr>
        <w:t>EdU</w:t>
      </w:r>
      <w:proofErr w:type="spellEnd"/>
      <w:r w:rsidRPr="006271DE">
        <w:rPr>
          <w:rFonts w:ascii="Times New Roman" w:hAnsi="Times New Roman" w:cs="Times New Roman"/>
          <w:b/>
          <w:bCs/>
          <w:sz w:val="24"/>
          <w:szCs w:val="24"/>
        </w:rPr>
        <w:t>) proliferation assay</w:t>
      </w:r>
    </w:p>
    <w:p w14:paraId="4556AE98" w14:textId="77777777" w:rsidR="003C5C6C" w:rsidRDefault="003C5C6C" w:rsidP="003C5C6C">
      <w:pPr>
        <w:spacing w:line="480" w:lineRule="auto"/>
        <w:ind w:firstLineChars="200" w:firstLine="480"/>
        <w:rPr>
          <w:rFonts w:ascii="Times New Roman" w:hAnsi="Times New Roman" w:cs="Times New Roman"/>
          <w:sz w:val="24"/>
          <w:szCs w:val="24"/>
        </w:rPr>
      </w:pPr>
      <w:r w:rsidRPr="006271DE">
        <w:rPr>
          <w:rFonts w:ascii="Times New Roman" w:hAnsi="Times New Roman" w:cs="Times New Roman"/>
          <w:sz w:val="24"/>
          <w:szCs w:val="24"/>
        </w:rPr>
        <w:t>H</w:t>
      </w:r>
      <w:r w:rsidRPr="00763FD9">
        <w:t xml:space="preserve"> </w:t>
      </w:r>
      <w:r w:rsidRPr="00763FD9">
        <w:rPr>
          <w:rFonts w:ascii="Times New Roman" w:hAnsi="Times New Roman" w:cs="Times New Roman"/>
          <w:sz w:val="24"/>
          <w:szCs w:val="24"/>
        </w:rPr>
        <w:t xml:space="preserve">LEC proliferation was assessed using a </w:t>
      </w:r>
      <w:proofErr w:type="spellStart"/>
      <w:r w:rsidRPr="00763FD9">
        <w:rPr>
          <w:rFonts w:ascii="Times New Roman" w:hAnsi="Times New Roman" w:cs="Times New Roman"/>
          <w:sz w:val="24"/>
          <w:szCs w:val="24"/>
        </w:rPr>
        <w:t>BeyoClick</w:t>
      </w:r>
      <w:proofErr w:type="spellEnd"/>
      <w:r w:rsidRPr="00763FD9">
        <w:rPr>
          <w:rFonts w:ascii="Times New Roman" w:hAnsi="Times New Roman" w:cs="Times New Roman"/>
          <w:sz w:val="24"/>
          <w:szCs w:val="24"/>
        </w:rPr>
        <w:t xml:space="preserve">™ </w:t>
      </w:r>
      <w:proofErr w:type="spellStart"/>
      <w:r w:rsidRPr="00763FD9">
        <w:rPr>
          <w:rFonts w:ascii="Times New Roman" w:hAnsi="Times New Roman" w:cs="Times New Roman"/>
          <w:sz w:val="24"/>
          <w:szCs w:val="24"/>
        </w:rPr>
        <w:t>EdU</w:t>
      </w:r>
      <w:proofErr w:type="spellEnd"/>
      <w:r w:rsidRPr="00763FD9">
        <w:rPr>
          <w:rFonts w:ascii="Times New Roman" w:hAnsi="Times New Roman" w:cs="Times New Roman"/>
          <w:sz w:val="24"/>
          <w:szCs w:val="24"/>
        </w:rPr>
        <w:t xml:space="preserve"> Cell Proliferation Kit (</w:t>
      </w:r>
      <w:proofErr w:type="spellStart"/>
      <w:r w:rsidRPr="00763FD9">
        <w:rPr>
          <w:rFonts w:ascii="Times New Roman" w:hAnsi="Times New Roman" w:cs="Times New Roman"/>
          <w:sz w:val="24"/>
          <w:szCs w:val="24"/>
        </w:rPr>
        <w:t>Beyotime</w:t>
      </w:r>
      <w:proofErr w:type="spellEnd"/>
      <w:r w:rsidRPr="00763FD9">
        <w:rPr>
          <w:rFonts w:ascii="Times New Roman" w:hAnsi="Times New Roman" w:cs="Times New Roman"/>
          <w:sz w:val="24"/>
          <w:szCs w:val="24"/>
        </w:rPr>
        <w:t xml:space="preserve"> Biotechnology, China, C0071S) according to the manufacturer’s protocol. Briefly, HLECs were cultured in 24-well plates until approximately 70% confluent and then incubated with </w:t>
      </w:r>
      <w:proofErr w:type="spellStart"/>
      <w:r w:rsidRPr="00763FD9">
        <w:rPr>
          <w:rFonts w:ascii="Times New Roman" w:hAnsi="Times New Roman" w:cs="Times New Roman"/>
          <w:sz w:val="24"/>
          <w:szCs w:val="24"/>
        </w:rPr>
        <w:t>EdU</w:t>
      </w:r>
      <w:proofErr w:type="spellEnd"/>
      <w:r w:rsidRPr="00763FD9">
        <w:rPr>
          <w:rFonts w:ascii="Times New Roman" w:hAnsi="Times New Roman" w:cs="Times New Roman"/>
          <w:sz w:val="24"/>
          <w:szCs w:val="24"/>
        </w:rPr>
        <w:t xml:space="preserve"> (1:1000 dilution) for 4 h. Cells were fixed with 4% paraformaldehyde for 15 min at room temperature, permeabilized with 0.1% Trit</w:t>
      </w:r>
      <w:r>
        <w:rPr>
          <w:rFonts w:ascii="Times New Roman" w:hAnsi="Times New Roman" w:cs="Times New Roman"/>
          <w:sz w:val="24"/>
          <w:szCs w:val="24"/>
        </w:rPr>
        <w:t>on X-</w:t>
      </w:r>
      <w:r>
        <w:rPr>
          <w:rFonts w:ascii="Times New Roman" w:hAnsi="Times New Roman" w:cs="Times New Roman"/>
          <w:sz w:val="24"/>
          <w:szCs w:val="24"/>
        </w:rPr>
        <w:lastRenderedPageBreak/>
        <w:t xml:space="preserve">100 for 15 min </w:t>
      </w:r>
      <w:r w:rsidRPr="00763FD9">
        <w:rPr>
          <w:rFonts w:ascii="Times New Roman" w:hAnsi="Times New Roman" w:cs="Times New Roman"/>
          <w:sz w:val="24"/>
          <w:szCs w:val="24"/>
        </w:rPr>
        <w:t>at 37°C, and subjected to a 30-min</w:t>
      </w:r>
      <w:r>
        <w:rPr>
          <w:rFonts w:ascii="Times New Roman" w:hAnsi="Times New Roman" w:cs="Times New Roman"/>
          <w:sz w:val="24"/>
          <w:szCs w:val="24"/>
        </w:rPr>
        <w:t xml:space="preserve"> </w:t>
      </w:r>
      <w:r w:rsidRPr="00763FD9">
        <w:rPr>
          <w:rFonts w:ascii="Times New Roman" w:hAnsi="Times New Roman" w:cs="Times New Roman"/>
          <w:sz w:val="24"/>
          <w:szCs w:val="24"/>
        </w:rPr>
        <w:t xml:space="preserve">click reaction to detect </w:t>
      </w:r>
      <w:proofErr w:type="spellStart"/>
      <w:r w:rsidRPr="00763FD9">
        <w:rPr>
          <w:rFonts w:ascii="Times New Roman" w:hAnsi="Times New Roman" w:cs="Times New Roman"/>
          <w:sz w:val="24"/>
          <w:szCs w:val="24"/>
        </w:rPr>
        <w:t>EdU</w:t>
      </w:r>
      <w:proofErr w:type="spellEnd"/>
      <w:r w:rsidRPr="00763FD9">
        <w:rPr>
          <w:rFonts w:ascii="Times New Roman" w:hAnsi="Times New Roman" w:cs="Times New Roman"/>
          <w:sz w:val="24"/>
          <w:szCs w:val="24"/>
        </w:rPr>
        <w:t xml:space="preserve">-labeled cells. Nuclei were counterstained with DAPI (1:1000, </w:t>
      </w:r>
      <w:proofErr w:type="spellStart"/>
      <w:r w:rsidRPr="00763FD9">
        <w:rPr>
          <w:rFonts w:ascii="Times New Roman" w:hAnsi="Times New Roman" w:cs="Times New Roman"/>
          <w:sz w:val="24"/>
          <w:szCs w:val="24"/>
        </w:rPr>
        <w:t>Beyotime</w:t>
      </w:r>
      <w:proofErr w:type="spellEnd"/>
      <w:r w:rsidRPr="00763FD9">
        <w:rPr>
          <w:rFonts w:ascii="Times New Roman" w:hAnsi="Times New Roman" w:cs="Times New Roman"/>
          <w:sz w:val="24"/>
          <w:szCs w:val="24"/>
        </w:rPr>
        <w:t xml:space="preserve"> Biotechnology, China, C1002). Fluorescent images were captured using an Olympus fluorescence microscope.</w:t>
      </w:r>
    </w:p>
    <w:p w14:paraId="2974DBA1" w14:textId="77777777" w:rsidR="003C5C6C" w:rsidRPr="006271DE" w:rsidRDefault="003C5C6C" w:rsidP="003C5C6C">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Cell migration assay</w:t>
      </w:r>
    </w:p>
    <w:p w14:paraId="031A843C" w14:textId="77777777" w:rsidR="003C5C6C" w:rsidRDefault="003C5C6C" w:rsidP="003C5C6C">
      <w:pPr>
        <w:spacing w:line="480" w:lineRule="auto"/>
        <w:ind w:firstLineChars="200" w:firstLine="480"/>
        <w:rPr>
          <w:rFonts w:ascii="Times New Roman" w:hAnsi="Times New Roman" w:cs="Times New Roman"/>
          <w:sz w:val="24"/>
          <w:szCs w:val="24"/>
        </w:rPr>
      </w:pPr>
      <w:r w:rsidRPr="00763FD9">
        <w:rPr>
          <w:rFonts w:ascii="Times New Roman" w:hAnsi="Times New Roman" w:cs="Times New Roman"/>
          <w:sz w:val="24"/>
          <w:szCs w:val="24"/>
        </w:rPr>
        <w:t xml:space="preserve">Cell migration was assessed using </w:t>
      </w:r>
      <w:proofErr w:type="spellStart"/>
      <w:r w:rsidRPr="00763FD9">
        <w:rPr>
          <w:rFonts w:ascii="Times New Roman" w:hAnsi="Times New Roman" w:cs="Times New Roman"/>
          <w:sz w:val="24"/>
          <w:szCs w:val="24"/>
        </w:rPr>
        <w:t>Transwell</w:t>
      </w:r>
      <w:proofErr w:type="spellEnd"/>
      <w:r w:rsidRPr="00763FD9">
        <w:rPr>
          <w:rFonts w:ascii="Times New Roman" w:hAnsi="Times New Roman" w:cs="Times New Roman"/>
          <w:sz w:val="24"/>
          <w:szCs w:val="24"/>
        </w:rPr>
        <w:t xml:space="preserve"> migration assays (8 µm pore size, Corning, USA). Briefly, 1 × 10⁵ </w:t>
      </w:r>
      <w:r>
        <w:rPr>
          <w:rFonts w:ascii="Times New Roman" w:hAnsi="Times New Roman" w:cs="Times New Roman"/>
          <w:sz w:val="24"/>
          <w:szCs w:val="24"/>
        </w:rPr>
        <w:t xml:space="preserve">of </w:t>
      </w:r>
      <w:r w:rsidRPr="00763FD9">
        <w:rPr>
          <w:rFonts w:ascii="Times New Roman" w:hAnsi="Times New Roman" w:cs="Times New Roman"/>
          <w:sz w:val="24"/>
          <w:szCs w:val="24"/>
        </w:rPr>
        <w:t>HLECs in 200 µL of serum-free medium were seeded into the upper chamber, while the lower chamber was filled with 600 µL of complete medium containing 12% fetal bovine serum. After incubation for 16 ho at 37°C with 5% CO</w:t>
      </w:r>
      <w:r w:rsidRPr="00763FD9">
        <w:rPr>
          <w:rFonts w:ascii="Times New Roman" w:hAnsi="Times New Roman" w:cs="Times New Roman"/>
          <w:sz w:val="24"/>
          <w:szCs w:val="24"/>
          <w:vertAlign w:val="subscript"/>
        </w:rPr>
        <w:t>2</w:t>
      </w:r>
      <w:r w:rsidRPr="00763FD9">
        <w:rPr>
          <w:rFonts w:ascii="Times New Roman" w:hAnsi="Times New Roman" w:cs="Times New Roman"/>
          <w:sz w:val="24"/>
          <w:szCs w:val="24"/>
        </w:rPr>
        <w:t xml:space="preserve">, cells in the upper chamber were fixed with methanol for 15 min at room temperature and stained with 0.2% </w:t>
      </w:r>
      <w:r>
        <w:rPr>
          <w:rFonts w:ascii="Times New Roman" w:hAnsi="Times New Roman" w:cs="Times New Roman"/>
          <w:sz w:val="24"/>
          <w:szCs w:val="24"/>
        </w:rPr>
        <w:t>crystal violet for 2 min</w:t>
      </w:r>
      <w:r w:rsidRPr="00763FD9">
        <w:rPr>
          <w:rFonts w:ascii="Times New Roman" w:hAnsi="Times New Roman" w:cs="Times New Roman"/>
          <w:sz w:val="24"/>
          <w:szCs w:val="24"/>
        </w:rPr>
        <w:t xml:space="preserve">. </w:t>
      </w:r>
      <w:r>
        <w:rPr>
          <w:rFonts w:ascii="Times New Roman" w:hAnsi="Times New Roman" w:cs="Times New Roman"/>
          <w:sz w:val="24"/>
          <w:szCs w:val="24"/>
        </w:rPr>
        <w:t>The m</w:t>
      </w:r>
      <w:r w:rsidRPr="00763FD9">
        <w:rPr>
          <w:rFonts w:ascii="Times New Roman" w:hAnsi="Times New Roman" w:cs="Times New Roman"/>
          <w:sz w:val="24"/>
          <w:szCs w:val="24"/>
        </w:rPr>
        <w:t>igrated cells on the lower membrane were visualized and counted under a bright-field microscope.</w:t>
      </w:r>
    </w:p>
    <w:p w14:paraId="2B4FB5FC" w14:textId="77777777" w:rsidR="003C5C6C" w:rsidRPr="006271DE" w:rsidRDefault="003C5C6C" w:rsidP="003C5C6C">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Tube formation assay</w:t>
      </w:r>
    </w:p>
    <w:p w14:paraId="2C054344" w14:textId="77777777" w:rsidR="003C5C6C" w:rsidRDefault="003C5C6C" w:rsidP="003C5C6C">
      <w:pPr>
        <w:spacing w:line="480" w:lineRule="auto"/>
        <w:ind w:firstLineChars="200" w:firstLine="480"/>
        <w:rPr>
          <w:rFonts w:ascii="Times New Roman" w:hAnsi="Times New Roman" w:cs="Times New Roman"/>
          <w:sz w:val="24"/>
          <w:szCs w:val="24"/>
        </w:rPr>
      </w:pPr>
      <w:r w:rsidRPr="00763FD9">
        <w:rPr>
          <w:rFonts w:ascii="Times New Roman" w:hAnsi="Times New Roman" w:cs="Times New Roman"/>
          <w:sz w:val="24"/>
          <w:szCs w:val="24"/>
        </w:rPr>
        <w:t>Forty microliters of Matrigel (BD Biosciences, China, 356234) was added to each well of a pre-cooled 24-well plate and allowed to polymerize at 37°C for 30 min. HLECs suspended in complete medium were then seeded onto the polymerized</w:t>
      </w:r>
      <w:r>
        <w:rPr>
          <w:rFonts w:ascii="Times New Roman" w:hAnsi="Times New Roman" w:cs="Times New Roman"/>
          <w:sz w:val="24"/>
          <w:szCs w:val="24"/>
        </w:rPr>
        <w:t xml:space="preserve"> Matrigel and incubated for 4 h</w:t>
      </w:r>
      <w:r w:rsidRPr="00763FD9">
        <w:rPr>
          <w:rFonts w:ascii="Times New Roman" w:hAnsi="Times New Roman" w:cs="Times New Roman"/>
          <w:sz w:val="24"/>
          <w:szCs w:val="24"/>
        </w:rPr>
        <w:t xml:space="preserve"> at 37°C. Tube formation was visualized under a bright-field microscope and quantified by measuring total tube length using ImageJ software.</w:t>
      </w:r>
    </w:p>
    <w:p w14:paraId="60F25374" w14:textId="77777777" w:rsidR="003C5C6C" w:rsidRPr="006271DE" w:rsidRDefault="003C5C6C" w:rsidP="003C5C6C">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Cell sprouting assay</w:t>
      </w:r>
    </w:p>
    <w:p w14:paraId="4B787B7B" w14:textId="77777777" w:rsidR="003C5C6C" w:rsidRPr="006271DE" w:rsidRDefault="003C5C6C" w:rsidP="003C5C6C">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 </w:t>
      </w:r>
      <w:r w:rsidRPr="00763FD9">
        <w:rPr>
          <w:rFonts w:ascii="Times New Roman" w:hAnsi="Times New Roman" w:cs="Times New Roman"/>
          <w:sz w:val="24"/>
          <w:szCs w:val="24"/>
        </w:rPr>
        <w:t>HLECs (8 × 10⁴ cells) were suspended in 4 mL of complete medium and mixed with 1 mL of methylcellulose solution. Methylcellulose powder was dissolved in serum-free medium to create a 2.5 mg/mL solution. Twenty-five microliters of this mixture w</w:t>
      </w:r>
      <w:r>
        <w:rPr>
          <w:rFonts w:ascii="Times New Roman" w:hAnsi="Times New Roman" w:cs="Times New Roman" w:hint="eastAsia"/>
          <w:sz w:val="24"/>
          <w:szCs w:val="24"/>
        </w:rPr>
        <w:t>ere</w:t>
      </w:r>
      <w:r w:rsidRPr="00763FD9">
        <w:rPr>
          <w:rFonts w:ascii="Times New Roman" w:hAnsi="Times New Roman" w:cs="Times New Roman"/>
          <w:sz w:val="24"/>
          <w:szCs w:val="24"/>
        </w:rPr>
        <w:t xml:space="preserve"> pipetted onto a 15 cm culture dish cover and incubated overnight at 37°C </w:t>
      </w:r>
      <w:r w:rsidRPr="00763FD9">
        <w:rPr>
          <w:rFonts w:ascii="Times New Roman" w:hAnsi="Times New Roman" w:cs="Times New Roman"/>
          <w:sz w:val="24"/>
          <w:szCs w:val="24"/>
        </w:rPr>
        <w:lastRenderedPageBreak/>
        <w:t>to form spheroids. These spheroids were embedded in a collagen/methylcellulose gel composed of 2 mg/mL collagen buffer (R&amp;D SYSTEMS, USA, 3440-100-01) and isochoric methylcellulose solution diluted with 20% FBS. The gel was overlaid with complete medium supplemented with 20 ng/mL VEGF-C (PEPROTECH, China, 100-20CD) and cultured for 24 h. Spheroid sprout length was quantified using ImageJ software from bright-field images.</w:t>
      </w:r>
    </w:p>
    <w:p w14:paraId="6825FE90" w14:textId="77777777" w:rsidR="003C5C6C" w:rsidRPr="006271DE" w:rsidRDefault="003C5C6C" w:rsidP="003C5C6C">
      <w:pPr>
        <w:spacing w:line="480" w:lineRule="auto"/>
        <w:rPr>
          <w:rFonts w:ascii="Times New Roman" w:hAnsi="Times New Roman" w:cs="Times New Roman"/>
          <w:b/>
          <w:bCs/>
          <w:sz w:val="24"/>
          <w:szCs w:val="24"/>
        </w:rPr>
      </w:pPr>
      <w:r w:rsidRPr="00763FD9">
        <w:rPr>
          <w:rFonts w:ascii="Times New Roman" w:hAnsi="Times New Roman" w:cs="Times New Roman"/>
          <w:b/>
          <w:bCs/>
          <w:sz w:val="24"/>
          <w:szCs w:val="24"/>
        </w:rPr>
        <w:t>Cell viability</w:t>
      </w:r>
      <w:r w:rsidRPr="006271DE">
        <w:rPr>
          <w:rFonts w:ascii="Times New Roman" w:hAnsi="Times New Roman" w:cs="Times New Roman"/>
          <w:b/>
          <w:bCs/>
          <w:sz w:val="24"/>
          <w:szCs w:val="24"/>
        </w:rPr>
        <w:t xml:space="preserve"> assay</w:t>
      </w:r>
    </w:p>
    <w:p w14:paraId="14A3D533" w14:textId="77777777" w:rsidR="003C5C6C" w:rsidRPr="006271DE" w:rsidRDefault="003C5C6C" w:rsidP="003C5C6C">
      <w:pPr>
        <w:spacing w:line="480" w:lineRule="auto"/>
        <w:ind w:firstLineChars="200" w:firstLine="480"/>
        <w:rPr>
          <w:rFonts w:ascii="Times New Roman" w:hAnsi="Times New Roman" w:cs="Times New Roman"/>
          <w:sz w:val="24"/>
          <w:szCs w:val="24"/>
        </w:rPr>
      </w:pPr>
      <w:r w:rsidRPr="006271DE">
        <w:rPr>
          <w:rFonts w:ascii="Times New Roman" w:hAnsi="Times New Roman" w:cs="Times New Roman"/>
          <w:sz w:val="24"/>
          <w:szCs w:val="24"/>
        </w:rPr>
        <w:t>CCK-8 assay was used to evaluate cell viability. Briefly, HLECs were seeded onto 96-well plate in complete medium. 100 µL of 10% CCK-8 reagent solution (</w:t>
      </w:r>
      <w:proofErr w:type="spellStart"/>
      <w:r w:rsidRPr="006271DE">
        <w:rPr>
          <w:rFonts w:ascii="Times New Roman" w:hAnsi="Times New Roman" w:cs="Times New Roman"/>
          <w:sz w:val="24"/>
          <w:szCs w:val="24"/>
        </w:rPr>
        <w:t>Beyotime</w:t>
      </w:r>
      <w:proofErr w:type="spellEnd"/>
      <w:r w:rsidRPr="006271DE">
        <w:rPr>
          <w:rFonts w:ascii="Times New Roman" w:hAnsi="Times New Roman" w:cs="Times New Roman"/>
          <w:sz w:val="24"/>
          <w:szCs w:val="24"/>
        </w:rPr>
        <w:t xml:space="preserve"> Biotechnology, C0037) was added into each well and incubated for 1.5 h in an incubator away from light. Cell viability was analyzed by measuring the absorbance at 450 nm wavelength using a microplate reader (Molecular Devices, </w:t>
      </w:r>
      <w:proofErr w:type="spellStart"/>
      <w:r w:rsidRPr="006271DE">
        <w:rPr>
          <w:rFonts w:ascii="Times New Roman" w:hAnsi="Times New Roman" w:cs="Times New Roman"/>
          <w:sz w:val="24"/>
          <w:szCs w:val="24"/>
        </w:rPr>
        <w:t>FilterMax</w:t>
      </w:r>
      <w:proofErr w:type="spellEnd"/>
      <w:r w:rsidRPr="006271DE">
        <w:rPr>
          <w:rFonts w:ascii="Times New Roman" w:hAnsi="Times New Roman" w:cs="Times New Roman"/>
          <w:sz w:val="24"/>
          <w:szCs w:val="24"/>
        </w:rPr>
        <w:t xml:space="preserve"> F5).</w:t>
      </w:r>
    </w:p>
    <w:p w14:paraId="6C36B4CE" w14:textId="77777777" w:rsidR="003C5C6C" w:rsidRPr="006271DE" w:rsidRDefault="003C5C6C" w:rsidP="003C5C6C">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RNA extraction and quantitative real-time PCR (</w:t>
      </w:r>
      <w:proofErr w:type="spellStart"/>
      <w:r w:rsidRPr="006271DE">
        <w:rPr>
          <w:rFonts w:ascii="Times New Roman" w:hAnsi="Times New Roman" w:cs="Times New Roman"/>
          <w:b/>
          <w:bCs/>
          <w:sz w:val="24"/>
          <w:szCs w:val="24"/>
        </w:rPr>
        <w:t>qRT</w:t>
      </w:r>
      <w:proofErr w:type="spellEnd"/>
      <w:r w:rsidRPr="006271DE">
        <w:rPr>
          <w:rFonts w:ascii="Times New Roman" w:hAnsi="Times New Roman" w:cs="Times New Roman"/>
          <w:b/>
          <w:bCs/>
          <w:sz w:val="24"/>
          <w:szCs w:val="24"/>
        </w:rPr>
        <w:t>-PCR)</w:t>
      </w:r>
    </w:p>
    <w:p w14:paraId="09C33448" w14:textId="77777777" w:rsidR="003C5C6C" w:rsidRDefault="003C5C6C" w:rsidP="003C5C6C">
      <w:pPr>
        <w:spacing w:line="480" w:lineRule="auto"/>
        <w:ind w:firstLineChars="200" w:firstLine="480"/>
        <w:rPr>
          <w:rFonts w:ascii="Times New Roman" w:hAnsi="Times New Roman" w:cs="Times New Roman"/>
          <w:sz w:val="24"/>
          <w:szCs w:val="24"/>
        </w:rPr>
      </w:pPr>
      <w:r w:rsidRPr="00763FD9">
        <w:rPr>
          <w:rFonts w:ascii="Times New Roman" w:hAnsi="Times New Roman" w:cs="Times New Roman"/>
          <w:sz w:val="24"/>
          <w:szCs w:val="24"/>
        </w:rPr>
        <w:t>Total RNA</w:t>
      </w:r>
      <w:r>
        <w:rPr>
          <w:rFonts w:ascii="Times New Roman" w:hAnsi="Times New Roman" w:cs="Times New Roman"/>
          <w:sz w:val="24"/>
          <w:szCs w:val="24"/>
        </w:rPr>
        <w:t xml:space="preserve">s were </w:t>
      </w:r>
      <w:r w:rsidRPr="00763FD9">
        <w:rPr>
          <w:rFonts w:ascii="Times New Roman" w:hAnsi="Times New Roman" w:cs="Times New Roman"/>
          <w:sz w:val="24"/>
          <w:szCs w:val="24"/>
        </w:rPr>
        <w:t xml:space="preserve">isolated using </w:t>
      </w:r>
      <w:proofErr w:type="spellStart"/>
      <w:r w:rsidRPr="00763FD9">
        <w:rPr>
          <w:rFonts w:ascii="Times New Roman" w:hAnsi="Times New Roman" w:cs="Times New Roman"/>
          <w:sz w:val="24"/>
          <w:szCs w:val="24"/>
        </w:rPr>
        <w:t>TRIzol</w:t>
      </w:r>
      <w:proofErr w:type="spellEnd"/>
      <w:r w:rsidRPr="00763FD9">
        <w:rPr>
          <w:rFonts w:ascii="Times New Roman" w:hAnsi="Times New Roman" w:cs="Times New Roman"/>
          <w:sz w:val="24"/>
          <w:szCs w:val="24"/>
        </w:rPr>
        <w:t xml:space="preserve"> reagent (</w:t>
      </w:r>
      <w:proofErr w:type="spellStart"/>
      <w:r w:rsidRPr="00763FD9">
        <w:rPr>
          <w:rFonts w:ascii="Times New Roman" w:hAnsi="Times New Roman" w:cs="Times New Roman"/>
          <w:sz w:val="24"/>
          <w:szCs w:val="24"/>
        </w:rPr>
        <w:t>Thermo</w:t>
      </w:r>
      <w:proofErr w:type="spellEnd"/>
      <w:r w:rsidRPr="00763FD9">
        <w:rPr>
          <w:rFonts w:ascii="Times New Roman" w:hAnsi="Times New Roman" w:cs="Times New Roman"/>
          <w:sz w:val="24"/>
          <w:szCs w:val="24"/>
        </w:rPr>
        <w:t xml:space="preserve"> Fisher Scientific, USA, 15596026CN) following the manufacturer's protocol. RNA concentration and purity w</w:t>
      </w:r>
      <w:r>
        <w:rPr>
          <w:rFonts w:ascii="Times New Roman" w:hAnsi="Times New Roman" w:cs="Times New Roman"/>
          <w:sz w:val="24"/>
          <w:szCs w:val="24"/>
        </w:rPr>
        <w:t xml:space="preserve">as </w:t>
      </w:r>
      <w:r w:rsidRPr="00763FD9">
        <w:rPr>
          <w:rFonts w:ascii="Times New Roman" w:hAnsi="Times New Roman" w:cs="Times New Roman"/>
          <w:sz w:val="24"/>
          <w:szCs w:val="24"/>
        </w:rPr>
        <w:t xml:space="preserve">determined using a </w:t>
      </w:r>
      <w:proofErr w:type="spellStart"/>
      <w:r w:rsidRPr="00763FD9">
        <w:rPr>
          <w:rFonts w:ascii="Times New Roman" w:hAnsi="Times New Roman" w:cs="Times New Roman"/>
          <w:sz w:val="24"/>
          <w:szCs w:val="24"/>
        </w:rPr>
        <w:t>NanoDrop</w:t>
      </w:r>
      <w:proofErr w:type="spellEnd"/>
      <w:r w:rsidRPr="00763FD9">
        <w:rPr>
          <w:rFonts w:ascii="Times New Roman" w:hAnsi="Times New Roman" w:cs="Times New Roman"/>
          <w:sz w:val="24"/>
          <w:szCs w:val="24"/>
        </w:rPr>
        <w:t xml:space="preserve"> ND-1000 spectrophotometer (Agilent, USA). To quantify tsRNA-0032 expression, </w:t>
      </w:r>
      <w:r>
        <w:rPr>
          <w:rFonts w:ascii="Times New Roman" w:hAnsi="Times New Roman" w:cs="Times New Roman"/>
          <w:sz w:val="24"/>
          <w:szCs w:val="24"/>
        </w:rPr>
        <w:t xml:space="preserve">total </w:t>
      </w:r>
      <w:r w:rsidRPr="00763FD9">
        <w:rPr>
          <w:rFonts w:ascii="Times New Roman" w:hAnsi="Times New Roman" w:cs="Times New Roman"/>
          <w:sz w:val="24"/>
          <w:szCs w:val="24"/>
        </w:rPr>
        <w:t>RNA</w:t>
      </w:r>
      <w:r>
        <w:rPr>
          <w:rFonts w:ascii="Times New Roman" w:hAnsi="Times New Roman" w:cs="Times New Roman"/>
          <w:sz w:val="24"/>
          <w:szCs w:val="24"/>
        </w:rPr>
        <w:t xml:space="preserve">s were </w:t>
      </w:r>
      <w:r w:rsidRPr="00763FD9">
        <w:rPr>
          <w:rFonts w:ascii="Times New Roman" w:hAnsi="Times New Roman" w:cs="Times New Roman"/>
          <w:sz w:val="24"/>
          <w:szCs w:val="24"/>
        </w:rPr>
        <w:t>reverse transcribed into cDNA</w:t>
      </w:r>
      <w:r>
        <w:rPr>
          <w:rFonts w:ascii="Times New Roman" w:hAnsi="Times New Roman" w:cs="Times New Roman"/>
          <w:sz w:val="24"/>
          <w:szCs w:val="24"/>
        </w:rPr>
        <w:t>s</w:t>
      </w:r>
      <w:r w:rsidRPr="00763FD9">
        <w:rPr>
          <w:rFonts w:ascii="Times New Roman" w:hAnsi="Times New Roman" w:cs="Times New Roman"/>
          <w:sz w:val="24"/>
          <w:szCs w:val="24"/>
        </w:rPr>
        <w:t xml:space="preserve"> using the EZB-miRT4-L microRNA Reverse Transcription Kit, followed by </w:t>
      </w:r>
      <w:proofErr w:type="spellStart"/>
      <w:r w:rsidRPr="00763FD9">
        <w:rPr>
          <w:rFonts w:ascii="Times New Roman" w:hAnsi="Times New Roman" w:cs="Times New Roman"/>
          <w:sz w:val="24"/>
          <w:szCs w:val="24"/>
        </w:rPr>
        <w:t>qRT</w:t>
      </w:r>
      <w:proofErr w:type="spellEnd"/>
      <w:r w:rsidRPr="00763FD9">
        <w:rPr>
          <w:rFonts w:ascii="Times New Roman" w:hAnsi="Times New Roman" w:cs="Times New Roman"/>
          <w:sz w:val="24"/>
          <w:szCs w:val="24"/>
        </w:rPr>
        <w:t>-PCR with the EZB-miProbe-R2 microRNA qPCR Master Mix. For</w:t>
      </w:r>
      <w:r>
        <w:rPr>
          <w:rFonts w:ascii="Times New Roman" w:hAnsi="Times New Roman" w:cs="Times New Roman"/>
          <w:sz w:val="24"/>
          <w:szCs w:val="24"/>
        </w:rPr>
        <w:t xml:space="preserve"> the</w:t>
      </w:r>
      <w:r w:rsidRPr="00763FD9">
        <w:rPr>
          <w:rFonts w:ascii="Times New Roman" w:hAnsi="Times New Roman" w:cs="Times New Roman"/>
          <w:sz w:val="24"/>
          <w:szCs w:val="24"/>
        </w:rPr>
        <w:t xml:space="preserve"> quantification of other gene expression, </w:t>
      </w:r>
      <w:r>
        <w:rPr>
          <w:rFonts w:ascii="Times New Roman" w:hAnsi="Times New Roman" w:cs="Times New Roman"/>
          <w:sz w:val="24"/>
          <w:szCs w:val="24"/>
        </w:rPr>
        <w:t xml:space="preserve">total RNAs were </w:t>
      </w:r>
      <w:r w:rsidRPr="00763FD9">
        <w:rPr>
          <w:rFonts w:ascii="Times New Roman" w:hAnsi="Times New Roman" w:cs="Times New Roman"/>
          <w:sz w:val="24"/>
          <w:szCs w:val="24"/>
        </w:rPr>
        <w:t>reverse transcribed into cDNA</w:t>
      </w:r>
      <w:r>
        <w:rPr>
          <w:rFonts w:ascii="Times New Roman" w:hAnsi="Times New Roman" w:cs="Times New Roman"/>
          <w:sz w:val="24"/>
          <w:szCs w:val="24"/>
        </w:rPr>
        <w:t>s</w:t>
      </w:r>
      <w:r w:rsidRPr="00763FD9">
        <w:rPr>
          <w:rFonts w:ascii="Times New Roman" w:hAnsi="Times New Roman" w:cs="Times New Roman"/>
          <w:sz w:val="24"/>
          <w:szCs w:val="24"/>
        </w:rPr>
        <w:t xml:space="preserve"> using </w:t>
      </w:r>
      <w:proofErr w:type="spellStart"/>
      <w:r w:rsidRPr="00763FD9">
        <w:rPr>
          <w:rFonts w:ascii="Times New Roman" w:hAnsi="Times New Roman" w:cs="Times New Roman"/>
          <w:sz w:val="24"/>
          <w:szCs w:val="24"/>
        </w:rPr>
        <w:t>HiScript</w:t>
      </w:r>
      <w:proofErr w:type="spellEnd"/>
      <w:r w:rsidRPr="00763FD9">
        <w:rPr>
          <w:rFonts w:ascii="Times New Roman" w:hAnsi="Times New Roman" w:cs="Times New Roman"/>
          <w:sz w:val="24"/>
          <w:szCs w:val="24"/>
        </w:rPr>
        <w:t xml:space="preserve"> </w:t>
      </w:r>
      <w:proofErr w:type="spellStart"/>
      <w:r w:rsidRPr="00763FD9">
        <w:rPr>
          <w:rFonts w:ascii="Times New Roman" w:hAnsi="Times New Roman" w:cs="Times New Roman"/>
          <w:sz w:val="24"/>
          <w:szCs w:val="24"/>
        </w:rPr>
        <w:t>qRT</w:t>
      </w:r>
      <w:proofErr w:type="spellEnd"/>
      <w:r w:rsidRPr="00763FD9">
        <w:rPr>
          <w:rFonts w:ascii="Times New Roman" w:hAnsi="Times New Roman" w:cs="Times New Roman"/>
          <w:sz w:val="24"/>
          <w:szCs w:val="24"/>
        </w:rPr>
        <w:t xml:space="preserve"> </w:t>
      </w:r>
      <w:proofErr w:type="spellStart"/>
      <w:r w:rsidRPr="00763FD9">
        <w:rPr>
          <w:rFonts w:ascii="Times New Roman" w:hAnsi="Times New Roman" w:cs="Times New Roman"/>
          <w:sz w:val="24"/>
          <w:szCs w:val="24"/>
        </w:rPr>
        <w:t>SuperMix</w:t>
      </w:r>
      <w:proofErr w:type="spellEnd"/>
      <w:r w:rsidRPr="00763FD9">
        <w:rPr>
          <w:rFonts w:ascii="Times New Roman" w:hAnsi="Times New Roman" w:cs="Times New Roman"/>
          <w:sz w:val="24"/>
          <w:szCs w:val="24"/>
        </w:rPr>
        <w:t xml:space="preserve"> for qPCR (</w:t>
      </w:r>
      <w:proofErr w:type="spellStart"/>
      <w:r w:rsidRPr="00763FD9">
        <w:rPr>
          <w:rFonts w:ascii="Times New Roman" w:hAnsi="Times New Roman" w:cs="Times New Roman"/>
          <w:sz w:val="24"/>
          <w:szCs w:val="24"/>
        </w:rPr>
        <w:t>Vazyme</w:t>
      </w:r>
      <w:proofErr w:type="spellEnd"/>
      <w:r w:rsidRPr="00763FD9">
        <w:rPr>
          <w:rFonts w:ascii="Times New Roman" w:hAnsi="Times New Roman" w:cs="Times New Roman"/>
          <w:sz w:val="24"/>
          <w:szCs w:val="24"/>
        </w:rPr>
        <w:t xml:space="preserve">, China), and subsequent </w:t>
      </w:r>
      <w:proofErr w:type="spellStart"/>
      <w:r w:rsidRPr="00763FD9">
        <w:rPr>
          <w:rFonts w:ascii="Times New Roman" w:hAnsi="Times New Roman" w:cs="Times New Roman"/>
          <w:sz w:val="24"/>
          <w:szCs w:val="24"/>
        </w:rPr>
        <w:t>qRT</w:t>
      </w:r>
      <w:proofErr w:type="spellEnd"/>
      <w:r w:rsidRPr="00763FD9">
        <w:rPr>
          <w:rFonts w:ascii="Times New Roman" w:hAnsi="Times New Roman" w:cs="Times New Roman"/>
          <w:sz w:val="24"/>
          <w:szCs w:val="24"/>
        </w:rPr>
        <w:t>-PCR</w:t>
      </w:r>
      <w:r>
        <w:rPr>
          <w:rFonts w:ascii="Times New Roman" w:hAnsi="Times New Roman" w:cs="Times New Roman"/>
          <w:sz w:val="24"/>
          <w:szCs w:val="24"/>
        </w:rPr>
        <w:t xml:space="preserve">s were </w:t>
      </w:r>
      <w:r w:rsidRPr="00763FD9">
        <w:rPr>
          <w:rFonts w:ascii="Times New Roman" w:hAnsi="Times New Roman" w:cs="Times New Roman"/>
          <w:sz w:val="24"/>
          <w:szCs w:val="24"/>
        </w:rPr>
        <w:t xml:space="preserve">performed using </w:t>
      </w:r>
      <w:proofErr w:type="spellStart"/>
      <w:r w:rsidRPr="00763FD9">
        <w:rPr>
          <w:rFonts w:ascii="Times New Roman" w:hAnsi="Times New Roman" w:cs="Times New Roman"/>
          <w:sz w:val="24"/>
          <w:szCs w:val="24"/>
        </w:rPr>
        <w:t>ChamQ</w:t>
      </w:r>
      <w:proofErr w:type="spellEnd"/>
      <w:r w:rsidRPr="00763FD9">
        <w:rPr>
          <w:rFonts w:ascii="Times New Roman" w:hAnsi="Times New Roman" w:cs="Times New Roman"/>
          <w:sz w:val="24"/>
          <w:szCs w:val="24"/>
        </w:rPr>
        <w:t xml:space="preserve"> SYBR qPCR Master Mix. Relative gene expression levels were </w:t>
      </w:r>
      <w:r w:rsidRPr="00763FD9">
        <w:rPr>
          <w:rFonts w:ascii="Times New Roman" w:hAnsi="Times New Roman" w:cs="Times New Roman"/>
          <w:sz w:val="24"/>
          <w:szCs w:val="24"/>
        </w:rPr>
        <w:lastRenderedPageBreak/>
        <w:t>calculated using the 2</w:t>
      </w:r>
      <w:r w:rsidRPr="00763FD9">
        <w:rPr>
          <w:rFonts w:ascii="Times New Roman" w:hAnsi="Times New Roman" w:cs="Times New Roman"/>
          <w:sz w:val="24"/>
          <w:szCs w:val="24"/>
          <w:vertAlign w:val="superscript"/>
        </w:rPr>
        <w:t>-ΔΔCt</w:t>
      </w:r>
      <w:r w:rsidRPr="00763FD9">
        <w:rPr>
          <w:rFonts w:ascii="Times New Roman" w:hAnsi="Times New Roman" w:cs="Times New Roman"/>
          <w:sz w:val="24"/>
          <w:szCs w:val="24"/>
        </w:rPr>
        <w:t xml:space="preserve"> method, normalizing tsRNA-0032 expression to U6 and other gene expression to β-actin. All primer sequences are listed in Table S1.</w:t>
      </w:r>
    </w:p>
    <w:p w14:paraId="20B961C9" w14:textId="77777777" w:rsidR="003C5C6C" w:rsidRPr="006271DE" w:rsidRDefault="003C5C6C" w:rsidP="003C5C6C">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Western blot</w:t>
      </w:r>
    </w:p>
    <w:p w14:paraId="02E91545" w14:textId="13796CF1" w:rsidR="003C5C6C" w:rsidRPr="00763FD9" w:rsidRDefault="003C5C6C" w:rsidP="003C5C6C">
      <w:pPr>
        <w:spacing w:line="480" w:lineRule="auto"/>
        <w:rPr>
          <w:rFonts w:ascii="Times New Roman" w:hAnsi="Times New Roman" w:cs="Times New Roman" w:hint="eastAsia"/>
          <w:bCs/>
          <w:sz w:val="24"/>
          <w:szCs w:val="24"/>
        </w:rPr>
      </w:pPr>
      <w:r>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  </w:t>
      </w:r>
      <w:r w:rsidRPr="00763FD9">
        <w:rPr>
          <w:rFonts w:ascii="Times New Roman" w:hAnsi="Times New Roman" w:cs="Times New Roman"/>
          <w:bCs/>
          <w:sz w:val="24"/>
          <w:szCs w:val="24"/>
        </w:rPr>
        <w:t>HLECs were lysed in RIPA buffer (</w:t>
      </w:r>
      <w:proofErr w:type="spellStart"/>
      <w:r w:rsidRPr="00763FD9">
        <w:rPr>
          <w:rFonts w:ascii="Times New Roman" w:hAnsi="Times New Roman" w:cs="Times New Roman"/>
          <w:bCs/>
          <w:sz w:val="24"/>
          <w:szCs w:val="24"/>
        </w:rPr>
        <w:t>Beyotime</w:t>
      </w:r>
      <w:proofErr w:type="spellEnd"/>
      <w:r w:rsidRPr="00763FD9">
        <w:rPr>
          <w:rFonts w:ascii="Times New Roman" w:hAnsi="Times New Roman" w:cs="Times New Roman"/>
          <w:bCs/>
          <w:sz w:val="24"/>
          <w:szCs w:val="24"/>
        </w:rPr>
        <w:t xml:space="preserve"> Biotechnology, China, P0013B) with added protease and phosphatase inhibitor cocktail. Protein concentration was measured using the BCA Protein Assay Kit (</w:t>
      </w:r>
      <w:proofErr w:type="spellStart"/>
      <w:r w:rsidRPr="00763FD9">
        <w:rPr>
          <w:rFonts w:ascii="Times New Roman" w:hAnsi="Times New Roman" w:cs="Times New Roman"/>
          <w:bCs/>
          <w:sz w:val="24"/>
          <w:szCs w:val="24"/>
        </w:rPr>
        <w:t>ThermoFisher</w:t>
      </w:r>
      <w:proofErr w:type="spellEnd"/>
      <w:r w:rsidRPr="00763FD9">
        <w:rPr>
          <w:rFonts w:ascii="Times New Roman" w:hAnsi="Times New Roman" w:cs="Times New Roman"/>
          <w:bCs/>
          <w:sz w:val="24"/>
          <w:szCs w:val="24"/>
        </w:rPr>
        <w:t xml:space="preserve"> Scientific, USA, 23227), and proteins were denatured at 100°C in a metal bath heater for 10 min. After treatment, proteins were separated on SDS-polyacrylamide gels and transferred onto a PVDF membrane (Millipore, USA, IPVH00010). The membranes were blocked with 5% non-fat milk for 2 h at room temperature, then incubated with primary antibodies overnight at 4°C, followed by incubation with HRP-conjugated secondary antibodies for 1.5 h at room temperature. Protein bands on the membranes were visualized using an enhanced chemiluminescence (ECL) system. Images were captured with a </w:t>
      </w:r>
      <w:proofErr w:type="spellStart"/>
      <w:r w:rsidRPr="00763FD9">
        <w:rPr>
          <w:rFonts w:ascii="Times New Roman" w:hAnsi="Times New Roman" w:cs="Times New Roman"/>
          <w:bCs/>
          <w:sz w:val="24"/>
          <w:szCs w:val="24"/>
        </w:rPr>
        <w:t>ChemiDoc</w:t>
      </w:r>
      <w:proofErr w:type="spellEnd"/>
      <w:r w:rsidRPr="00763FD9">
        <w:rPr>
          <w:rFonts w:ascii="Times New Roman" w:hAnsi="Times New Roman" w:cs="Times New Roman"/>
          <w:bCs/>
          <w:sz w:val="24"/>
          <w:szCs w:val="24"/>
        </w:rPr>
        <w:t xml:space="preserve"> Touch Gel Imaging System (TANON, Shanghai, China) and analyzed using ImageJ software. The catalog of antibodies is listed in Table S2.</w:t>
      </w:r>
      <w:r w:rsidR="00E2527D">
        <w:rPr>
          <w:rFonts w:ascii="Times New Roman" w:hAnsi="Times New Roman" w:cs="Times New Roman" w:hint="eastAsia"/>
          <w:bCs/>
          <w:sz w:val="24"/>
          <w:szCs w:val="24"/>
        </w:rPr>
        <w:t xml:space="preserve"> </w:t>
      </w:r>
      <w:r w:rsidR="00C454AB" w:rsidRPr="00C454AB">
        <w:rPr>
          <w:rFonts w:ascii="Times New Roman" w:hAnsi="Times New Roman" w:cs="Times New Roman"/>
          <w:bCs/>
          <w:sz w:val="24"/>
          <w:szCs w:val="24"/>
        </w:rPr>
        <w:t>The full length uncropped original western blots are provided in Supplementary data 2.</w:t>
      </w:r>
    </w:p>
    <w:p w14:paraId="42E1A2DA" w14:textId="77777777" w:rsidR="0016092A" w:rsidRPr="006271DE" w:rsidRDefault="0016092A" w:rsidP="0016092A">
      <w:pPr>
        <w:spacing w:line="480" w:lineRule="auto"/>
        <w:rPr>
          <w:rFonts w:ascii="Times New Roman" w:hAnsi="Times New Roman" w:cs="Times New Roman"/>
          <w:b/>
          <w:bCs/>
          <w:sz w:val="24"/>
          <w:szCs w:val="24"/>
        </w:rPr>
      </w:pPr>
      <w:r w:rsidRPr="006271DE">
        <w:rPr>
          <w:rFonts w:ascii="Times New Roman" w:hAnsi="Times New Roman" w:cs="Times New Roman"/>
          <w:b/>
          <w:bCs/>
          <w:sz w:val="24"/>
          <w:szCs w:val="24"/>
        </w:rPr>
        <w:t>Matrigel plug assay</w:t>
      </w:r>
    </w:p>
    <w:p w14:paraId="6531542C" w14:textId="77777777" w:rsidR="0016092A" w:rsidRDefault="0016092A" w:rsidP="0016092A">
      <w:pPr>
        <w:spacing w:line="480" w:lineRule="auto"/>
        <w:ind w:firstLineChars="200" w:firstLine="480"/>
        <w:rPr>
          <w:rFonts w:ascii="Times New Roman" w:hAnsi="Times New Roman" w:cs="Times New Roman"/>
          <w:sz w:val="24"/>
          <w:szCs w:val="24"/>
        </w:rPr>
      </w:pPr>
      <w:r w:rsidRPr="00A37B6F">
        <w:rPr>
          <w:rFonts w:ascii="Times New Roman" w:hAnsi="Times New Roman" w:cs="Times New Roman"/>
          <w:sz w:val="24"/>
          <w:szCs w:val="24"/>
        </w:rPr>
        <w:t xml:space="preserve">Male C57BL/6J mice (5-6 weeks old) received a subcutaneous injection of 500 µL Matrigel (ABW, China, 00827235) supplemented with heparin (60 units) and VEGF (100 ng/mL, PEPROTECH, China, AF-450-32). Each Matrigel mixture contained either a negative control </w:t>
      </w:r>
      <w:proofErr w:type="spellStart"/>
      <w:r w:rsidRPr="00A37B6F">
        <w:rPr>
          <w:rFonts w:ascii="Times New Roman" w:hAnsi="Times New Roman" w:cs="Times New Roman"/>
          <w:sz w:val="24"/>
          <w:szCs w:val="24"/>
        </w:rPr>
        <w:t>agomir</w:t>
      </w:r>
      <w:proofErr w:type="spellEnd"/>
      <w:r w:rsidRPr="00A37B6F">
        <w:rPr>
          <w:rFonts w:ascii="Times New Roman" w:hAnsi="Times New Roman" w:cs="Times New Roman"/>
          <w:sz w:val="24"/>
          <w:szCs w:val="24"/>
        </w:rPr>
        <w:t xml:space="preserve"> (</w:t>
      </w:r>
      <w:r>
        <w:rPr>
          <w:rFonts w:ascii="Times New Roman" w:hAnsi="Times New Roman" w:cs="Times New Roman" w:hint="eastAsia"/>
          <w:sz w:val="24"/>
          <w:szCs w:val="24"/>
        </w:rPr>
        <w:t>NC</w:t>
      </w:r>
      <w:r w:rsidRPr="00A37B6F">
        <w:rPr>
          <w:rFonts w:ascii="Times New Roman" w:hAnsi="Times New Roman" w:cs="Times New Roman"/>
          <w:sz w:val="24"/>
          <w:szCs w:val="24"/>
        </w:rPr>
        <w:t xml:space="preserve"> </w:t>
      </w:r>
      <w:proofErr w:type="spellStart"/>
      <w:r w:rsidRPr="00A37B6F">
        <w:rPr>
          <w:rFonts w:ascii="Times New Roman" w:hAnsi="Times New Roman" w:cs="Times New Roman"/>
          <w:sz w:val="24"/>
          <w:szCs w:val="24"/>
        </w:rPr>
        <w:t>agomir</w:t>
      </w:r>
      <w:proofErr w:type="spellEnd"/>
      <w:r w:rsidRPr="00A37B6F">
        <w:rPr>
          <w:rFonts w:ascii="Times New Roman" w:hAnsi="Times New Roman" w:cs="Times New Roman"/>
          <w:sz w:val="24"/>
          <w:szCs w:val="24"/>
        </w:rPr>
        <w:t xml:space="preserve">), tsRNA-0032 </w:t>
      </w:r>
      <w:proofErr w:type="spellStart"/>
      <w:r w:rsidRPr="00A37B6F">
        <w:rPr>
          <w:rFonts w:ascii="Times New Roman" w:hAnsi="Times New Roman" w:cs="Times New Roman"/>
          <w:sz w:val="24"/>
          <w:szCs w:val="24"/>
        </w:rPr>
        <w:t>agomir</w:t>
      </w:r>
      <w:proofErr w:type="spellEnd"/>
      <w:r w:rsidRPr="00A37B6F">
        <w:rPr>
          <w:rFonts w:ascii="Times New Roman" w:hAnsi="Times New Roman" w:cs="Times New Roman"/>
          <w:sz w:val="24"/>
          <w:szCs w:val="24"/>
        </w:rPr>
        <w:t>, a negative control antagomir (</w:t>
      </w:r>
      <w:r>
        <w:rPr>
          <w:rFonts w:ascii="Times New Roman" w:hAnsi="Times New Roman" w:cs="Times New Roman" w:hint="eastAsia"/>
          <w:sz w:val="24"/>
          <w:szCs w:val="24"/>
        </w:rPr>
        <w:t>NC</w:t>
      </w:r>
      <w:r w:rsidRPr="00A37B6F">
        <w:rPr>
          <w:rFonts w:ascii="Times New Roman" w:hAnsi="Times New Roman" w:cs="Times New Roman"/>
          <w:sz w:val="24"/>
          <w:szCs w:val="24"/>
        </w:rPr>
        <w:t xml:space="preserve"> antagomir), or tsRNA-0032 antagomir (all obtained from GENERAY, </w:t>
      </w:r>
      <w:r w:rsidRPr="00A37B6F">
        <w:rPr>
          <w:rFonts w:ascii="Times New Roman" w:hAnsi="Times New Roman" w:cs="Times New Roman"/>
          <w:sz w:val="24"/>
          <w:szCs w:val="24"/>
        </w:rPr>
        <w:lastRenderedPageBreak/>
        <w:t xml:space="preserve">China). After 14 days, Matrigel plugs were harvested, frozen-sectioned, and </w:t>
      </w:r>
      <w:proofErr w:type="spellStart"/>
      <w:r w:rsidRPr="00A37B6F">
        <w:rPr>
          <w:rFonts w:ascii="Times New Roman" w:hAnsi="Times New Roman" w:cs="Times New Roman"/>
          <w:sz w:val="24"/>
          <w:szCs w:val="24"/>
        </w:rPr>
        <w:t>immunostained</w:t>
      </w:r>
      <w:proofErr w:type="spellEnd"/>
      <w:r w:rsidRPr="00A37B6F">
        <w:rPr>
          <w:rFonts w:ascii="Times New Roman" w:hAnsi="Times New Roman" w:cs="Times New Roman"/>
          <w:sz w:val="24"/>
          <w:szCs w:val="24"/>
        </w:rPr>
        <w:t xml:space="preserve"> with rabbit anti-mouse LYVE-1 antibody (1:200, Abcam, USA, ab14917) followed by Alexa Fluor 594 goat anti-rat secondary antibody (1:500, Invitrogen, USA, 2506100).</w:t>
      </w:r>
    </w:p>
    <w:p w14:paraId="3076F7B3" w14:textId="77777777" w:rsidR="001C495B" w:rsidRPr="0016092A" w:rsidRDefault="001C495B" w:rsidP="001C495B">
      <w:pPr>
        <w:spacing w:line="360" w:lineRule="auto"/>
        <w:rPr>
          <w:rFonts w:ascii="Times New Roman" w:hAnsi="Times New Roman" w:cs="Times New Roman"/>
          <w:b/>
          <w:bCs/>
          <w:noProof/>
          <w:sz w:val="24"/>
          <w:szCs w:val="24"/>
        </w:rPr>
      </w:pPr>
    </w:p>
    <w:p w14:paraId="5F094E17" w14:textId="77777777" w:rsidR="001C495B" w:rsidRDefault="001C495B" w:rsidP="001C495B">
      <w:pPr>
        <w:spacing w:line="360" w:lineRule="auto"/>
        <w:rPr>
          <w:rFonts w:ascii="Times New Roman" w:hAnsi="Times New Roman" w:cs="Times New Roman"/>
          <w:b/>
          <w:bCs/>
          <w:noProof/>
          <w:sz w:val="24"/>
          <w:szCs w:val="24"/>
        </w:rPr>
      </w:pPr>
    </w:p>
    <w:p w14:paraId="0305ADD0" w14:textId="77777777" w:rsidR="001C495B" w:rsidRDefault="001C495B" w:rsidP="001C495B">
      <w:pPr>
        <w:spacing w:line="360" w:lineRule="auto"/>
        <w:rPr>
          <w:rFonts w:ascii="Times New Roman" w:hAnsi="Times New Roman" w:cs="Times New Roman"/>
          <w:b/>
          <w:bCs/>
          <w:noProof/>
          <w:sz w:val="24"/>
          <w:szCs w:val="24"/>
        </w:rPr>
      </w:pPr>
    </w:p>
    <w:p w14:paraId="0BE9B5CB" w14:textId="77777777" w:rsidR="001C495B" w:rsidRDefault="001C495B" w:rsidP="001C495B">
      <w:pPr>
        <w:spacing w:line="360" w:lineRule="auto"/>
        <w:rPr>
          <w:rFonts w:ascii="Times New Roman" w:hAnsi="Times New Roman" w:cs="Times New Roman"/>
          <w:b/>
          <w:bCs/>
          <w:noProof/>
          <w:sz w:val="24"/>
          <w:szCs w:val="24"/>
        </w:rPr>
      </w:pPr>
    </w:p>
    <w:p w14:paraId="1FEFED30" w14:textId="77777777" w:rsidR="001C495B" w:rsidRDefault="001C495B" w:rsidP="001C495B">
      <w:pPr>
        <w:spacing w:line="360" w:lineRule="auto"/>
        <w:rPr>
          <w:rFonts w:ascii="Times New Roman" w:hAnsi="Times New Roman" w:cs="Times New Roman"/>
          <w:b/>
          <w:bCs/>
          <w:noProof/>
          <w:sz w:val="24"/>
          <w:szCs w:val="24"/>
        </w:rPr>
      </w:pPr>
    </w:p>
    <w:p w14:paraId="526B1D00" w14:textId="77777777" w:rsidR="001C495B" w:rsidRDefault="001C495B" w:rsidP="001C495B">
      <w:pPr>
        <w:spacing w:line="360" w:lineRule="auto"/>
        <w:rPr>
          <w:rFonts w:ascii="Times New Roman" w:hAnsi="Times New Roman" w:cs="Times New Roman"/>
          <w:b/>
          <w:bCs/>
          <w:noProof/>
          <w:sz w:val="24"/>
          <w:szCs w:val="24"/>
        </w:rPr>
      </w:pPr>
    </w:p>
    <w:p w14:paraId="72445A08" w14:textId="77777777" w:rsidR="001C495B" w:rsidRDefault="001C495B" w:rsidP="001C495B">
      <w:pPr>
        <w:spacing w:line="360" w:lineRule="auto"/>
        <w:rPr>
          <w:rFonts w:ascii="Times New Roman" w:hAnsi="Times New Roman" w:cs="Times New Roman"/>
          <w:b/>
          <w:bCs/>
          <w:noProof/>
          <w:sz w:val="24"/>
          <w:szCs w:val="24"/>
        </w:rPr>
      </w:pPr>
    </w:p>
    <w:p w14:paraId="433EE303" w14:textId="77777777" w:rsidR="001C495B" w:rsidRDefault="001C495B" w:rsidP="001C495B">
      <w:pPr>
        <w:spacing w:line="360" w:lineRule="auto"/>
        <w:rPr>
          <w:rFonts w:ascii="Times New Roman" w:hAnsi="Times New Roman" w:cs="Times New Roman"/>
          <w:b/>
          <w:bCs/>
          <w:noProof/>
          <w:sz w:val="24"/>
          <w:szCs w:val="24"/>
        </w:rPr>
      </w:pPr>
    </w:p>
    <w:p w14:paraId="5E97B88A" w14:textId="77777777" w:rsidR="001C495B" w:rsidRDefault="001C495B" w:rsidP="001C495B">
      <w:pPr>
        <w:spacing w:line="360" w:lineRule="auto"/>
        <w:rPr>
          <w:rFonts w:ascii="Times New Roman" w:hAnsi="Times New Roman" w:cs="Times New Roman"/>
          <w:b/>
          <w:bCs/>
          <w:noProof/>
          <w:sz w:val="24"/>
          <w:szCs w:val="24"/>
        </w:rPr>
      </w:pPr>
    </w:p>
    <w:p w14:paraId="7D8F66C9" w14:textId="77777777" w:rsidR="001C495B" w:rsidRDefault="001C495B" w:rsidP="001C495B">
      <w:pPr>
        <w:spacing w:line="360" w:lineRule="auto"/>
        <w:rPr>
          <w:rFonts w:ascii="Times New Roman" w:hAnsi="Times New Roman" w:cs="Times New Roman"/>
          <w:b/>
          <w:bCs/>
          <w:noProof/>
          <w:sz w:val="24"/>
          <w:szCs w:val="24"/>
        </w:rPr>
      </w:pPr>
    </w:p>
    <w:p w14:paraId="0167395D" w14:textId="77777777" w:rsidR="001C495B" w:rsidRDefault="001C495B" w:rsidP="001C495B">
      <w:pPr>
        <w:spacing w:line="360" w:lineRule="auto"/>
        <w:rPr>
          <w:rFonts w:ascii="Times New Roman" w:hAnsi="Times New Roman" w:cs="Times New Roman"/>
          <w:b/>
          <w:bCs/>
          <w:noProof/>
          <w:sz w:val="24"/>
          <w:szCs w:val="24"/>
        </w:rPr>
      </w:pPr>
    </w:p>
    <w:p w14:paraId="70106080" w14:textId="77777777" w:rsidR="001C495B" w:rsidRDefault="001C495B" w:rsidP="001C495B">
      <w:pPr>
        <w:spacing w:line="360" w:lineRule="auto"/>
        <w:rPr>
          <w:rFonts w:ascii="Times New Roman" w:hAnsi="Times New Roman" w:cs="Times New Roman"/>
          <w:b/>
          <w:bCs/>
          <w:noProof/>
          <w:sz w:val="24"/>
          <w:szCs w:val="24"/>
        </w:rPr>
      </w:pPr>
    </w:p>
    <w:p w14:paraId="3F5305CA" w14:textId="77777777" w:rsidR="001C495B" w:rsidRDefault="001C495B" w:rsidP="001C495B">
      <w:pPr>
        <w:spacing w:line="360" w:lineRule="auto"/>
        <w:rPr>
          <w:rFonts w:ascii="Times New Roman" w:hAnsi="Times New Roman" w:cs="Times New Roman"/>
          <w:b/>
          <w:bCs/>
          <w:noProof/>
          <w:sz w:val="24"/>
          <w:szCs w:val="24"/>
        </w:rPr>
      </w:pPr>
    </w:p>
    <w:p w14:paraId="6F11DBFD" w14:textId="77777777" w:rsidR="001C495B" w:rsidRDefault="001C495B" w:rsidP="001C495B">
      <w:pPr>
        <w:spacing w:line="360" w:lineRule="auto"/>
        <w:rPr>
          <w:rFonts w:ascii="Times New Roman" w:hAnsi="Times New Roman" w:cs="Times New Roman"/>
          <w:b/>
          <w:bCs/>
          <w:noProof/>
          <w:sz w:val="24"/>
          <w:szCs w:val="24"/>
        </w:rPr>
      </w:pPr>
    </w:p>
    <w:p w14:paraId="1B316F4D" w14:textId="77777777" w:rsidR="001C495B" w:rsidRDefault="001C495B" w:rsidP="001C495B">
      <w:pPr>
        <w:spacing w:line="360" w:lineRule="auto"/>
        <w:rPr>
          <w:rFonts w:ascii="Times New Roman" w:hAnsi="Times New Roman" w:cs="Times New Roman"/>
          <w:b/>
          <w:bCs/>
          <w:noProof/>
          <w:sz w:val="24"/>
          <w:szCs w:val="24"/>
        </w:rPr>
      </w:pPr>
    </w:p>
    <w:p w14:paraId="52879026" w14:textId="77777777" w:rsidR="001C495B" w:rsidRDefault="001C495B" w:rsidP="001C495B">
      <w:pPr>
        <w:spacing w:line="360" w:lineRule="auto"/>
        <w:rPr>
          <w:rFonts w:ascii="Times New Roman" w:hAnsi="Times New Roman" w:cs="Times New Roman"/>
          <w:b/>
          <w:bCs/>
          <w:noProof/>
          <w:sz w:val="24"/>
          <w:szCs w:val="24"/>
        </w:rPr>
      </w:pPr>
    </w:p>
    <w:p w14:paraId="35B1DDF8" w14:textId="77777777" w:rsidR="001C495B" w:rsidRDefault="001C495B" w:rsidP="001C495B">
      <w:pPr>
        <w:spacing w:line="360" w:lineRule="auto"/>
        <w:rPr>
          <w:rFonts w:ascii="Times New Roman" w:hAnsi="Times New Roman" w:cs="Times New Roman"/>
          <w:b/>
          <w:bCs/>
          <w:noProof/>
          <w:sz w:val="24"/>
          <w:szCs w:val="24"/>
        </w:rPr>
      </w:pPr>
    </w:p>
    <w:p w14:paraId="039D369C" w14:textId="77777777" w:rsidR="001C495B" w:rsidRDefault="001C495B" w:rsidP="001C495B">
      <w:pPr>
        <w:spacing w:line="360" w:lineRule="auto"/>
        <w:rPr>
          <w:rFonts w:ascii="Times New Roman" w:hAnsi="Times New Roman" w:cs="Times New Roman"/>
          <w:b/>
          <w:bCs/>
          <w:noProof/>
          <w:sz w:val="24"/>
          <w:szCs w:val="24"/>
        </w:rPr>
      </w:pPr>
    </w:p>
    <w:p w14:paraId="4144A509" w14:textId="77777777" w:rsidR="001C495B" w:rsidRDefault="001C495B" w:rsidP="001C495B">
      <w:pPr>
        <w:spacing w:line="360" w:lineRule="auto"/>
        <w:rPr>
          <w:rFonts w:ascii="Times New Roman" w:hAnsi="Times New Roman" w:cs="Times New Roman"/>
          <w:b/>
          <w:bCs/>
          <w:noProof/>
          <w:sz w:val="24"/>
          <w:szCs w:val="24"/>
        </w:rPr>
      </w:pPr>
    </w:p>
    <w:p w14:paraId="017C241D" w14:textId="77777777" w:rsidR="001C495B" w:rsidRPr="001C495B" w:rsidRDefault="001C495B" w:rsidP="001C495B">
      <w:pPr>
        <w:spacing w:line="360" w:lineRule="auto"/>
        <w:rPr>
          <w:rFonts w:ascii="Times New Roman" w:hAnsi="Times New Roman" w:cs="Times New Roman"/>
          <w:b/>
          <w:bCs/>
          <w:noProof/>
          <w:sz w:val="24"/>
          <w:szCs w:val="24"/>
        </w:rPr>
      </w:pPr>
    </w:p>
    <w:p w14:paraId="128217D9" w14:textId="77777777" w:rsidR="001C495B" w:rsidRDefault="001C495B" w:rsidP="001A40EC">
      <w:pPr>
        <w:spacing w:line="360" w:lineRule="auto"/>
        <w:jc w:val="center"/>
        <w:rPr>
          <w:rFonts w:ascii="Times New Roman" w:hAnsi="Times New Roman" w:cs="Times New Roman"/>
          <w:b/>
          <w:bCs/>
          <w:noProof/>
          <w:sz w:val="32"/>
          <w:szCs w:val="32"/>
        </w:rPr>
      </w:pPr>
    </w:p>
    <w:p w14:paraId="23D992DD" w14:textId="77777777" w:rsidR="0016092A" w:rsidRDefault="0016092A" w:rsidP="001C495B">
      <w:pPr>
        <w:spacing w:line="360" w:lineRule="auto"/>
        <w:rPr>
          <w:rFonts w:ascii="Times New Roman" w:hAnsi="Times New Roman" w:cs="Times New Roman"/>
          <w:b/>
          <w:bCs/>
          <w:noProof/>
          <w:sz w:val="24"/>
          <w:szCs w:val="24"/>
        </w:rPr>
      </w:pPr>
    </w:p>
    <w:p w14:paraId="6CE3DBA5" w14:textId="77777777" w:rsidR="0016092A" w:rsidRDefault="0016092A" w:rsidP="001C495B">
      <w:pPr>
        <w:spacing w:line="360" w:lineRule="auto"/>
        <w:rPr>
          <w:rFonts w:ascii="Times New Roman" w:hAnsi="Times New Roman" w:cs="Times New Roman"/>
          <w:b/>
          <w:bCs/>
          <w:noProof/>
          <w:sz w:val="24"/>
          <w:szCs w:val="24"/>
        </w:rPr>
      </w:pPr>
    </w:p>
    <w:p w14:paraId="7C6E49B4" w14:textId="77777777" w:rsidR="0016092A" w:rsidRDefault="0016092A" w:rsidP="001C495B">
      <w:pPr>
        <w:spacing w:line="360" w:lineRule="auto"/>
        <w:rPr>
          <w:rFonts w:ascii="Times New Roman" w:hAnsi="Times New Roman" w:cs="Times New Roman"/>
          <w:b/>
          <w:bCs/>
          <w:noProof/>
          <w:sz w:val="24"/>
          <w:szCs w:val="24"/>
        </w:rPr>
      </w:pPr>
    </w:p>
    <w:p w14:paraId="2E0E711B" w14:textId="77777777" w:rsidR="001C495B" w:rsidRPr="001C495B" w:rsidRDefault="001C495B" w:rsidP="001C495B">
      <w:pPr>
        <w:spacing w:line="360" w:lineRule="auto"/>
        <w:rPr>
          <w:rFonts w:ascii="Times New Roman" w:hAnsi="Times New Roman" w:cs="Times New Roman"/>
          <w:b/>
          <w:bCs/>
          <w:noProof/>
          <w:sz w:val="32"/>
          <w:szCs w:val="32"/>
        </w:rPr>
      </w:pPr>
      <w:r w:rsidRPr="001C495B">
        <w:rPr>
          <w:rFonts w:ascii="Times New Roman" w:hAnsi="Times New Roman" w:cs="Times New Roman"/>
          <w:b/>
          <w:bCs/>
          <w:noProof/>
          <w:sz w:val="24"/>
          <w:szCs w:val="24"/>
        </w:rPr>
        <w:lastRenderedPageBreak/>
        <w:t>S</w:t>
      </w:r>
      <w:r w:rsidRPr="001C495B">
        <w:rPr>
          <w:rFonts w:ascii="Times New Roman" w:hAnsi="Times New Roman" w:cs="Times New Roman" w:hint="eastAsia"/>
          <w:b/>
          <w:bCs/>
          <w:noProof/>
          <w:sz w:val="24"/>
          <w:szCs w:val="24"/>
        </w:rPr>
        <w:t xml:space="preserve">upplemental </w:t>
      </w:r>
      <w:r>
        <w:rPr>
          <w:rFonts w:ascii="Times New Roman" w:hAnsi="Times New Roman" w:cs="Times New Roman"/>
          <w:b/>
          <w:bCs/>
          <w:noProof/>
          <w:sz w:val="24"/>
          <w:szCs w:val="24"/>
        </w:rPr>
        <w:t>figures</w:t>
      </w:r>
    </w:p>
    <w:p w14:paraId="7B15F63E" w14:textId="77777777" w:rsidR="001A40EC" w:rsidRDefault="00E24ADE" w:rsidP="001C495B">
      <w:pPr>
        <w:spacing w:line="360" w:lineRule="auto"/>
        <w:jc w:val="center"/>
        <w:rPr>
          <w:rFonts w:ascii="Times New Roman" w:hAnsi="Times New Roman" w:cs="Times New Roman"/>
          <w:sz w:val="24"/>
          <w:szCs w:val="24"/>
        </w:rPr>
      </w:pPr>
      <w:r w:rsidRPr="00E24ADE">
        <w:rPr>
          <w:rFonts w:ascii="Times New Roman" w:hAnsi="Times New Roman" w:cs="Times New Roman"/>
          <w:noProof/>
          <w:sz w:val="24"/>
          <w:szCs w:val="24"/>
        </w:rPr>
        <w:drawing>
          <wp:inline distT="0" distB="0" distL="0" distR="0" wp14:anchorId="50761692" wp14:editId="5D4CC6F7">
            <wp:extent cx="4052902" cy="5879939"/>
            <wp:effectExtent l="0" t="0" r="5080" b="6985"/>
            <wp:docPr id="2" name="图片 2" descr="C:\Users\lenovo\Desktop\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54733" cy="5882596"/>
                    </a:xfrm>
                    <a:prstGeom prst="rect">
                      <a:avLst/>
                    </a:prstGeom>
                    <a:noFill/>
                    <a:ln>
                      <a:noFill/>
                    </a:ln>
                  </pic:spPr>
                </pic:pic>
              </a:graphicData>
            </a:graphic>
          </wp:inline>
        </w:drawing>
      </w:r>
    </w:p>
    <w:p w14:paraId="149495C6" w14:textId="77777777" w:rsidR="001C495B" w:rsidRPr="001C495B" w:rsidRDefault="001A40EC" w:rsidP="001C495B">
      <w:pPr>
        <w:rPr>
          <w:rFonts w:ascii="Times New Roman" w:hAnsi="Times New Roman" w:cs="Times New Roman"/>
          <w:b/>
          <w:sz w:val="24"/>
          <w:szCs w:val="24"/>
        </w:rPr>
      </w:pPr>
      <w:r w:rsidRPr="001C495B">
        <w:rPr>
          <w:rFonts w:ascii="Times New Roman" w:hAnsi="Times New Roman" w:cs="Times New Roman"/>
          <w:b/>
          <w:sz w:val="24"/>
          <w:szCs w:val="24"/>
        </w:rPr>
        <w:t xml:space="preserve">Figure S1. tsRNA-0032/PKM2 signaling </w:t>
      </w:r>
      <w:r w:rsidR="001C495B" w:rsidRPr="001C495B">
        <w:rPr>
          <w:rFonts w:ascii="Times New Roman" w:hAnsi="Times New Roman" w:cs="Times New Roman"/>
          <w:b/>
          <w:sz w:val="24"/>
          <w:szCs w:val="24"/>
        </w:rPr>
        <w:t>regulates glycolysis in HLECs</w:t>
      </w:r>
    </w:p>
    <w:p w14:paraId="234279F7" w14:textId="77777777" w:rsidR="001C495B" w:rsidRDefault="001C495B" w:rsidP="001C495B">
      <w:pPr>
        <w:rPr>
          <w:rFonts w:ascii="Times New Roman" w:hAnsi="Times New Roman" w:cs="Times New Roman"/>
          <w:sz w:val="24"/>
          <w:szCs w:val="24"/>
        </w:rPr>
      </w:pPr>
      <w:r w:rsidRPr="001C495B">
        <w:rPr>
          <w:rFonts w:ascii="Times New Roman" w:hAnsi="Times New Roman" w:cs="Times New Roman"/>
          <w:sz w:val="24"/>
          <w:szCs w:val="24"/>
        </w:rPr>
        <w:t>HLECs were transfected with a negative control (NC) inhibitor, tsRNA-0032 inhibitor, tsRNA-0032 combined with scrambled siRNA (</w:t>
      </w:r>
      <w:proofErr w:type="spellStart"/>
      <w:r w:rsidRPr="001C495B">
        <w:rPr>
          <w:rFonts w:ascii="Times New Roman" w:hAnsi="Times New Roman" w:cs="Times New Roman"/>
          <w:sz w:val="24"/>
          <w:szCs w:val="24"/>
        </w:rPr>
        <w:t>Scr</w:t>
      </w:r>
      <w:proofErr w:type="spellEnd"/>
      <w:r w:rsidRPr="001C495B">
        <w:rPr>
          <w:rFonts w:ascii="Times New Roman" w:hAnsi="Times New Roman" w:cs="Times New Roman"/>
          <w:sz w:val="24"/>
          <w:szCs w:val="24"/>
        </w:rPr>
        <w:t>), and tsRNA-0032 combined with PKM2 siRNA. The extracellular acidification rate (ECAR) of HLECs was measured using the Seahorse XFe96 Analyzer (A). Glycolysis, glycolytic capacity, and glycolytic reserve were calculated from the ECAR results (B). Pyruvate, lactate, and ATP production in HLECs were detected using respective quantification kits (C</w:t>
      </w:r>
      <w:r w:rsidR="00BB02AA">
        <w:rPr>
          <w:rFonts w:ascii="Times New Roman" w:hAnsi="Times New Roman" w:cs="Times New Roman"/>
          <w:sz w:val="24"/>
          <w:szCs w:val="24"/>
        </w:rPr>
        <w:t xml:space="preserve"> </w:t>
      </w:r>
      <w:r w:rsidRPr="001C495B">
        <w:rPr>
          <w:rFonts w:ascii="Times New Roman" w:hAnsi="Times New Roman" w:cs="Times New Roman"/>
          <w:sz w:val="24"/>
          <w:szCs w:val="24"/>
        </w:rPr>
        <w:t>-</w:t>
      </w:r>
      <w:r w:rsidR="00BB02AA">
        <w:rPr>
          <w:rFonts w:ascii="Times New Roman" w:hAnsi="Times New Roman" w:cs="Times New Roman"/>
          <w:sz w:val="24"/>
          <w:szCs w:val="24"/>
        </w:rPr>
        <w:t xml:space="preserve"> </w:t>
      </w:r>
      <w:r w:rsidRPr="001C495B">
        <w:rPr>
          <w:rFonts w:ascii="Times New Roman" w:hAnsi="Times New Roman" w:cs="Times New Roman"/>
          <w:sz w:val="24"/>
          <w:szCs w:val="24"/>
        </w:rPr>
        <w:t>E, n</w:t>
      </w:r>
      <w:r w:rsidR="00BB02AA">
        <w:rPr>
          <w:rFonts w:ascii="Times New Roman" w:hAnsi="Times New Roman" w:cs="Times New Roman"/>
          <w:sz w:val="24"/>
          <w:szCs w:val="24"/>
        </w:rPr>
        <w:t xml:space="preserve"> </w:t>
      </w:r>
      <w:r w:rsidRPr="001C495B">
        <w:rPr>
          <w:rFonts w:ascii="Times New Roman" w:hAnsi="Times New Roman" w:cs="Times New Roman"/>
          <w:sz w:val="24"/>
          <w:szCs w:val="24"/>
        </w:rPr>
        <w:t>=</w:t>
      </w:r>
      <w:r w:rsidR="00BB02AA">
        <w:rPr>
          <w:rFonts w:ascii="Times New Roman" w:hAnsi="Times New Roman" w:cs="Times New Roman"/>
          <w:sz w:val="24"/>
          <w:szCs w:val="24"/>
        </w:rPr>
        <w:t xml:space="preserve"> </w:t>
      </w:r>
      <w:r w:rsidRPr="001C495B">
        <w:rPr>
          <w:rFonts w:ascii="Times New Roman" w:hAnsi="Times New Roman" w:cs="Times New Roman"/>
          <w:sz w:val="24"/>
          <w:szCs w:val="24"/>
        </w:rPr>
        <w:t>4). Statistical analysis was performed using one-way ANOVA followed by Bonferroni's test. *</w:t>
      </w:r>
      <w:r w:rsidRPr="001C495B">
        <w:rPr>
          <w:rFonts w:ascii="Times New Roman" w:hAnsi="Times New Roman" w:cs="Times New Roman"/>
          <w:i/>
          <w:sz w:val="24"/>
          <w:szCs w:val="24"/>
        </w:rPr>
        <w:t>P</w:t>
      </w:r>
      <w:r w:rsidRPr="001C495B">
        <w:rPr>
          <w:rFonts w:ascii="Times New Roman" w:hAnsi="Times New Roman" w:cs="Times New Roman"/>
          <w:sz w:val="24"/>
          <w:szCs w:val="24"/>
        </w:rPr>
        <w:t xml:space="preserve"> &lt; 0.05 between the marked groups. (F) HLECs were transfected with NC mimic, tsRNA-0032 mimic, NC inhibitor, tsRNA-0032 inhibitor, or left untreated (Ctrl). The levels of HK2 and PFKFB3 were determined by </w:t>
      </w:r>
      <w:proofErr w:type="spellStart"/>
      <w:r w:rsidRPr="001C495B">
        <w:rPr>
          <w:rFonts w:ascii="Times New Roman" w:hAnsi="Times New Roman" w:cs="Times New Roman"/>
          <w:sz w:val="24"/>
          <w:szCs w:val="24"/>
        </w:rPr>
        <w:t>qRT</w:t>
      </w:r>
      <w:proofErr w:type="spellEnd"/>
      <w:r w:rsidRPr="001C495B">
        <w:rPr>
          <w:rFonts w:ascii="Times New Roman" w:hAnsi="Times New Roman" w:cs="Times New Roman"/>
          <w:sz w:val="24"/>
          <w:szCs w:val="24"/>
        </w:rPr>
        <w:t>-PCR</w:t>
      </w:r>
      <w:r>
        <w:rPr>
          <w:rFonts w:ascii="Times New Roman" w:hAnsi="Times New Roman" w:cs="Times New Roman"/>
          <w:sz w:val="24"/>
          <w:szCs w:val="24"/>
        </w:rPr>
        <w:t xml:space="preserve"> assays</w:t>
      </w:r>
      <w:r w:rsidRPr="001C495B">
        <w:rPr>
          <w:rFonts w:ascii="Times New Roman" w:hAnsi="Times New Roman" w:cs="Times New Roman"/>
          <w:sz w:val="24"/>
          <w:szCs w:val="24"/>
        </w:rPr>
        <w:t xml:space="preserve"> (n = 4, one-way ANOVA followed by Bonferroni's test, *</w:t>
      </w:r>
      <w:r w:rsidRPr="001C495B">
        <w:rPr>
          <w:rFonts w:ascii="Times New Roman" w:hAnsi="Times New Roman" w:cs="Times New Roman"/>
          <w:i/>
          <w:sz w:val="24"/>
          <w:szCs w:val="24"/>
        </w:rPr>
        <w:t xml:space="preserve">P </w:t>
      </w:r>
      <w:r w:rsidRPr="001C495B">
        <w:rPr>
          <w:rFonts w:ascii="Times New Roman" w:hAnsi="Times New Roman" w:cs="Times New Roman"/>
          <w:sz w:val="24"/>
          <w:szCs w:val="24"/>
        </w:rPr>
        <w:t>&lt; 0.05 compared to the Ctrl group)</w:t>
      </w:r>
    </w:p>
    <w:p w14:paraId="484DB293" w14:textId="77777777" w:rsidR="001C495B" w:rsidRDefault="001C495B" w:rsidP="001C495B">
      <w:pPr>
        <w:rPr>
          <w:rFonts w:ascii="Times New Roman" w:hAnsi="Times New Roman" w:cs="Times New Roman"/>
          <w:sz w:val="24"/>
          <w:szCs w:val="24"/>
        </w:rPr>
      </w:pPr>
    </w:p>
    <w:p w14:paraId="67C893EE" w14:textId="77777777" w:rsidR="001A40EC" w:rsidRDefault="001A40EC" w:rsidP="00E24AD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579C918" wp14:editId="0C2495FB">
            <wp:extent cx="4337652" cy="5521028"/>
            <wp:effectExtent l="0" t="0" r="6350" b="3810"/>
            <wp:docPr id="18747025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02533" name="图片 18747025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38645" cy="5522292"/>
                    </a:xfrm>
                    <a:prstGeom prst="rect">
                      <a:avLst/>
                    </a:prstGeom>
                  </pic:spPr>
                </pic:pic>
              </a:graphicData>
            </a:graphic>
          </wp:inline>
        </w:drawing>
      </w:r>
    </w:p>
    <w:p w14:paraId="14E00C32" w14:textId="77777777" w:rsidR="001C495B" w:rsidRPr="001C495B" w:rsidRDefault="001A40EC" w:rsidP="001C495B">
      <w:pPr>
        <w:spacing w:line="360" w:lineRule="auto"/>
        <w:rPr>
          <w:rFonts w:ascii="Times New Roman" w:hAnsi="Times New Roman" w:cs="Times New Roman"/>
          <w:b/>
          <w:sz w:val="24"/>
          <w:szCs w:val="24"/>
        </w:rPr>
      </w:pPr>
      <w:r w:rsidRPr="001C495B">
        <w:rPr>
          <w:rFonts w:ascii="Times New Roman" w:hAnsi="Times New Roman" w:cs="Times New Roman"/>
          <w:b/>
          <w:sz w:val="24"/>
          <w:szCs w:val="24"/>
        </w:rPr>
        <w:t>Figure S2. PKM2 regulates HLECs function</w:t>
      </w:r>
      <w:r w:rsidRPr="001C495B">
        <w:rPr>
          <w:rFonts w:ascii="Times New Roman" w:hAnsi="Times New Roman" w:cs="Times New Roman"/>
          <w:b/>
          <w:i/>
          <w:iCs/>
          <w:sz w:val="24"/>
          <w:szCs w:val="24"/>
        </w:rPr>
        <w:t xml:space="preserve"> in vitro</w:t>
      </w:r>
    </w:p>
    <w:p w14:paraId="7240A1DE" w14:textId="77777777" w:rsidR="001A40EC" w:rsidRDefault="001A40EC" w:rsidP="001C495B">
      <w:pPr>
        <w:rPr>
          <w:rFonts w:ascii="Times New Roman" w:hAnsi="Times New Roman" w:cs="Times New Roman"/>
          <w:sz w:val="24"/>
          <w:szCs w:val="24"/>
        </w:rPr>
      </w:pPr>
      <w:r w:rsidRPr="00443157">
        <w:rPr>
          <w:rFonts w:ascii="Times New Roman" w:hAnsi="Times New Roman" w:cs="Times New Roman"/>
          <w:sz w:val="24"/>
          <w:szCs w:val="24"/>
        </w:rPr>
        <w:t>HLECs were transfected with null vector, PKM2 overexpression vector, scrambled (</w:t>
      </w:r>
      <w:proofErr w:type="spellStart"/>
      <w:r w:rsidRPr="00443157">
        <w:rPr>
          <w:rFonts w:ascii="Times New Roman" w:hAnsi="Times New Roman" w:cs="Times New Roman"/>
          <w:sz w:val="24"/>
          <w:szCs w:val="24"/>
        </w:rPr>
        <w:t>Scr</w:t>
      </w:r>
      <w:proofErr w:type="spellEnd"/>
      <w:r w:rsidRPr="00443157">
        <w:rPr>
          <w:rFonts w:ascii="Times New Roman" w:hAnsi="Times New Roman" w:cs="Times New Roman"/>
          <w:sz w:val="24"/>
          <w:szCs w:val="24"/>
        </w:rPr>
        <w:t xml:space="preserve">) siRNA, PKM2 siRNA or left untreated (Ctrl) and then exposed to LPS (100 ng/ml) for 12 h. </w:t>
      </w:r>
      <w:proofErr w:type="spellStart"/>
      <w:r w:rsidRPr="00443157">
        <w:rPr>
          <w:rFonts w:ascii="Times New Roman" w:eastAsia="宋体" w:hAnsi="Times New Roman" w:cs="Times New Roman"/>
          <w:sz w:val="24"/>
          <w:szCs w:val="24"/>
        </w:rPr>
        <w:t>qRT</w:t>
      </w:r>
      <w:proofErr w:type="spellEnd"/>
      <w:r w:rsidRPr="00443157">
        <w:rPr>
          <w:rFonts w:ascii="Times New Roman" w:eastAsia="宋体" w:hAnsi="Times New Roman" w:cs="Times New Roman"/>
          <w:sz w:val="24"/>
          <w:szCs w:val="24"/>
        </w:rPr>
        <w:t>-PCR assays and western blot assays were conducted to detect the expression of PKM2 in HLECs (</w:t>
      </w:r>
      <w:r w:rsidRPr="00443157">
        <w:rPr>
          <w:rFonts w:ascii="Times New Roman" w:hAnsi="Times New Roman" w:cs="Times New Roman"/>
          <w:sz w:val="24"/>
          <w:szCs w:val="24"/>
        </w:rPr>
        <w:t>A and B</w:t>
      </w:r>
      <w:r>
        <w:rPr>
          <w:rFonts w:ascii="Times New Roman" w:hAnsi="Times New Roman" w:cs="Times New Roman" w:hint="eastAsia"/>
          <w:sz w:val="24"/>
          <w:szCs w:val="24"/>
        </w:rPr>
        <w:t xml:space="preserve">, </w:t>
      </w:r>
      <w:r w:rsidRPr="00443157">
        <w:rPr>
          <w:rFonts w:ascii="Times New Roman" w:hAnsi="Times New Roman" w:cs="Times New Roman"/>
          <w:sz w:val="24"/>
          <w:szCs w:val="24"/>
        </w:rPr>
        <w:t>n = 4, one-way ANOVA followed by Bonferroni test</w:t>
      </w:r>
      <w:r>
        <w:rPr>
          <w:rFonts w:ascii="Times New Roman" w:hAnsi="Times New Roman" w:cs="Times New Roman" w:hint="eastAsia"/>
          <w:sz w:val="24"/>
          <w:szCs w:val="24"/>
        </w:rPr>
        <w:t xml:space="preserve">, </w:t>
      </w:r>
      <w:r w:rsidRPr="00F559E3">
        <w:rPr>
          <w:rFonts w:ascii="Times New Roman" w:hAnsi="Times New Roman" w:cs="Times New Roman"/>
          <w:sz w:val="24"/>
          <w:szCs w:val="24"/>
          <w:vertAlign w:val="superscript"/>
        </w:rPr>
        <w:t>*</w:t>
      </w:r>
      <w:r w:rsidRPr="00F559E3">
        <w:rPr>
          <w:rFonts w:ascii="Times New Roman" w:hAnsi="Times New Roman" w:cs="Times New Roman" w:hint="eastAsia"/>
          <w:i/>
          <w:iCs/>
          <w:sz w:val="24"/>
          <w:szCs w:val="24"/>
        </w:rPr>
        <w:t>P</w:t>
      </w:r>
      <w:r w:rsidRPr="00443157">
        <w:rPr>
          <w:rFonts w:ascii="Times New Roman" w:hAnsi="Times New Roman" w:cs="Times New Roman"/>
          <w:sz w:val="24"/>
          <w:szCs w:val="24"/>
        </w:rPr>
        <w:t xml:space="preserve"> &lt; 0.05 versus Ctrl</w:t>
      </w:r>
      <w:r>
        <w:rPr>
          <w:rFonts w:ascii="Times New Roman" w:hAnsi="Times New Roman" w:cs="Times New Roman" w:hint="eastAsia"/>
          <w:sz w:val="24"/>
          <w:szCs w:val="24"/>
        </w:rPr>
        <w:t xml:space="preserve"> group</w:t>
      </w:r>
      <w:r w:rsidRPr="00443157">
        <w:rPr>
          <w:rFonts w:ascii="Times New Roman" w:eastAsia="宋体" w:hAnsi="Times New Roman" w:cs="Times New Roman"/>
          <w:sz w:val="24"/>
          <w:szCs w:val="24"/>
        </w:rPr>
        <w:t>)</w:t>
      </w:r>
      <w:r w:rsidRPr="00443157">
        <w:rPr>
          <w:rFonts w:ascii="Times New Roman" w:hAnsi="Times New Roman" w:cs="Times New Roman"/>
          <w:sz w:val="24"/>
          <w:szCs w:val="24"/>
        </w:rPr>
        <w:t xml:space="preserve">. Cell proliferation ability was detected by </w:t>
      </w:r>
      <w:proofErr w:type="spellStart"/>
      <w:r w:rsidRPr="00443157">
        <w:rPr>
          <w:rFonts w:ascii="Times New Roman" w:hAnsi="Times New Roman" w:cs="Times New Roman"/>
          <w:sz w:val="24"/>
          <w:szCs w:val="24"/>
        </w:rPr>
        <w:t>EdU</w:t>
      </w:r>
      <w:proofErr w:type="spellEnd"/>
      <w:r w:rsidRPr="00443157">
        <w:rPr>
          <w:rFonts w:ascii="Times New Roman" w:hAnsi="Times New Roman" w:cs="Times New Roman"/>
          <w:sz w:val="24"/>
          <w:szCs w:val="24"/>
        </w:rPr>
        <w:t xml:space="preserve"> staining. </w:t>
      </w:r>
      <w:proofErr w:type="spellStart"/>
      <w:r w:rsidRPr="00443157">
        <w:rPr>
          <w:rFonts w:ascii="Times New Roman" w:hAnsi="Times New Roman" w:cs="Times New Roman"/>
          <w:sz w:val="24"/>
          <w:szCs w:val="24"/>
        </w:rPr>
        <w:t>EdU</w:t>
      </w:r>
      <w:proofErr w:type="spellEnd"/>
      <w:r w:rsidRPr="00443157">
        <w:rPr>
          <w:rFonts w:ascii="Times New Roman" w:hAnsi="Times New Roman" w:cs="Times New Roman"/>
          <w:sz w:val="24"/>
          <w:szCs w:val="24"/>
        </w:rPr>
        <w:t xml:space="preserve">, red; DAPI, blue. Scale bar, 20 </w:t>
      </w:r>
      <w:proofErr w:type="spellStart"/>
      <w:r w:rsidRPr="00443157">
        <w:rPr>
          <w:rFonts w:ascii="Times New Roman" w:hAnsi="Times New Roman" w:cs="Times New Roman"/>
          <w:sz w:val="24"/>
          <w:szCs w:val="24"/>
        </w:rPr>
        <w:t>μm</w:t>
      </w:r>
      <w:proofErr w:type="spellEnd"/>
      <w:r w:rsidRPr="00443157">
        <w:rPr>
          <w:rFonts w:ascii="Times New Roman" w:hAnsi="Times New Roman" w:cs="Times New Roman"/>
          <w:sz w:val="24"/>
          <w:szCs w:val="24"/>
        </w:rPr>
        <w:t xml:space="preserve"> (C, n = 4). Cell migration ability was detected by </w:t>
      </w:r>
      <w:proofErr w:type="spellStart"/>
      <w:r w:rsidRPr="00443157">
        <w:rPr>
          <w:rFonts w:ascii="Times New Roman" w:hAnsi="Times New Roman" w:cs="Times New Roman"/>
          <w:sz w:val="24"/>
          <w:szCs w:val="24"/>
        </w:rPr>
        <w:t>transwell</w:t>
      </w:r>
      <w:proofErr w:type="spellEnd"/>
      <w:r w:rsidRPr="00443157">
        <w:rPr>
          <w:rFonts w:ascii="Times New Roman" w:hAnsi="Times New Roman" w:cs="Times New Roman"/>
          <w:sz w:val="24"/>
          <w:szCs w:val="24"/>
        </w:rPr>
        <w:t xml:space="preserve"> assays. Scale bar, 20 </w:t>
      </w:r>
      <w:proofErr w:type="spellStart"/>
      <w:r w:rsidRPr="00443157">
        <w:rPr>
          <w:rFonts w:ascii="Times New Roman" w:hAnsi="Times New Roman" w:cs="Times New Roman"/>
          <w:sz w:val="24"/>
          <w:szCs w:val="24"/>
        </w:rPr>
        <w:t>μm</w:t>
      </w:r>
      <w:proofErr w:type="spellEnd"/>
      <w:r w:rsidRPr="00443157">
        <w:rPr>
          <w:rFonts w:ascii="Times New Roman" w:hAnsi="Times New Roman" w:cs="Times New Roman"/>
          <w:sz w:val="24"/>
          <w:szCs w:val="24"/>
        </w:rPr>
        <w:t xml:space="preserve"> (D, n = 4). </w:t>
      </w:r>
      <w:r w:rsidR="001C495B" w:rsidRPr="001C495B">
        <w:rPr>
          <w:rFonts w:ascii="Times New Roman" w:hAnsi="Times New Roman" w:cs="Times New Roman"/>
          <w:sz w:val="24"/>
          <w:szCs w:val="24"/>
        </w:rPr>
        <w:t xml:space="preserve">The ability of cells to form tubes was evaluated using Matrigel assays. </w:t>
      </w:r>
      <w:r w:rsidRPr="00443157">
        <w:rPr>
          <w:rFonts w:ascii="Times New Roman" w:hAnsi="Times New Roman" w:cs="Times New Roman"/>
          <w:sz w:val="24"/>
          <w:szCs w:val="24"/>
        </w:rPr>
        <w:t xml:space="preserve">Scale bar, 100 </w:t>
      </w:r>
      <w:proofErr w:type="spellStart"/>
      <w:r w:rsidRPr="00443157">
        <w:rPr>
          <w:rFonts w:ascii="Times New Roman" w:hAnsi="Times New Roman" w:cs="Times New Roman"/>
          <w:sz w:val="24"/>
          <w:szCs w:val="24"/>
        </w:rPr>
        <w:t>μm</w:t>
      </w:r>
      <w:proofErr w:type="spellEnd"/>
      <w:r w:rsidRPr="00443157">
        <w:rPr>
          <w:rFonts w:ascii="Times New Roman" w:hAnsi="Times New Roman" w:cs="Times New Roman"/>
          <w:sz w:val="24"/>
          <w:szCs w:val="24"/>
        </w:rPr>
        <w:t xml:space="preserve"> (E, n = 4). Cell sprouting ability was detected by spheroid sprouting assays. Scale bar, 100 </w:t>
      </w:r>
      <w:proofErr w:type="spellStart"/>
      <w:r w:rsidRPr="00443157">
        <w:rPr>
          <w:rFonts w:ascii="Times New Roman" w:hAnsi="Times New Roman" w:cs="Times New Roman"/>
          <w:sz w:val="24"/>
          <w:szCs w:val="24"/>
        </w:rPr>
        <w:t>μm</w:t>
      </w:r>
      <w:proofErr w:type="spellEnd"/>
      <w:r w:rsidRPr="00443157">
        <w:rPr>
          <w:rFonts w:ascii="Times New Roman" w:hAnsi="Times New Roman" w:cs="Times New Roman"/>
          <w:sz w:val="24"/>
          <w:szCs w:val="24"/>
        </w:rPr>
        <w:t xml:space="preserve"> (F, n = 4). The significant difference was evaluated by one-way ANOVA followed by post hoc Bonferroni test.</w:t>
      </w:r>
      <w:r>
        <w:rPr>
          <w:rFonts w:ascii="Times New Roman" w:eastAsia="宋体" w:hAnsi="Times New Roman" w:cs="Times New Roman" w:hint="eastAsia"/>
          <w:sz w:val="24"/>
          <w:szCs w:val="24"/>
        </w:rPr>
        <w:t xml:space="preserve"> </w:t>
      </w:r>
      <w:r w:rsidRPr="00F559E3">
        <w:rPr>
          <w:rFonts w:ascii="Times New Roman" w:hAnsi="Times New Roman" w:cs="Times New Roman"/>
          <w:sz w:val="24"/>
          <w:szCs w:val="24"/>
          <w:vertAlign w:val="superscript"/>
        </w:rPr>
        <w:t>*</w:t>
      </w:r>
      <w:r w:rsidRPr="00F559E3">
        <w:rPr>
          <w:rFonts w:ascii="Times New Roman" w:hAnsi="Times New Roman" w:cs="Times New Roman" w:hint="eastAsia"/>
          <w:i/>
          <w:iCs/>
          <w:sz w:val="24"/>
          <w:szCs w:val="24"/>
        </w:rPr>
        <w:t>P</w:t>
      </w:r>
      <w:r w:rsidRPr="00443157">
        <w:rPr>
          <w:rFonts w:ascii="Times New Roman" w:hAnsi="Times New Roman" w:cs="Times New Roman"/>
          <w:sz w:val="24"/>
          <w:szCs w:val="24"/>
        </w:rPr>
        <w:t xml:space="preserve"> &lt; 0.05 versus Ctrl</w:t>
      </w:r>
      <w:r>
        <w:rPr>
          <w:rFonts w:ascii="Times New Roman" w:hAnsi="Times New Roman" w:cs="Times New Roman" w:hint="eastAsia"/>
          <w:sz w:val="24"/>
          <w:szCs w:val="24"/>
        </w:rPr>
        <w:t xml:space="preserve"> group</w:t>
      </w:r>
      <w:r w:rsidRPr="00443157">
        <w:rPr>
          <w:rFonts w:ascii="Times New Roman" w:hAnsi="Times New Roman" w:cs="Times New Roman"/>
          <w:sz w:val="24"/>
          <w:szCs w:val="24"/>
        </w:rPr>
        <w:t xml:space="preserve">. </w:t>
      </w:r>
    </w:p>
    <w:p w14:paraId="348EBB55" w14:textId="77777777" w:rsidR="001A40EC" w:rsidRDefault="001A40EC" w:rsidP="001A40EC">
      <w:pPr>
        <w:spacing w:line="360" w:lineRule="auto"/>
        <w:rPr>
          <w:rFonts w:ascii="Times New Roman" w:hAnsi="Times New Roman" w:cs="Times New Roman"/>
          <w:noProof/>
          <w:sz w:val="24"/>
          <w:szCs w:val="24"/>
        </w:rPr>
      </w:pPr>
    </w:p>
    <w:p w14:paraId="62B5851E" w14:textId="77777777" w:rsidR="001A40EC" w:rsidRDefault="00AD7818" w:rsidP="001C495B">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29A861D" wp14:editId="2D17EEC3">
            <wp:extent cx="2537791" cy="2216552"/>
            <wp:effectExtent l="0" t="0" r="0" b="0"/>
            <wp:docPr id="19474039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3927" name="图片 1947403927"/>
                    <pic:cNvPicPr/>
                  </pic:nvPicPr>
                  <pic:blipFill rotWithShape="1">
                    <a:blip r:embed="rId8" cstate="print">
                      <a:extLst>
                        <a:ext uri="{28A0092B-C50C-407E-A947-70E740481C1C}">
                          <a14:useLocalDpi xmlns:a14="http://schemas.microsoft.com/office/drawing/2010/main" val="0"/>
                        </a:ext>
                      </a:extLst>
                    </a:blip>
                    <a:srcRect l="11455" t="6911" r="402" b="1806"/>
                    <a:stretch/>
                  </pic:blipFill>
                  <pic:spPr bwMode="auto">
                    <a:xfrm>
                      <a:off x="0" y="0"/>
                      <a:ext cx="2538853" cy="2217479"/>
                    </a:xfrm>
                    <a:prstGeom prst="rect">
                      <a:avLst/>
                    </a:prstGeom>
                    <a:ln>
                      <a:noFill/>
                    </a:ln>
                    <a:extLst>
                      <a:ext uri="{53640926-AAD7-44D8-BBD7-CCE9431645EC}">
                        <a14:shadowObscured xmlns:a14="http://schemas.microsoft.com/office/drawing/2010/main"/>
                      </a:ext>
                    </a:extLst>
                  </pic:spPr>
                </pic:pic>
              </a:graphicData>
            </a:graphic>
          </wp:inline>
        </w:drawing>
      </w:r>
    </w:p>
    <w:p w14:paraId="68C0B68C" w14:textId="77777777" w:rsidR="001C495B" w:rsidRPr="001C495B" w:rsidRDefault="001A40EC" w:rsidP="00E24ADE">
      <w:pPr>
        <w:rPr>
          <w:rFonts w:ascii="Times New Roman" w:eastAsia="宋体" w:hAnsi="Times New Roman" w:cs="Times New Roman"/>
          <w:b/>
          <w:sz w:val="24"/>
          <w:szCs w:val="24"/>
        </w:rPr>
      </w:pPr>
      <w:r w:rsidRPr="001C495B">
        <w:rPr>
          <w:rFonts w:ascii="Times New Roman" w:hAnsi="Times New Roman" w:cs="Times New Roman"/>
          <w:b/>
          <w:sz w:val="24"/>
          <w:szCs w:val="24"/>
        </w:rPr>
        <w:t xml:space="preserve">Figure S3. </w:t>
      </w:r>
      <w:proofErr w:type="spellStart"/>
      <w:r w:rsidRPr="001C495B">
        <w:rPr>
          <w:rFonts w:ascii="Times New Roman" w:hAnsi="Times New Roman" w:cs="Times New Roman"/>
          <w:b/>
          <w:sz w:val="24"/>
          <w:szCs w:val="24"/>
        </w:rPr>
        <w:t>Shikinon</w:t>
      </w:r>
      <w:proofErr w:type="spellEnd"/>
      <w:r w:rsidRPr="001C495B">
        <w:rPr>
          <w:rFonts w:ascii="Times New Roman" w:hAnsi="Times New Roman" w:cs="Times New Roman"/>
          <w:b/>
          <w:sz w:val="24"/>
          <w:szCs w:val="24"/>
        </w:rPr>
        <w:t xml:space="preserve"> </w:t>
      </w:r>
      <w:r w:rsidRPr="001C495B">
        <w:rPr>
          <w:rFonts w:ascii="Times New Roman" w:eastAsia="宋体" w:hAnsi="Times New Roman" w:cs="Times New Roman"/>
          <w:b/>
          <w:sz w:val="24"/>
          <w:szCs w:val="24"/>
        </w:rPr>
        <w:t xml:space="preserve">regulates HLEC function </w:t>
      </w:r>
      <w:r w:rsidRPr="001C495B">
        <w:rPr>
          <w:rFonts w:ascii="Times New Roman" w:eastAsia="宋体" w:hAnsi="Times New Roman" w:cs="Times New Roman"/>
          <w:b/>
          <w:i/>
          <w:iCs/>
          <w:sz w:val="24"/>
          <w:szCs w:val="24"/>
        </w:rPr>
        <w:t>in vitro</w:t>
      </w:r>
    </w:p>
    <w:p w14:paraId="44281338" w14:textId="77777777" w:rsidR="001A40EC" w:rsidRDefault="001C495B" w:rsidP="00E24ADE">
      <w:pPr>
        <w:rPr>
          <w:rFonts w:ascii="Times New Roman" w:hAnsi="Times New Roman" w:cs="Times New Roman"/>
          <w:sz w:val="24"/>
          <w:szCs w:val="24"/>
        </w:rPr>
      </w:pPr>
      <w:r w:rsidRPr="001C495B">
        <w:rPr>
          <w:rFonts w:ascii="Times New Roman" w:hAnsi="Times New Roman" w:cs="Times New Roman"/>
          <w:sz w:val="24"/>
          <w:szCs w:val="24"/>
        </w:rPr>
        <w:t xml:space="preserve">Cell viability was assessed using CCK-8 assays after pretreating cells with various concentrations of </w:t>
      </w:r>
      <w:proofErr w:type="spellStart"/>
      <w:r w:rsidRPr="001C495B">
        <w:rPr>
          <w:rFonts w:ascii="Times New Roman" w:hAnsi="Times New Roman" w:cs="Times New Roman"/>
          <w:sz w:val="24"/>
          <w:szCs w:val="24"/>
        </w:rPr>
        <w:t>Shikinon</w:t>
      </w:r>
      <w:proofErr w:type="spellEnd"/>
      <w:r w:rsidRPr="001C495B">
        <w:rPr>
          <w:rFonts w:ascii="Times New Roman" w:hAnsi="Times New Roman" w:cs="Times New Roman"/>
          <w:sz w:val="24"/>
          <w:szCs w:val="24"/>
        </w:rPr>
        <w:t xml:space="preserve"> (</w:t>
      </w:r>
      <w:r w:rsidR="001A40EC" w:rsidRPr="00F559E3">
        <w:rPr>
          <w:rFonts w:ascii="Times New Roman" w:hAnsi="Times New Roman" w:cs="Times New Roman"/>
          <w:sz w:val="24"/>
          <w:szCs w:val="24"/>
        </w:rPr>
        <w:t>n = 4, one-way ANOVA followed by Bonferroni test</w:t>
      </w:r>
      <w:r w:rsidR="001A40EC">
        <w:rPr>
          <w:rFonts w:ascii="Times New Roman" w:hAnsi="Times New Roman" w:cs="Times New Roman" w:hint="eastAsia"/>
          <w:sz w:val="24"/>
          <w:szCs w:val="24"/>
        </w:rPr>
        <w:t xml:space="preserve">, </w:t>
      </w:r>
      <w:r w:rsidR="001A40EC" w:rsidRPr="00F559E3">
        <w:rPr>
          <w:rFonts w:ascii="Times New Roman" w:hAnsi="Times New Roman" w:cs="Times New Roman"/>
          <w:sz w:val="24"/>
          <w:szCs w:val="24"/>
          <w:vertAlign w:val="superscript"/>
        </w:rPr>
        <w:t>*</w:t>
      </w:r>
      <w:r w:rsidR="001A40EC" w:rsidRPr="00F559E3">
        <w:rPr>
          <w:rFonts w:ascii="Times New Roman" w:hAnsi="Times New Roman" w:cs="Times New Roman" w:hint="eastAsia"/>
          <w:i/>
          <w:iCs/>
          <w:sz w:val="24"/>
          <w:szCs w:val="24"/>
        </w:rPr>
        <w:t>P</w:t>
      </w:r>
      <w:r w:rsidR="001A40EC" w:rsidRPr="00F559E3">
        <w:rPr>
          <w:rFonts w:ascii="Times New Roman" w:hAnsi="Times New Roman" w:cs="Times New Roman"/>
          <w:sz w:val="24"/>
          <w:szCs w:val="24"/>
        </w:rPr>
        <w:t xml:space="preserve"> &lt; 0.05 versus Ctrl</w:t>
      </w:r>
      <w:r w:rsidR="001A40EC">
        <w:rPr>
          <w:rFonts w:ascii="Times New Roman" w:hAnsi="Times New Roman" w:cs="Times New Roman" w:hint="eastAsia"/>
          <w:sz w:val="24"/>
          <w:szCs w:val="24"/>
        </w:rPr>
        <w:t xml:space="preserve"> group</w:t>
      </w:r>
      <w:r w:rsidR="001A40EC" w:rsidRPr="00F559E3">
        <w:rPr>
          <w:rFonts w:ascii="Times New Roman" w:hAnsi="Times New Roman" w:cs="Times New Roman"/>
          <w:sz w:val="24"/>
          <w:szCs w:val="24"/>
        </w:rPr>
        <w:t>).</w:t>
      </w:r>
    </w:p>
    <w:p w14:paraId="01B3EEFB" w14:textId="77777777" w:rsidR="00B77F69" w:rsidRDefault="00B77F69" w:rsidP="00E24ADE">
      <w:pPr>
        <w:rPr>
          <w:rFonts w:ascii="Times New Roman" w:hAnsi="Times New Roman" w:cs="Times New Roman"/>
          <w:sz w:val="24"/>
          <w:szCs w:val="24"/>
        </w:rPr>
      </w:pPr>
    </w:p>
    <w:p w14:paraId="354E7BCB" w14:textId="77777777" w:rsidR="00B77F69" w:rsidRDefault="00B77F69" w:rsidP="00E24ADE">
      <w:pPr>
        <w:rPr>
          <w:rFonts w:ascii="Times New Roman" w:hAnsi="Times New Roman" w:cs="Times New Roman"/>
          <w:sz w:val="24"/>
          <w:szCs w:val="24"/>
        </w:rPr>
      </w:pPr>
    </w:p>
    <w:p w14:paraId="723721D3" w14:textId="77777777" w:rsidR="00B77F69" w:rsidRDefault="00B77F69" w:rsidP="00E24ADE">
      <w:pPr>
        <w:rPr>
          <w:rFonts w:ascii="Times New Roman" w:hAnsi="Times New Roman" w:cs="Times New Roman"/>
          <w:sz w:val="24"/>
          <w:szCs w:val="24"/>
        </w:rPr>
      </w:pPr>
    </w:p>
    <w:p w14:paraId="151BE4BF" w14:textId="77777777" w:rsidR="00B77F69" w:rsidRDefault="00B77F69" w:rsidP="00E24ADE">
      <w:pPr>
        <w:rPr>
          <w:rFonts w:ascii="Times New Roman" w:hAnsi="Times New Roman" w:cs="Times New Roman"/>
          <w:sz w:val="24"/>
          <w:szCs w:val="24"/>
        </w:rPr>
      </w:pPr>
    </w:p>
    <w:p w14:paraId="61F599B0" w14:textId="77777777" w:rsidR="00B77F69" w:rsidRDefault="00B77F69" w:rsidP="00E24ADE">
      <w:pPr>
        <w:rPr>
          <w:rFonts w:ascii="Times New Roman" w:hAnsi="Times New Roman" w:cs="Times New Roman"/>
          <w:sz w:val="24"/>
          <w:szCs w:val="24"/>
        </w:rPr>
      </w:pPr>
    </w:p>
    <w:p w14:paraId="3036FC9C" w14:textId="77777777" w:rsidR="00B77F69" w:rsidRDefault="00B77F69" w:rsidP="00E24ADE">
      <w:pPr>
        <w:rPr>
          <w:rFonts w:ascii="Times New Roman" w:hAnsi="Times New Roman" w:cs="Times New Roman"/>
          <w:sz w:val="24"/>
          <w:szCs w:val="24"/>
        </w:rPr>
      </w:pPr>
    </w:p>
    <w:p w14:paraId="4CD5DB84" w14:textId="77777777" w:rsidR="00B77F69" w:rsidRDefault="00B77F69" w:rsidP="00E24ADE">
      <w:pPr>
        <w:rPr>
          <w:rFonts w:ascii="Times New Roman" w:hAnsi="Times New Roman" w:cs="Times New Roman"/>
          <w:sz w:val="24"/>
          <w:szCs w:val="24"/>
        </w:rPr>
      </w:pPr>
    </w:p>
    <w:p w14:paraId="6855DAFF" w14:textId="77777777" w:rsidR="00B77F69" w:rsidRDefault="00B77F69" w:rsidP="00E24ADE">
      <w:pPr>
        <w:rPr>
          <w:rFonts w:ascii="Times New Roman" w:hAnsi="Times New Roman" w:cs="Times New Roman"/>
          <w:sz w:val="24"/>
          <w:szCs w:val="24"/>
        </w:rPr>
      </w:pPr>
    </w:p>
    <w:p w14:paraId="05EFE247" w14:textId="77777777" w:rsidR="00B77F69" w:rsidRDefault="00B77F69" w:rsidP="00E24ADE">
      <w:pPr>
        <w:rPr>
          <w:rFonts w:ascii="Times New Roman" w:hAnsi="Times New Roman" w:cs="Times New Roman"/>
          <w:sz w:val="24"/>
          <w:szCs w:val="24"/>
        </w:rPr>
      </w:pPr>
    </w:p>
    <w:p w14:paraId="4C3DC3C3" w14:textId="77777777" w:rsidR="00B77F69" w:rsidRDefault="00B77F69" w:rsidP="00E24ADE">
      <w:pPr>
        <w:rPr>
          <w:rFonts w:ascii="Times New Roman" w:hAnsi="Times New Roman" w:cs="Times New Roman"/>
          <w:sz w:val="24"/>
          <w:szCs w:val="24"/>
        </w:rPr>
      </w:pPr>
    </w:p>
    <w:p w14:paraId="2AE3E622" w14:textId="77777777" w:rsidR="00B77F69" w:rsidRDefault="00B77F69" w:rsidP="00E24ADE">
      <w:pPr>
        <w:rPr>
          <w:rFonts w:ascii="Times New Roman" w:hAnsi="Times New Roman" w:cs="Times New Roman"/>
          <w:sz w:val="24"/>
          <w:szCs w:val="24"/>
        </w:rPr>
      </w:pPr>
    </w:p>
    <w:p w14:paraId="218AB1C0" w14:textId="77777777" w:rsidR="00B77F69" w:rsidRDefault="00B77F69" w:rsidP="00E24ADE">
      <w:pPr>
        <w:rPr>
          <w:rFonts w:ascii="Times New Roman" w:hAnsi="Times New Roman" w:cs="Times New Roman"/>
          <w:sz w:val="24"/>
          <w:szCs w:val="24"/>
        </w:rPr>
      </w:pPr>
    </w:p>
    <w:p w14:paraId="6FA4F794" w14:textId="77777777" w:rsidR="00B77F69" w:rsidRDefault="00B77F69" w:rsidP="00E24ADE">
      <w:pPr>
        <w:rPr>
          <w:rFonts w:ascii="Times New Roman" w:hAnsi="Times New Roman" w:cs="Times New Roman"/>
          <w:sz w:val="24"/>
          <w:szCs w:val="24"/>
        </w:rPr>
      </w:pPr>
    </w:p>
    <w:p w14:paraId="68B3E46E" w14:textId="77777777" w:rsidR="00B77F69" w:rsidRDefault="00B77F69" w:rsidP="00E24ADE">
      <w:pPr>
        <w:rPr>
          <w:rFonts w:ascii="Times New Roman" w:hAnsi="Times New Roman" w:cs="Times New Roman"/>
          <w:sz w:val="24"/>
          <w:szCs w:val="24"/>
        </w:rPr>
      </w:pPr>
    </w:p>
    <w:p w14:paraId="7164FF3C" w14:textId="77777777" w:rsidR="00B77F69" w:rsidRDefault="00B77F69" w:rsidP="00E24ADE">
      <w:pPr>
        <w:rPr>
          <w:rFonts w:ascii="Times New Roman" w:hAnsi="Times New Roman" w:cs="Times New Roman"/>
          <w:sz w:val="24"/>
          <w:szCs w:val="24"/>
        </w:rPr>
      </w:pPr>
    </w:p>
    <w:p w14:paraId="0E02BD8C" w14:textId="77777777" w:rsidR="00B77F69" w:rsidRDefault="00B77F69" w:rsidP="00E24ADE">
      <w:pPr>
        <w:rPr>
          <w:rFonts w:ascii="Times New Roman" w:hAnsi="Times New Roman" w:cs="Times New Roman"/>
          <w:sz w:val="24"/>
          <w:szCs w:val="24"/>
        </w:rPr>
      </w:pPr>
    </w:p>
    <w:p w14:paraId="00D05949" w14:textId="77777777" w:rsidR="00B77F69" w:rsidRDefault="00B77F69" w:rsidP="00E24ADE">
      <w:pPr>
        <w:rPr>
          <w:rFonts w:ascii="Times New Roman" w:hAnsi="Times New Roman" w:cs="Times New Roman"/>
          <w:sz w:val="24"/>
          <w:szCs w:val="24"/>
        </w:rPr>
      </w:pPr>
    </w:p>
    <w:p w14:paraId="525CF3C4" w14:textId="77777777" w:rsidR="00B77F69" w:rsidRDefault="00B77F69" w:rsidP="00E24ADE">
      <w:pPr>
        <w:rPr>
          <w:rFonts w:ascii="Times New Roman" w:hAnsi="Times New Roman" w:cs="Times New Roman"/>
          <w:sz w:val="24"/>
          <w:szCs w:val="24"/>
        </w:rPr>
      </w:pPr>
    </w:p>
    <w:p w14:paraId="54798076" w14:textId="77777777" w:rsidR="00B77F69" w:rsidRDefault="00B77F69" w:rsidP="00E24ADE">
      <w:pPr>
        <w:rPr>
          <w:rFonts w:ascii="Times New Roman" w:hAnsi="Times New Roman" w:cs="Times New Roman"/>
          <w:sz w:val="24"/>
          <w:szCs w:val="24"/>
        </w:rPr>
      </w:pPr>
    </w:p>
    <w:p w14:paraId="06040608" w14:textId="77777777" w:rsidR="00B77F69" w:rsidRDefault="00B77F69" w:rsidP="00E24ADE">
      <w:pPr>
        <w:rPr>
          <w:rFonts w:ascii="Times New Roman" w:hAnsi="Times New Roman" w:cs="Times New Roman"/>
          <w:sz w:val="24"/>
          <w:szCs w:val="24"/>
        </w:rPr>
      </w:pPr>
    </w:p>
    <w:p w14:paraId="2A2ACD8D" w14:textId="77777777" w:rsidR="00B77F69" w:rsidRDefault="00B77F69" w:rsidP="00E24ADE">
      <w:pPr>
        <w:rPr>
          <w:rFonts w:ascii="Times New Roman" w:hAnsi="Times New Roman" w:cs="Times New Roman"/>
          <w:sz w:val="24"/>
          <w:szCs w:val="24"/>
        </w:rPr>
      </w:pPr>
    </w:p>
    <w:p w14:paraId="28D4248A" w14:textId="77777777" w:rsidR="00B77F69" w:rsidRDefault="00B77F69" w:rsidP="00E24ADE">
      <w:pPr>
        <w:rPr>
          <w:rFonts w:ascii="Times New Roman" w:hAnsi="Times New Roman" w:cs="Times New Roman"/>
          <w:sz w:val="24"/>
          <w:szCs w:val="24"/>
        </w:rPr>
      </w:pPr>
    </w:p>
    <w:p w14:paraId="76BA11B7" w14:textId="77777777" w:rsidR="00B77F69" w:rsidRDefault="00B77F69" w:rsidP="00E24ADE">
      <w:pPr>
        <w:rPr>
          <w:rFonts w:ascii="Times New Roman" w:hAnsi="Times New Roman" w:cs="Times New Roman"/>
          <w:sz w:val="24"/>
          <w:szCs w:val="24"/>
        </w:rPr>
      </w:pPr>
    </w:p>
    <w:p w14:paraId="3ED8DC71" w14:textId="77777777" w:rsidR="00B77F69" w:rsidRDefault="00B77F69" w:rsidP="00E24ADE">
      <w:pPr>
        <w:rPr>
          <w:rFonts w:ascii="Times New Roman" w:hAnsi="Times New Roman" w:cs="Times New Roman"/>
          <w:sz w:val="24"/>
          <w:szCs w:val="24"/>
        </w:rPr>
      </w:pPr>
    </w:p>
    <w:p w14:paraId="7713C3FD" w14:textId="77777777" w:rsidR="00B77F69" w:rsidRDefault="00B77F69" w:rsidP="00E24ADE">
      <w:pPr>
        <w:rPr>
          <w:rFonts w:ascii="Times New Roman" w:hAnsi="Times New Roman" w:cs="Times New Roman"/>
          <w:sz w:val="24"/>
          <w:szCs w:val="24"/>
        </w:rPr>
      </w:pPr>
    </w:p>
    <w:p w14:paraId="1D236E95" w14:textId="77777777" w:rsidR="00B77F69" w:rsidRDefault="00B77F69" w:rsidP="00E24ADE">
      <w:pPr>
        <w:rPr>
          <w:rFonts w:ascii="Times New Roman" w:hAnsi="Times New Roman" w:cs="Times New Roman"/>
          <w:sz w:val="24"/>
          <w:szCs w:val="24"/>
        </w:rPr>
      </w:pPr>
    </w:p>
    <w:p w14:paraId="4592CD9C" w14:textId="77777777" w:rsidR="00B77F69" w:rsidRDefault="00B77F69" w:rsidP="00E24ADE">
      <w:pPr>
        <w:rPr>
          <w:rFonts w:ascii="Times New Roman" w:hAnsi="Times New Roman" w:cs="Times New Roman"/>
          <w:sz w:val="24"/>
          <w:szCs w:val="24"/>
        </w:rPr>
      </w:pPr>
    </w:p>
    <w:p w14:paraId="4BBE030E" w14:textId="77777777" w:rsidR="00B77F69" w:rsidRDefault="00B77F69" w:rsidP="00E24ADE">
      <w:pPr>
        <w:rPr>
          <w:rFonts w:ascii="Times New Roman" w:hAnsi="Times New Roman" w:cs="Times New Roman"/>
          <w:sz w:val="24"/>
          <w:szCs w:val="24"/>
        </w:rPr>
      </w:pPr>
    </w:p>
    <w:p w14:paraId="002DF3C7" w14:textId="77777777" w:rsidR="00B77F69" w:rsidRPr="00387DD6" w:rsidRDefault="00B77F69" w:rsidP="00B77F69">
      <w:pPr>
        <w:rPr>
          <w:rFonts w:ascii="Times New Roman" w:hAnsi="Times New Roman" w:cs="Times New Roman"/>
          <w:b/>
          <w:bCs/>
          <w:sz w:val="24"/>
          <w:szCs w:val="24"/>
        </w:rPr>
      </w:pPr>
      <w:r w:rsidRPr="00387DD6">
        <w:rPr>
          <w:rFonts w:ascii="Times New Roman" w:hAnsi="Times New Roman" w:cs="Times New Roman"/>
          <w:b/>
          <w:bCs/>
          <w:sz w:val="24"/>
          <w:szCs w:val="24"/>
        </w:rPr>
        <w:lastRenderedPageBreak/>
        <w:t xml:space="preserve">Table S1 </w:t>
      </w:r>
      <w:r>
        <w:rPr>
          <w:rFonts w:ascii="Times New Roman" w:hAnsi="Times New Roman" w:cs="Times New Roman" w:hint="eastAsia"/>
          <w:b/>
          <w:bCs/>
          <w:sz w:val="24"/>
          <w:szCs w:val="24"/>
        </w:rPr>
        <w:t xml:space="preserve">  </w:t>
      </w:r>
      <w:r w:rsidRPr="00387DD6">
        <w:rPr>
          <w:rFonts w:ascii="Times New Roman" w:hAnsi="Times New Roman" w:cs="Times New Roman"/>
          <w:b/>
          <w:bCs/>
          <w:sz w:val="24"/>
          <w:szCs w:val="24"/>
        </w:rPr>
        <w:t>Primers in this study</w:t>
      </w:r>
    </w:p>
    <w:tbl>
      <w:tblPr>
        <w:tblStyle w:val="a7"/>
        <w:tblW w:w="923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123"/>
        <w:gridCol w:w="4043"/>
      </w:tblGrid>
      <w:tr w:rsidR="00B77F69" w14:paraId="4FEF5ED2" w14:textId="77777777" w:rsidTr="00765FA5">
        <w:trPr>
          <w:jc w:val="center"/>
        </w:trPr>
        <w:tc>
          <w:tcPr>
            <w:tcW w:w="1276" w:type="dxa"/>
            <w:tcBorders>
              <w:top w:val="single" w:sz="4" w:space="0" w:color="auto"/>
              <w:bottom w:val="single" w:sz="4" w:space="0" w:color="auto"/>
            </w:tcBorders>
          </w:tcPr>
          <w:p w14:paraId="7DEDBC95" w14:textId="77777777" w:rsidR="00B77F69" w:rsidRPr="00F66DF6" w:rsidRDefault="00B77F69" w:rsidP="00765FA5">
            <w:pPr>
              <w:spacing w:line="360" w:lineRule="auto"/>
              <w:rPr>
                <w:rFonts w:ascii="Times New Roman" w:hAnsi="Times New Roman" w:cs="Times New Roman"/>
                <w:b/>
                <w:bCs/>
                <w:sz w:val="24"/>
                <w:szCs w:val="24"/>
              </w:rPr>
            </w:pPr>
            <w:r w:rsidRPr="00F66DF6">
              <w:rPr>
                <w:rFonts w:ascii="Times New Roman" w:hAnsi="Times New Roman" w:cs="Times New Roman"/>
                <w:b/>
                <w:bCs/>
                <w:sz w:val="24"/>
                <w:szCs w:val="24"/>
              </w:rPr>
              <w:t>Gene</w:t>
            </w:r>
          </w:p>
        </w:tc>
        <w:tc>
          <w:tcPr>
            <w:tcW w:w="3917" w:type="dxa"/>
            <w:tcBorders>
              <w:top w:val="single" w:sz="4" w:space="0" w:color="auto"/>
              <w:bottom w:val="single" w:sz="4" w:space="0" w:color="auto"/>
            </w:tcBorders>
          </w:tcPr>
          <w:p w14:paraId="24688F2D" w14:textId="77777777" w:rsidR="00B77F69" w:rsidRPr="00F66DF6" w:rsidRDefault="00B77F69" w:rsidP="00765FA5">
            <w:pPr>
              <w:spacing w:line="360" w:lineRule="auto"/>
              <w:rPr>
                <w:rFonts w:ascii="Times New Roman" w:hAnsi="Times New Roman" w:cs="Times New Roman"/>
                <w:b/>
                <w:bCs/>
                <w:sz w:val="24"/>
                <w:szCs w:val="24"/>
              </w:rPr>
            </w:pPr>
            <w:r w:rsidRPr="00F66DF6">
              <w:rPr>
                <w:rFonts w:ascii="Times New Roman" w:hAnsi="Times New Roman" w:cs="Times New Roman"/>
                <w:b/>
                <w:bCs/>
                <w:sz w:val="24"/>
                <w:szCs w:val="24"/>
              </w:rPr>
              <w:t>Reverse primer (5'→3')</w:t>
            </w:r>
          </w:p>
        </w:tc>
        <w:tc>
          <w:tcPr>
            <w:tcW w:w="4043" w:type="dxa"/>
            <w:tcBorders>
              <w:top w:val="single" w:sz="4" w:space="0" w:color="auto"/>
              <w:bottom w:val="single" w:sz="4" w:space="0" w:color="auto"/>
            </w:tcBorders>
          </w:tcPr>
          <w:p w14:paraId="5A497A8D" w14:textId="77777777" w:rsidR="00B77F69" w:rsidRPr="00F66DF6" w:rsidRDefault="00B77F69" w:rsidP="00765FA5">
            <w:pPr>
              <w:spacing w:line="360" w:lineRule="auto"/>
              <w:rPr>
                <w:rFonts w:ascii="Times New Roman" w:hAnsi="Times New Roman" w:cs="Times New Roman"/>
                <w:b/>
                <w:bCs/>
                <w:sz w:val="24"/>
                <w:szCs w:val="24"/>
              </w:rPr>
            </w:pPr>
            <w:r w:rsidRPr="00F66DF6">
              <w:rPr>
                <w:rFonts w:ascii="Times New Roman" w:hAnsi="Times New Roman" w:cs="Times New Roman"/>
                <w:b/>
                <w:bCs/>
                <w:sz w:val="24"/>
                <w:szCs w:val="24"/>
              </w:rPr>
              <w:t>Reverse primer (5'→3')</w:t>
            </w:r>
          </w:p>
        </w:tc>
      </w:tr>
      <w:tr w:rsidR="00B77F69" w:rsidRPr="00F66DF6" w14:paraId="779B0B36" w14:textId="77777777" w:rsidTr="00765FA5">
        <w:trPr>
          <w:trHeight w:val="278"/>
          <w:jc w:val="center"/>
        </w:trPr>
        <w:tc>
          <w:tcPr>
            <w:tcW w:w="1276" w:type="dxa"/>
            <w:tcBorders>
              <w:top w:val="single" w:sz="4" w:space="0" w:color="auto"/>
            </w:tcBorders>
            <w:noWrap/>
            <w:hideMark/>
          </w:tcPr>
          <w:p w14:paraId="2D1571D6"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ANG</w:t>
            </w:r>
          </w:p>
        </w:tc>
        <w:tc>
          <w:tcPr>
            <w:tcW w:w="3917" w:type="dxa"/>
            <w:tcBorders>
              <w:top w:val="single" w:sz="4" w:space="0" w:color="auto"/>
            </w:tcBorders>
            <w:noWrap/>
            <w:hideMark/>
          </w:tcPr>
          <w:p w14:paraId="2ABCE686"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AGGTGTCTTGCCCCTATGAC</w:t>
            </w:r>
          </w:p>
        </w:tc>
        <w:tc>
          <w:tcPr>
            <w:tcW w:w="4043" w:type="dxa"/>
            <w:tcBorders>
              <w:top w:val="single" w:sz="4" w:space="0" w:color="auto"/>
            </w:tcBorders>
            <w:noWrap/>
            <w:hideMark/>
          </w:tcPr>
          <w:p w14:paraId="2BE47CF8"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ATCGTCTGTGATGGCTGTGC</w:t>
            </w:r>
          </w:p>
        </w:tc>
      </w:tr>
      <w:tr w:rsidR="00B77F69" w:rsidRPr="00F66DF6" w14:paraId="5366E376" w14:textId="77777777" w:rsidTr="00765FA5">
        <w:trPr>
          <w:trHeight w:val="278"/>
          <w:jc w:val="center"/>
        </w:trPr>
        <w:tc>
          <w:tcPr>
            <w:tcW w:w="1276" w:type="dxa"/>
            <w:noWrap/>
            <w:hideMark/>
          </w:tcPr>
          <w:p w14:paraId="1209FDA6"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Dicer</w:t>
            </w:r>
          </w:p>
        </w:tc>
        <w:tc>
          <w:tcPr>
            <w:tcW w:w="3917" w:type="dxa"/>
            <w:noWrap/>
            <w:hideMark/>
          </w:tcPr>
          <w:p w14:paraId="2454737E"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AGACTGTCGTGCCGTATTGG</w:t>
            </w:r>
          </w:p>
        </w:tc>
        <w:tc>
          <w:tcPr>
            <w:tcW w:w="4043" w:type="dxa"/>
            <w:noWrap/>
            <w:hideMark/>
          </w:tcPr>
          <w:p w14:paraId="56DF665D"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TTCCTGTGCAGCTCCTCTTG</w:t>
            </w:r>
          </w:p>
        </w:tc>
      </w:tr>
      <w:tr w:rsidR="00B77F69" w:rsidRPr="00F66DF6" w14:paraId="7350A49F" w14:textId="77777777" w:rsidTr="00765FA5">
        <w:trPr>
          <w:trHeight w:val="278"/>
          <w:jc w:val="center"/>
        </w:trPr>
        <w:tc>
          <w:tcPr>
            <w:tcW w:w="1276" w:type="dxa"/>
            <w:noWrap/>
            <w:hideMark/>
          </w:tcPr>
          <w:p w14:paraId="2D31125D"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PKM2</w:t>
            </w:r>
          </w:p>
        </w:tc>
        <w:tc>
          <w:tcPr>
            <w:tcW w:w="3917" w:type="dxa"/>
            <w:noWrap/>
            <w:hideMark/>
          </w:tcPr>
          <w:p w14:paraId="4E9A5439"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ATGTCGAAGCCCCATAGTGAA</w:t>
            </w:r>
          </w:p>
        </w:tc>
        <w:tc>
          <w:tcPr>
            <w:tcW w:w="4043" w:type="dxa"/>
            <w:noWrap/>
            <w:hideMark/>
          </w:tcPr>
          <w:p w14:paraId="119DF1C4"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TGGGTGGTGAATCAATGTCCA</w:t>
            </w:r>
          </w:p>
        </w:tc>
      </w:tr>
      <w:tr w:rsidR="00B77F69" w:rsidRPr="00F66DF6" w14:paraId="07A013FB" w14:textId="77777777" w:rsidTr="00765FA5">
        <w:trPr>
          <w:trHeight w:val="278"/>
          <w:jc w:val="center"/>
        </w:trPr>
        <w:tc>
          <w:tcPr>
            <w:tcW w:w="1276" w:type="dxa"/>
            <w:noWrap/>
            <w:hideMark/>
          </w:tcPr>
          <w:p w14:paraId="77C85F58"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FASN</w:t>
            </w:r>
          </w:p>
        </w:tc>
        <w:tc>
          <w:tcPr>
            <w:tcW w:w="3917" w:type="dxa"/>
            <w:noWrap/>
            <w:hideMark/>
          </w:tcPr>
          <w:p w14:paraId="5CFEAF46"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TGCGTGGCCTTTGAAATGTG</w:t>
            </w:r>
          </w:p>
        </w:tc>
        <w:tc>
          <w:tcPr>
            <w:tcW w:w="4043" w:type="dxa"/>
            <w:noWrap/>
            <w:hideMark/>
          </w:tcPr>
          <w:p w14:paraId="3196F775"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CTCCATGTCCGTGAACTGCT</w:t>
            </w:r>
          </w:p>
        </w:tc>
      </w:tr>
      <w:tr w:rsidR="00B77F69" w:rsidRPr="00F66DF6" w14:paraId="2051826B" w14:textId="77777777" w:rsidTr="00765FA5">
        <w:trPr>
          <w:trHeight w:val="278"/>
          <w:jc w:val="center"/>
        </w:trPr>
        <w:tc>
          <w:tcPr>
            <w:tcW w:w="1276" w:type="dxa"/>
            <w:noWrap/>
            <w:hideMark/>
          </w:tcPr>
          <w:p w14:paraId="232B3ACF"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HK2</w:t>
            </w:r>
          </w:p>
        </w:tc>
        <w:tc>
          <w:tcPr>
            <w:tcW w:w="3917" w:type="dxa"/>
            <w:noWrap/>
            <w:hideMark/>
          </w:tcPr>
          <w:p w14:paraId="4C7BDAA2"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CCTCCCAGCAAGTTTCACCT</w:t>
            </w:r>
          </w:p>
        </w:tc>
        <w:tc>
          <w:tcPr>
            <w:tcW w:w="4043" w:type="dxa"/>
            <w:noWrap/>
            <w:hideMark/>
          </w:tcPr>
          <w:p w14:paraId="467F64F9"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ATTTTAGGACAGAGGCGGGC</w:t>
            </w:r>
          </w:p>
        </w:tc>
      </w:tr>
      <w:tr w:rsidR="00B77F69" w:rsidRPr="00F66DF6" w14:paraId="48BB440A" w14:textId="77777777" w:rsidTr="00765FA5">
        <w:trPr>
          <w:trHeight w:val="278"/>
          <w:jc w:val="center"/>
        </w:trPr>
        <w:tc>
          <w:tcPr>
            <w:tcW w:w="1276" w:type="dxa"/>
            <w:noWrap/>
            <w:hideMark/>
          </w:tcPr>
          <w:p w14:paraId="7205142A"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PFKFB3</w:t>
            </w:r>
          </w:p>
        </w:tc>
        <w:tc>
          <w:tcPr>
            <w:tcW w:w="3917" w:type="dxa"/>
            <w:noWrap/>
            <w:hideMark/>
          </w:tcPr>
          <w:p w14:paraId="47E39288"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AATGCCCTCTTCACACCGTC</w:t>
            </w:r>
          </w:p>
        </w:tc>
        <w:tc>
          <w:tcPr>
            <w:tcW w:w="4043" w:type="dxa"/>
            <w:noWrap/>
            <w:hideMark/>
          </w:tcPr>
          <w:p w14:paraId="00794E3E"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ACGGACTCCACGTTCAGGTA</w:t>
            </w:r>
          </w:p>
        </w:tc>
      </w:tr>
      <w:tr w:rsidR="00B77F69" w:rsidRPr="00F66DF6" w14:paraId="4451FA60" w14:textId="77777777" w:rsidTr="00765FA5">
        <w:trPr>
          <w:trHeight w:val="278"/>
          <w:jc w:val="center"/>
        </w:trPr>
        <w:tc>
          <w:tcPr>
            <w:tcW w:w="1276" w:type="dxa"/>
            <w:noWrap/>
            <w:hideMark/>
          </w:tcPr>
          <w:p w14:paraId="532E1138"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AGO2</w:t>
            </w:r>
          </w:p>
        </w:tc>
        <w:tc>
          <w:tcPr>
            <w:tcW w:w="3917" w:type="dxa"/>
            <w:noWrap/>
            <w:hideMark/>
          </w:tcPr>
          <w:p w14:paraId="295771A1"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ACAGCCAGCATCGAACATGA</w:t>
            </w:r>
          </w:p>
        </w:tc>
        <w:tc>
          <w:tcPr>
            <w:tcW w:w="4043" w:type="dxa"/>
            <w:noWrap/>
            <w:hideMark/>
          </w:tcPr>
          <w:p w14:paraId="1AAEF0A0"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GAAATCTGGGACGGAAGGCA</w:t>
            </w:r>
          </w:p>
        </w:tc>
      </w:tr>
      <w:tr w:rsidR="00B77F69" w:rsidRPr="00F66DF6" w14:paraId="38D63D1F" w14:textId="77777777" w:rsidTr="00765FA5">
        <w:trPr>
          <w:trHeight w:val="278"/>
          <w:jc w:val="center"/>
        </w:trPr>
        <w:tc>
          <w:tcPr>
            <w:tcW w:w="1276" w:type="dxa"/>
            <w:tcBorders>
              <w:bottom w:val="single" w:sz="4" w:space="0" w:color="auto"/>
            </w:tcBorders>
            <w:noWrap/>
            <w:hideMark/>
          </w:tcPr>
          <w:p w14:paraId="17FEFCF5"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β-actin</w:t>
            </w:r>
          </w:p>
        </w:tc>
        <w:tc>
          <w:tcPr>
            <w:tcW w:w="3917" w:type="dxa"/>
            <w:tcBorders>
              <w:bottom w:val="single" w:sz="4" w:space="0" w:color="auto"/>
            </w:tcBorders>
            <w:noWrap/>
            <w:hideMark/>
          </w:tcPr>
          <w:p w14:paraId="2C3B12CE"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CTACCTCATGAAGATCCTCACCGA</w:t>
            </w:r>
          </w:p>
        </w:tc>
        <w:tc>
          <w:tcPr>
            <w:tcW w:w="4043" w:type="dxa"/>
            <w:tcBorders>
              <w:bottom w:val="single" w:sz="4" w:space="0" w:color="auto"/>
            </w:tcBorders>
            <w:noWrap/>
            <w:hideMark/>
          </w:tcPr>
          <w:p w14:paraId="714D2D78"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TTCTCCTTAATGTCACGCACGATT</w:t>
            </w:r>
          </w:p>
        </w:tc>
      </w:tr>
    </w:tbl>
    <w:p w14:paraId="0DF390BA" w14:textId="77777777" w:rsidR="00B77F69" w:rsidRDefault="00B77F69" w:rsidP="00B77F69"/>
    <w:p w14:paraId="5403E777" w14:textId="77777777" w:rsidR="00B77F69" w:rsidRDefault="00B77F69" w:rsidP="00B77F69"/>
    <w:p w14:paraId="34D3AD67" w14:textId="77777777" w:rsidR="00B77F69" w:rsidRPr="00387DD6" w:rsidRDefault="00B77F69" w:rsidP="00B77F69">
      <w:pPr>
        <w:rPr>
          <w:rFonts w:ascii="Times New Roman" w:hAnsi="Times New Roman" w:cs="Times New Roman"/>
          <w:b/>
          <w:bCs/>
          <w:sz w:val="24"/>
          <w:szCs w:val="24"/>
        </w:rPr>
      </w:pPr>
      <w:r w:rsidRPr="00387DD6">
        <w:rPr>
          <w:rFonts w:ascii="Times New Roman" w:hAnsi="Times New Roman" w:cs="Times New Roman"/>
          <w:b/>
          <w:bCs/>
          <w:sz w:val="24"/>
          <w:szCs w:val="24"/>
        </w:rPr>
        <w:t>Table S</w:t>
      </w:r>
      <w:r>
        <w:rPr>
          <w:rFonts w:ascii="Times New Roman" w:hAnsi="Times New Roman" w:cs="Times New Roman" w:hint="eastAsia"/>
          <w:b/>
          <w:bCs/>
          <w:sz w:val="24"/>
          <w:szCs w:val="24"/>
        </w:rPr>
        <w:t>2</w:t>
      </w:r>
      <w:r w:rsidRPr="00387DD6">
        <w:rPr>
          <w:rFonts w:ascii="Times New Roman" w:hAnsi="Times New Roman" w:cs="Times New Roman"/>
          <w:b/>
          <w:bCs/>
          <w:sz w:val="24"/>
          <w:szCs w:val="24"/>
        </w:rPr>
        <w:t xml:space="preserve"> </w:t>
      </w:r>
      <w:r>
        <w:rPr>
          <w:rFonts w:ascii="Times New Roman" w:hAnsi="Times New Roman" w:cs="Times New Roman" w:hint="eastAsia"/>
          <w:b/>
          <w:bCs/>
          <w:sz w:val="24"/>
          <w:szCs w:val="24"/>
        </w:rPr>
        <w:t xml:space="preserve">  Antibodie</w:t>
      </w:r>
      <w:r w:rsidRPr="00387DD6">
        <w:rPr>
          <w:rFonts w:ascii="Times New Roman" w:hAnsi="Times New Roman" w:cs="Times New Roman"/>
          <w:b/>
          <w:bCs/>
          <w:sz w:val="24"/>
          <w:szCs w:val="24"/>
        </w:rPr>
        <w:t xml:space="preserve">s </w:t>
      </w:r>
      <w:r>
        <w:rPr>
          <w:rFonts w:ascii="Times New Roman" w:hAnsi="Times New Roman" w:cs="Times New Roman" w:hint="eastAsia"/>
          <w:b/>
          <w:bCs/>
          <w:sz w:val="24"/>
          <w:szCs w:val="24"/>
        </w:rPr>
        <w:t xml:space="preserve">for western blot </w:t>
      </w:r>
      <w:r w:rsidRPr="00387DD6">
        <w:rPr>
          <w:rFonts w:ascii="Times New Roman" w:hAnsi="Times New Roman" w:cs="Times New Roman"/>
          <w:b/>
          <w:bCs/>
          <w:sz w:val="24"/>
          <w:szCs w:val="24"/>
        </w:rPr>
        <w:t>in this study</w:t>
      </w:r>
    </w:p>
    <w:tbl>
      <w:tblPr>
        <w:tblStyle w:val="a7"/>
        <w:tblW w:w="907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gridCol w:w="2268"/>
      </w:tblGrid>
      <w:tr w:rsidR="00B77F69" w14:paraId="6BB23D87" w14:textId="77777777" w:rsidTr="00765FA5">
        <w:trPr>
          <w:jc w:val="center"/>
        </w:trPr>
        <w:tc>
          <w:tcPr>
            <w:tcW w:w="2268" w:type="dxa"/>
            <w:tcBorders>
              <w:top w:val="single" w:sz="4" w:space="0" w:color="auto"/>
              <w:left w:val="nil"/>
              <w:bottom w:val="single" w:sz="4" w:space="0" w:color="auto"/>
              <w:right w:val="nil"/>
            </w:tcBorders>
            <w:shd w:val="clear" w:color="auto" w:fill="auto"/>
            <w:vAlign w:val="center"/>
          </w:tcPr>
          <w:p w14:paraId="37B014D8" w14:textId="77777777" w:rsidR="00B77F69" w:rsidRPr="0018763B" w:rsidRDefault="00B77F69" w:rsidP="00765FA5">
            <w:pPr>
              <w:widowControl/>
              <w:spacing w:line="360" w:lineRule="auto"/>
              <w:jc w:val="left"/>
              <w:textAlignment w:val="center"/>
              <w:rPr>
                <w:rFonts w:ascii="Times New Roman" w:eastAsia="宋体" w:hAnsi="Times New Roman" w:cs="Times New Roman"/>
                <w:color w:val="000000"/>
                <w:sz w:val="24"/>
              </w:rPr>
            </w:pPr>
            <w:r w:rsidRPr="0018763B">
              <w:rPr>
                <w:rFonts w:ascii="Times New Roman" w:eastAsia="宋体" w:hAnsi="Times New Roman" w:cs="Times New Roman"/>
                <w:color w:val="000000"/>
                <w:kern w:val="0"/>
                <w:sz w:val="24"/>
                <w:lang w:bidi="ar"/>
              </w:rPr>
              <w:t>Anti-protein</w:t>
            </w:r>
          </w:p>
        </w:tc>
        <w:tc>
          <w:tcPr>
            <w:tcW w:w="2268" w:type="dxa"/>
            <w:tcBorders>
              <w:top w:val="single" w:sz="4" w:space="0" w:color="auto"/>
              <w:left w:val="nil"/>
              <w:bottom w:val="single" w:sz="4" w:space="0" w:color="auto"/>
              <w:right w:val="nil"/>
            </w:tcBorders>
            <w:vAlign w:val="center"/>
          </w:tcPr>
          <w:p w14:paraId="791C86CB" w14:textId="77777777" w:rsidR="00B77F69" w:rsidRPr="0018763B" w:rsidRDefault="00B77F69" w:rsidP="00765FA5">
            <w:pPr>
              <w:widowControl/>
              <w:spacing w:line="360" w:lineRule="auto"/>
              <w:jc w:val="left"/>
              <w:textAlignment w:val="center"/>
              <w:rPr>
                <w:rFonts w:ascii="Times New Roman" w:eastAsia="宋体" w:hAnsi="Times New Roman" w:cs="Times New Roman"/>
                <w:color w:val="000000"/>
                <w:sz w:val="24"/>
              </w:rPr>
            </w:pPr>
            <w:r w:rsidRPr="0018763B">
              <w:rPr>
                <w:rFonts w:ascii="Times New Roman" w:eastAsia="宋体" w:hAnsi="Times New Roman" w:cs="Times New Roman"/>
                <w:color w:val="000000"/>
                <w:kern w:val="0"/>
                <w:sz w:val="24"/>
                <w:lang w:bidi="ar"/>
              </w:rPr>
              <w:t>Supplier</w:t>
            </w:r>
          </w:p>
        </w:tc>
        <w:tc>
          <w:tcPr>
            <w:tcW w:w="2268" w:type="dxa"/>
            <w:tcBorders>
              <w:top w:val="single" w:sz="4" w:space="0" w:color="auto"/>
              <w:left w:val="nil"/>
              <w:bottom w:val="single" w:sz="4" w:space="0" w:color="auto"/>
              <w:right w:val="nil"/>
            </w:tcBorders>
          </w:tcPr>
          <w:p w14:paraId="566C2244" w14:textId="77777777" w:rsidR="00B77F69" w:rsidRPr="0018763B" w:rsidRDefault="00B77F69" w:rsidP="00765FA5">
            <w:pPr>
              <w:widowControl/>
              <w:spacing w:line="360" w:lineRule="auto"/>
              <w:jc w:val="left"/>
              <w:textAlignment w:val="center"/>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Catalog</w:t>
            </w:r>
          </w:p>
        </w:tc>
        <w:tc>
          <w:tcPr>
            <w:tcW w:w="2268" w:type="dxa"/>
            <w:tcBorders>
              <w:top w:val="single" w:sz="4" w:space="0" w:color="auto"/>
              <w:left w:val="nil"/>
              <w:bottom w:val="single" w:sz="4" w:space="0" w:color="auto"/>
              <w:right w:val="nil"/>
            </w:tcBorders>
          </w:tcPr>
          <w:p w14:paraId="0D6B6299" w14:textId="77777777" w:rsidR="00B77F69" w:rsidRPr="0018763B" w:rsidRDefault="00B77F69" w:rsidP="00765FA5">
            <w:pPr>
              <w:widowControl/>
              <w:spacing w:line="360" w:lineRule="auto"/>
              <w:jc w:val="left"/>
              <w:textAlignment w:val="center"/>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Dilution</w:t>
            </w:r>
          </w:p>
        </w:tc>
      </w:tr>
      <w:tr w:rsidR="00B77F69" w:rsidRPr="00F66DF6" w14:paraId="40689615" w14:textId="77777777" w:rsidTr="00765FA5">
        <w:trPr>
          <w:trHeight w:val="278"/>
          <w:jc w:val="center"/>
        </w:trPr>
        <w:tc>
          <w:tcPr>
            <w:tcW w:w="2268" w:type="dxa"/>
            <w:tcBorders>
              <w:top w:val="single" w:sz="4" w:space="0" w:color="auto"/>
            </w:tcBorders>
            <w:noWrap/>
            <w:hideMark/>
          </w:tcPr>
          <w:p w14:paraId="2FEF5BDB"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PKM2</w:t>
            </w:r>
          </w:p>
        </w:tc>
        <w:tc>
          <w:tcPr>
            <w:tcW w:w="2268" w:type="dxa"/>
            <w:tcBorders>
              <w:top w:val="single" w:sz="4" w:space="0" w:color="auto"/>
            </w:tcBorders>
          </w:tcPr>
          <w:p w14:paraId="0CA3A51F"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proofErr w:type="spellStart"/>
            <w:r w:rsidRPr="0018763B">
              <w:rPr>
                <w:rFonts w:ascii="Times New Roman" w:eastAsia="宋体" w:hAnsi="Times New Roman" w:cs="Times New Roman"/>
                <w:color w:val="000000"/>
                <w:kern w:val="0"/>
                <w:sz w:val="24"/>
                <w:lang w:bidi="ar"/>
              </w:rPr>
              <w:t>Proteintech</w:t>
            </w:r>
            <w:proofErr w:type="spellEnd"/>
          </w:p>
        </w:tc>
        <w:tc>
          <w:tcPr>
            <w:tcW w:w="2268" w:type="dxa"/>
            <w:tcBorders>
              <w:top w:val="single" w:sz="4" w:space="0" w:color="auto"/>
            </w:tcBorders>
          </w:tcPr>
          <w:p w14:paraId="7D025174"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15822-1-AP</w:t>
            </w:r>
          </w:p>
        </w:tc>
        <w:tc>
          <w:tcPr>
            <w:tcW w:w="2268" w:type="dxa"/>
            <w:tcBorders>
              <w:top w:val="single" w:sz="4" w:space="0" w:color="auto"/>
            </w:tcBorders>
          </w:tcPr>
          <w:p w14:paraId="5CFBBC03"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1:1000</w:t>
            </w:r>
          </w:p>
        </w:tc>
      </w:tr>
      <w:tr w:rsidR="00B77F69" w:rsidRPr="00F66DF6" w14:paraId="35F1E09B" w14:textId="77777777" w:rsidTr="00765FA5">
        <w:trPr>
          <w:trHeight w:val="278"/>
          <w:jc w:val="center"/>
        </w:trPr>
        <w:tc>
          <w:tcPr>
            <w:tcW w:w="2268" w:type="dxa"/>
            <w:noWrap/>
            <w:hideMark/>
          </w:tcPr>
          <w:p w14:paraId="0752790D" w14:textId="77777777" w:rsidR="00B77F69" w:rsidRPr="0018763B"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FASN</w:t>
            </w:r>
          </w:p>
          <w:p w14:paraId="01FA9DE6"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18763B">
              <w:rPr>
                <w:rFonts w:ascii="Times New Roman" w:eastAsia="DengXian" w:hAnsi="Times New Roman" w:cs="Times New Roman"/>
                <w:color w:val="000000"/>
                <w:kern w:val="0"/>
                <w:sz w:val="24"/>
                <w:szCs w:val="24"/>
                <w14:ligatures w14:val="none"/>
              </w:rPr>
              <w:t>AGO2</w:t>
            </w:r>
          </w:p>
        </w:tc>
        <w:tc>
          <w:tcPr>
            <w:tcW w:w="2268" w:type="dxa"/>
          </w:tcPr>
          <w:p w14:paraId="0688408C"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proofErr w:type="spellStart"/>
            <w:r w:rsidRPr="0018763B">
              <w:rPr>
                <w:rFonts w:ascii="Times New Roman" w:eastAsia="宋体" w:hAnsi="Times New Roman" w:cs="Times New Roman"/>
                <w:color w:val="000000"/>
                <w:kern w:val="0"/>
                <w:sz w:val="24"/>
                <w:lang w:bidi="ar"/>
              </w:rPr>
              <w:t>Proteintech</w:t>
            </w:r>
            <w:proofErr w:type="spellEnd"/>
          </w:p>
          <w:p w14:paraId="3420F2FC"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18763B">
              <w:rPr>
                <w:rFonts w:ascii="Times New Roman" w:eastAsia="DengXian" w:hAnsi="Times New Roman" w:cs="Times New Roman"/>
                <w:color w:val="000000"/>
                <w:kern w:val="0"/>
                <w:sz w:val="24"/>
                <w:szCs w:val="24"/>
                <w14:ligatures w14:val="none"/>
              </w:rPr>
              <w:t>Abcam</w:t>
            </w:r>
          </w:p>
        </w:tc>
        <w:tc>
          <w:tcPr>
            <w:tcW w:w="2268" w:type="dxa"/>
          </w:tcPr>
          <w:p w14:paraId="6F1679E4"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10624-2-AP</w:t>
            </w:r>
          </w:p>
          <w:p w14:paraId="4C4F1BE9"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ab186733</w:t>
            </w:r>
          </w:p>
        </w:tc>
        <w:tc>
          <w:tcPr>
            <w:tcW w:w="2268" w:type="dxa"/>
          </w:tcPr>
          <w:p w14:paraId="11EE8BB2"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1:1000</w:t>
            </w:r>
          </w:p>
          <w:p w14:paraId="0771DB2C" w14:textId="77777777" w:rsidR="00B77F69" w:rsidRPr="0018763B" w:rsidRDefault="00B77F69" w:rsidP="00765FA5">
            <w:pPr>
              <w:widowControl/>
              <w:spacing w:line="360" w:lineRule="auto"/>
              <w:jc w:val="left"/>
              <w:rPr>
                <w:rFonts w:ascii="Times New Roman" w:eastAsia="宋体" w:hAnsi="Times New Roman" w:cs="Times New Roman"/>
                <w:color w:val="000000"/>
                <w:kern w:val="0"/>
                <w:sz w:val="24"/>
                <w:lang w:bidi="ar"/>
              </w:rPr>
            </w:pPr>
            <w:r w:rsidRPr="0018763B">
              <w:rPr>
                <w:rFonts w:ascii="Times New Roman" w:eastAsia="宋体" w:hAnsi="Times New Roman" w:cs="Times New Roman"/>
                <w:color w:val="000000"/>
                <w:kern w:val="0"/>
                <w:sz w:val="24"/>
                <w:lang w:bidi="ar"/>
              </w:rPr>
              <w:t>1:1000</w:t>
            </w:r>
          </w:p>
        </w:tc>
      </w:tr>
      <w:tr w:rsidR="00B77F69" w:rsidRPr="00F66DF6" w14:paraId="0DA74AA7" w14:textId="77777777" w:rsidTr="00765FA5">
        <w:trPr>
          <w:trHeight w:val="278"/>
          <w:jc w:val="center"/>
        </w:trPr>
        <w:tc>
          <w:tcPr>
            <w:tcW w:w="2268" w:type="dxa"/>
            <w:tcBorders>
              <w:bottom w:val="single" w:sz="4" w:space="0" w:color="auto"/>
            </w:tcBorders>
            <w:noWrap/>
            <w:hideMark/>
          </w:tcPr>
          <w:p w14:paraId="1B4267F0"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F66DF6">
              <w:rPr>
                <w:rFonts w:ascii="Times New Roman" w:eastAsia="DengXian" w:hAnsi="Times New Roman" w:cs="Times New Roman"/>
                <w:color w:val="000000"/>
                <w:kern w:val="0"/>
                <w:sz w:val="24"/>
                <w:szCs w:val="24"/>
                <w14:ligatures w14:val="none"/>
              </w:rPr>
              <w:t>β-actin</w:t>
            </w:r>
          </w:p>
        </w:tc>
        <w:tc>
          <w:tcPr>
            <w:tcW w:w="2268" w:type="dxa"/>
            <w:tcBorders>
              <w:bottom w:val="single" w:sz="4" w:space="0" w:color="auto"/>
            </w:tcBorders>
          </w:tcPr>
          <w:p w14:paraId="5D9A1C8E" w14:textId="77777777" w:rsidR="00B77F69" w:rsidRPr="00F66DF6"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proofErr w:type="spellStart"/>
            <w:r w:rsidRPr="0018763B">
              <w:rPr>
                <w:rFonts w:ascii="Times New Roman" w:eastAsia="宋体" w:hAnsi="Times New Roman" w:cs="Times New Roman"/>
                <w:color w:val="000000"/>
                <w:kern w:val="0"/>
                <w:sz w:val="24"/>
                <w:lang w:bidi="ar"/>
              </w:rPr>
              <w:t>Proteintech</w:t>
            </w:r>
            <w:proofErr w:type="spellEnd"/>
          </w:p>
        </w:tc>
        <w:tc>
          <w:tcPr>
            <w:tcW w:w="2268" w:type="dxa"/>
            <w:tcBorders>
              <w:bottom w:val="single" w:sz="4" w:space="0" w:color="auto"/>
            </w:tcBorders>
          </w:tcPr>
          <w:p w14:paraId="7C466087" w14:textId="77777777" w:rsidR="00B77F69" w:rsidRPr="0018763B"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18763B">
              <w:rPr>
                <w:rFonts w:ascii="Times New Roman" w:eastAsia="DengXian" w:hAnsi="Times New Roman" w:cs="Times New Roman"/>
                <w:color w:val="000000"/>
                <w:kern w:val="0"/>
                <w:sz w:val="24"/>
                <w:szCs w:val="24"/>
                <w14:ligatures w14:val="none"/>
              </w:rPr>
              <w:t>66009-1-Ig</w:t>
            </w:r>
          </w:p>
        </w:tc>
        <w:tc>
          <w:tcPr>
            <w:tcW w:w="2268" w:type="dxa"/>
            <w:tcBorders>
              <w:bottom w:val="single" w:sz="4" w:space="0" w:color="auto"/>
            </w:tcBorders>
          </w:tcPr>
          <w:p w14:paraId="32F21F4B" w14:textId="77777777" w:rsidR="00B77F69" w:rsidRPr="0018763B" w:rsidRDefault="00B77F69" w:rsidP="00765FA5">
            <w:pPr>
              <w:widowControl/>
              <w:spacing w:line="360" w:lineRule="auto"/>
              <w:jc w:val="left"/>
              <w:rPr>
                <w:rFonts w:ascii="Times New Roman" w:eastAsia="DengXian" w:hAnsi="Times New Roman" w:cs="Times New Roman"/>
                <w:color w:val="000000"/>
                <w:kern w:val="0"/>
                <w:sz w:val="24"/>
                <w:szCs w:val="24"/>
                <w14:ligatures w14:val="none"/>
              </w:rPr>
            </w:pPr>
            <w:r w:rsidRPr="0018763B">
              <w:rPr>
                <w:rFonts w:ascii="Times New Roman" w:eastAsia="宋体" w:hAnsi="Times New Roman" w:cs="Times New Roman"/>
                <w:color w:val="000000"/>
                <w:kern w:val="0"/>
                <w:sz w:val="24"/>
                <w:lang w:bidi="ar"/>
              </w:rPr>
              <w:t>1:1000</w:t>
            </w:r>
          </w:p>
        </w:tc>
      </w:tr>
    </w:tbl>
    <w:p w14:paraId="65E7AA4E" w14:textId="77777777" w:rsidR="00B77F69" w:rsidRPr="00F66DF6" w:rsidRDefault="00B77F69" w:rsidP="00B77F69"/>
    <w:p w14:paraId="719870D8" w14:textId="77777777" w:rsidR="00B77F69" w:rsidRPr="00B77F69" w:rsidRDefault="00B77F69" w:rsidP="00E24ADE"/>
    <w:sectPr w:rsidR="00B77F69" w:rsidRPr="00B77F69" w:rsidSect="001A40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072ED" w14:textId="77777777" w:rsidR="005E4D66" w:rsidRDefault="005E4D66" w:rsidP="00E24ADE">
      <w:r>
        <w:separator/>
      </w:r>
    </w:p>
  </w:endnote>
  <w:endnote w:type="continuationSeparator" w:id="0">
    <w:p w14:paraId="4BECCA2D" w14:textId="77777777" w:rsidR="005E4D66" w:rsidRDefault="005E4D66" w:rsidP="00E2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04357" w14:textId="77777777" w:rsidR="005E4D66" w:rsidRDefault="005E4D66" w:rsidP="00E24ADE">
      <w:r>
        <w:separator/>
      </w:r>
    </w:p>
  </w:footnote>
  <w:footnote w:type="continuationSeparator" w:id="0">
    <w:p w14:paraId="4FA848C0" w14:textId="77777777" w:rsidR="005E4D66" w:rsidRDefault="005E4D66" w:rsidP="00E24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EC"/>
    <w:rsid w:val="0016092A"/>
    <w:rsid w:val="001A40EC"/>
    <w:rsid w:val="001A5DFA"/>
    <w:rsid w:val="001C495B"/>
    <w:rsid w:val="003C5C6C"/>
    <w:rsid w:val="00497DB3"/>
    <w:rsid w:val="005E4D66"/>
    <w:rsid w:val="006E3E49"/>
    <w:rsid w:val="007F1CA3"/>
    <w:rsid w:val="00A0392E"/>
    <w:rsid w:val="00A837EE"/>
    <w:rsid w:val="00AA5B50"/>
    <w:rsid w:val="00AD7818"/>
    <w:rsid w:val="00B77F69"/>
    <w:rsid w:val="00BB02AA"/>
    <w:rsid w:val="00C03A46"/>
    <w:rsid w:val="00C454AB"/>
    <w:rsid w:val="00E24ADE"/>
    <w:rsid w:val="00E2527D"/>
    <w:rsid w:val="00E31E77"/>
    <w:rsid w:val="00E81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1FBED"/>
  <w15:chartTrackingRefBased/>
  <w15:docId w15:val="{F26A8B13-EEF0-4959-92BB-BE3321A4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0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AD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4ADE"/>
    <w:rPr>
      <w:sz w:val="18"/>
      <w:szCs w:val="18"/>
    </w:rPr>
  </w:style>
  <w:style w:type="paragraph" w:styleId="a5">
    <w:name w:val="footer"/>
    <w:basedOn w:val="a"/>
    <w:link w:val="a6"/>
    <w:uiPriority w:val="99"/>
    <w:unhideWhenUsed/>
    <w:rsid w:val="00E24ADE"/>
    <w:pPr>
      <w:tabs>
        <w:tab w:val="center" w:pos="4153"/>
        <w:tab w:val="right" w:pos="8306"/>
      </w:tabs>
      <w:snapToGrid w:val="0"/>
      <w:jc w:val="left"/>
    </w:pPr>
    <w:rPr>
      <w:sz w:val="18"/>
      <w:szCs w:val="18"/>
    </w:rPr>
  </w:style>
  <w:style w:type="character" w:customStyle="1" w:styleId="a6">
    <w:name w:val="页脚 字符"/>
    <w:basedOn w:val="a0"/>
    <w:link w:val="a5"/>
    <w:uiPriority w:val="99"/>
    <w:rsid w:val="00E24ADE"/>
    <w:rPr>
      <w:sz w:val="18"/>
      <w:szCs w:val="18"/>
    </w:rPr>
  </w:style>
  <w:style w:type="table" w:styleId="a7">
    <w:name w:val="Table Grid"/>
    <w:basedOn w:val="a1"/>
    <w:uiPriority w:val="39"/>
    <w:rsid w:val="00B77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25</TotalTime>
  <Pages>9</Pages>
  <Words>1420</Words>
  <Characters>8097</Characters>
  <Application>Microsoft Office Word</Application>
  <DocSecurity>0</DocSecurity>
  <Lines>67</Lines>
  <Paragraphs>18</Paragraphs>
  <ScaleCrop>false</ScaleCrop>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凡 叶</dc:creator>
  <cp:keywords/>
  <dc:description/>
  <cp:lastModifiedBy>穆婉</cp:lastModifiedBy>
  <cp:revision>9</cp:revision>
  <dcterms:created xsi:type="dcterms:W3CDTF">2024-07-15T10:11:00Z</dcterms:created>
  <dcterms:modified xsi:type="dcterms:W3CDTF">2024-08-11T03:41:00Z</dcterms:modified>
</cp:coreProperties>
</file>