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49FD0E" w14:textId="03F3235B" w:rsidR="00D1494F" w:rsidRPr="005834AC" w:rsidRDefault="00EA2E52" w:rsidP="003F5D7A">
      <w:pPr>
        <w:spacing w:line="276" w:lineRule="auto"/>
        <w:rPr>
          <w:rFonts w:ascii="Times New Roman" w:hAnsi="Times New Roman" w:cs="Times New Roman"/>
          <w:lang w:val="en-US"/>
        </w:rPr>
      </w:pPr>
      <w:r w:rsidRPr="005834AC">
        <w:rPr>
          <w:rFonts w:ascii="Times New Roman" w:hAnsi="Times New Roman" w:cs="Times New Roman"/>
          <w:lang w:val="en-US"/>
        </w:rPr>
        <w:t xml:space="preserve">Supplementary materials </w:t>
      </w:r>
    </w:p>
    <w:p w14:paraId="7C63A640" w14:textId="77777777" w:rsidR="003F5D7A" w:rsidRPr="005834AC" w:rsidRDefault="003F5D7A" w:rsidP="003F5D7A">
      <w:pPr>
        <w:spacing w:line="276" w:lineRule="auto"/>
        <w:rPr>
          <w:rFonts w:ascii="Times New Roman" w:hAnsi="Times New Roman" w:cs="Times New Roman"/>
          <w:lang w:val="en-US"/>
        </w:rPr>
      </w:pPr>
    </w:p>
    <w:p w14:paraId="1B4E0ADB" w14:textId="77777777" w:rsidR="00EA2E52" w:rsidRPr="005834AC" w:rsidRDefault="00EA2E52" w:rsidP="003F5D7A">
      <w:pPr>
        <w:spacing w:line="276" w:lineRule="auto"/>
        <w:rPr>
          <w:rFonts w:ascii="Times New Roman" w:hAnsi="Times New Roman" w:cs="Times New Roman"/>
          <w:lang w:val="en-US"/>
        </w:rPr>
      </w:pPr>
    </w:p>
    <w:p w14:paraId="078006E7" w14:textId="3E1BB385" w:rsidR="00EA2E52" w:rsidRPr="000F6BAD" w:rsidRDefault="003F5D7A" w:rsidP="003F5D7A">
      <w:pPr>
        <w:spacing w:line="276" w:lineRule="auto"/>
        <w:rPr>
          <w:rFonts w:ascii="Times New Roman" w:hAnsi="Times New Roman" w:cs="Times New Roman"/>
          <w:b/>
          <w:bCs/>
          <w:lang w:val="en-US"/>
        </w:rPr>
      </w:pPr>
      <w:r w:rsidRPr="000F6BAD">
        <w:rPr>
          <w:rFonts w:ascii="Times New Roman" w:hAnsi="Times New Roman" w:cs="Times New Roman"/>
          <w:b/>
          <w:bCs/>
          <w:lang w:val="en-US"/>
        </w:rPr>
        <w:t>Reimbursement</w:t>
      </w:r>
      <w:r w:rsidR="00EA2E52" w:rsidRPr="000F6BAD">
        <w:rPr>
          <w:rFonts w:ascii="Times New Roman" w:hAnsi="Times New Roman" w:cs="Times New Roman"/>
          <w:b/>
          <w:bCs/>
          <w:lang w:val="en-US"/>
        </w:rPr>
        <w:t xml:space="preserve"> </w:t>
      </w:r>
      <w:r w:rsidRPr="000F6BAD">
        <w:rPr>
          <w:rFonts w:ascii="Times New Roman" w:hAnsi="Times New Roman" w:cs="Times New Roman"/>
          <w:b/>
          <w:bCs/>
          <w:lang w:val="en-US"/>
        </w:rPr>
        <w:t>criteria</w:t>
      </w:r>
      <w:r w:rsidR="00EA2E52" w:rsidRPr="000F6BAD">
        <w:rPr>
          <w:rFonts w:ascii="Times New Roman" w:hAnsi="Times New Roman" w:cs="Times New Roman"/>
          <w:b/>
          <w:bCs/>
          <w:lang w:val="en-US"/>
        </w:rPr>
        <w:t xml:space="preserve"> for nivolumab and ipilimumab combined immunotherapy in patients with renal cell carcinoma in Poland </w:t>
      </w:r>
      <w:sdt>
        <w:sdtPr>
          <w:rPr>
            <w:rFonts w:ascii="Times New Roman" w:hAnsi="Times New Roman" w:cs="Times New Roman"/>
            <w:b/>
            <w:bCs/>
            <w:color w:val="000000"/>
            <w:lang w:val="en-US"/>
          </w:rPr>
          <w:tag w:val="MENDELEY_CITATION_v3_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"/>
          <w:id w:val="1536776594"/>
          <w:placeholder>
            <w:docPart w:val="E8F031848C73D84A8154EC65626E24F5"/>
          </w:placeholder>
        </w:sdtPr>
        <w:sdtContent>
          <w:r w:rsidR="000F6BAD" w:rsidRPr="000F6BAD">
            <w:rPr>
              <w:rFonts w:ascii="Times New Roman" w:hAnsi="Times New Roman" w:cs="Times New Roman"/>
              <w:b/>
              <w:bCs/>
              <w:color w:val="000000"/>
              <w:lang w:val="en-US"/>
            </w:rPr>
            <w:t>[1].</w:t>
          </w:r>
        </w:sdtContent>
      </w:sdt>
    </w:p>
    <w:p w14:paraId="48FDCDC8" w14:textId="77777777" w:rsidR="003F5D7A" w:rsidRPr="005834AC" w:rsidRDefault="003F5D7A" w:rsidP="003F5D7A">
      <w:pPr>
        <w:spacing w:line="276" w:lineRule="auto"/>
        <w:rPr>
          <w:rFonts w:ascii="Times New Roman" w:hAnsi="Times New Roman" w:cs="Times New Roman"/>
          <w:lang w:val="en-US"/>
        </w:rPr>
      </w:pPr>
    </w:p>
    <w:p w14:paraId="6937CF14" w14:textId="77777777"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1.1. General Eligibility Criteria</w:t>
      </w:r>
    </w:p>
    <w:p w14:paraId="1D101985"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Histologically Confirmed Diagnosis:</w:t>
      </w:r>
    </w:p>
    <w:p w14:paraId="2ABF0781" w14:textId="77777777" w:rsidR="003F5D7A" w:rsidRPr="000F6BAD" w:rsidRDefault="003F5D7A" w:rsidP="003F5D7A">
      <w:pPr>
        <w:numPr>
          <w:ilvl w:val="1"/>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Renal cell carcinoma with clear cell or </w:t>
      </w:r>
      <w:proofErr w:type="spellStart"/>
      <w:r w:rsidRPr="000F6BAD">
        <w:rPr>
          <w:rFonts w:ascii="Times New Roman" w:eastAsia="Times New Roman" w:hAnsi="Times New Roman" w:cs="Times New Roman"/>
          <w:kern w:val="0"/>
          <w:lang w:val="en-US" w:eastAsia="pl-PL"/>
          <w14:ligatures w14:val="none"/>
        </w:rPr>
        <w:t>sarcomatoid</w:t>
      </w:r>
      <w:proofErr w:type="spellEnd"/>
      <w:r w:rsidRPr="000F6BAD">
        <w:rPr>
          <w:rFonts w:ascii="Times New Roman" w:eastAsia="Times New Roman" w:hAnsi="Times New Roman" w:cs="Times New Roman"/>
          <w:kern w:val="0"/>
          <w:lang w:val="en-US" w:eastAsia="pl-PL"/>
          <w14:ligatures w14:val="none"/>
        </w:rPr>
        <w:t xml:space="preserve"> component for nivolumab with ipilimumab.</w:t>
      </w:r>
    </w:p>
    <w:p w14:paraId="0AA3A4CB"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Advanced Tumor Stage: No possibility for radical local treatment.</w:t>
      </w:r>
    </w:p>
    <w:p w14:paraId="42F5C641"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No Prior Pharmacological Treatment: Advanced renal cancer untreated with systemic therapy, except prior cytokine-based immunotherapy for pazopanib.</w:t>
      </w:r>
    </w:p>
    <w:p w14:paraId="69C38287" w14:textId="53D7577B"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Performance Status: </w:t>
      </w:r>
      <w:proofErr w:type="spellStart"/>
      <w:r w:rsidRPr="000F6BAD">
        <w:rPr>
          <w:rFonts w:ascii="Times New Roman" w:eastAsia="Times New Roman" w:hAnsi="Times New Roman" w:cs="Times New Roman"/>
          <w:kern w:val="0"/>
          <w:lang w:val="en-US" w:eastAsia="pl-PL"/>
          <w14:ligatures w14:val="none"/>
        </w:rPr>
        <w:t>Karnofsky</w:t>
      </w:r>
      <w:proofErr w:type="spellEnd"/>
      <w:r w:rsidRPr="000F6BAD">
        <w:rPr>
          <w:rFonts w:ascii="Times New Roman" w:eastAsia="Times New Roman" w:hAnsi="Times New Roman" w:cs="Times New Roman"/>
          <w:kern w:val="0"/>
          <w:lang w:val="en-US" w:eastAsia="pl-PL"/>
          <w14:ligatures w14:val="none"/>
        </w:rPr>
        <w:t xml:space="preserve"> score 70-100</w:t>
      </w:r>
      <w:r w:rsidR="005834AC" w:rsidRPr="000F6BAD">
        <w:rPr>
          <w:rFonts w:ascii="Times New Roman" w:eastAsia="Times New Roman" w:hAnsi="Times New Roman" w:cs="Times New Roman"/>
          <w:kern w:val="0"/>
          <w:lang w:val="en-US" w:eastAsia="pl-PL"/>
          <w14:ligatures w14:val="none"/>
        </w:rPr>
        <w:t>.</w:t>
      </w:r>
    </w:p>
    <w:p w14:paraId="0C7369DC"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Age: 18 years or older.</w:t>
      </w:r>
    </w:p>
    <w:p w14:paraId="42B0D737"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Primary Tumor Removal: Previous tumor resection or documented multidisciplinary decision against nephrectomy.</w:t>
      </w:r>
    </w:p>
    <w:p w14:paraId="153D3EF6" w14:textId="555FC53F"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Measurable Lesions: Objective assessment possible per RECIST criteria</w:t>
      </w:r>
      <w:r w:rsidR="007C2DB8" w:rsidRPr="000F6BAD">
        <w:rPr>
          <w:rFonts w:ascii="Times New Roman" w:eastAsia="Times New Roman" w:hAnsi="Times New Roman" w:cs="Times New Roman"/>
          <w:kern w:val="0"/>
          <w:lang w:val="en-US" w:eastAsia="pl-PL"/>
          <w14:ligatures w14:val="none"/>
        </w:rPr>
        <w:t xml:space="preserve"> </w:t>
      </w:r>
      <w:sdt>
        <w:sdtPr>
          <w:rPr>
            <w:color w:val="000000"/>
            <w:lang w:val="en-US"/>
          </w:rPr>
          <w:tag w:val="MENDELEY_CITATION_v3_eyJjaXRhdGlvbklEIjoiTUVOREVMRVlfQ0lUQVRJT05fZmVlMzY3ZjAtMTNkMC00NjRiLWJjNzctN2MyYzk5YWIwYjZm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
          <w:id w:val="-625775952"/>
          <w:placeholder>
            <w:docPart w:val="F34B4A174139894E9AF840BB8C76342C"/>
          </w:placeholder>
        </w:sdtPr>
        <w:sdtContent>
          <w:r w:rsidR="000F6BAD" w:rsidRPr="000F6BAD">
            <w:rPr>
              <w:rFonts w:ascii="Times New Roman" w:hAnsi="Times New Roman" w:cs="Times New Roman"/>
              <w:color w:val="000000"/>
              <w:lang w:val="en-US"/>
            </w:rPr>
            <w:t>[2]</w:t>
          </w:r>
        </w:sdtContent>
      </w:sdt>
      <w:r w:rsidRPr="000F6BAD">
        <w:rPr>
          <w:rFonts w:ascii="Times New Roman" w:eastAsia="Times New Roman" w:hAnsi="Times New Roman" w:cs="Times New Roman"/>
          <w:kern w:val="0"/>
          <w:lang w:val="en-US" w:eastAsia="pl-PL"/>
          <w14:ligatures w14:val="none"/>
        </w:rPr>
        <w:t>.</w:t>
      </w:r>
    </w:p>
    <w:p w14:paraId="69A51F02" w14:textId="0A7454A5"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No Active C</w:t>
      </w:r>
      <w:r w:rsidR="005834AC" w:rsidRPr="000F6BAD">
        <w:rPr>
          <w:rFonts w:ascii="Times New Roman" w:eastAsia="Times New Roman" w:hAnsi="Times New Roman" w:cs="Times New Roman"/>
          <w:kern w:val="0"/>
          <w:lang w:val="en-US" w:eastAsia="pl-PL"/>
          <w14:ligatures w14:val="none"/>
        </w:rPr>
        <w:t xml:space="preserve">entral Nervous </w:t>
      </w:r>
      <w:r w:rsidRPr="000F6BAD">
        <w:rPr>
          <w:rFonts w:ascii="Times New Roman" w:eastAsia="Times New Roman" w:hAnsi="Times New Roman" w:cs="Times New Roman"/>
          <w:kern w:val="0"/>
          <w:lang w:val="en-US" w:eastAsia="pl-PL"/>
          <w14:ligatures w14:val="none"/>
        </w:rPr>
        <w:t>S</w:t>
      </w:r>
      <w:r w:rsidR="005834AC" w:rsidRPr="000F6BAD">
        <w:rPr>
          <w:rFonts w:ascii="Times New Roman" w:eastAsia="Times New Roman" w:hAnsi="Times New Roman" w:cs="Times New Roman"/>
          <w:kern w:val="0"/>
          <w:lang w:val="en-US" w:eastAsia="pl-PL"/>
          <w14:ligatures w14:val="none"/>
        </w:rPr>
        <w:t>ystem</w:t>
      </w:r>
      <w:r w:rsidRPr="000F6BAD">
        <w:rPr>
          <w:rFonts w:ascii="Times New Roman" w:eastAsia="Times New Roman" w:hAnsi="Times New Roman" w:cs="Times New Roman"/>
          <w:kern w:val="0"/>
          <w:lang w:val="en-US" w:eastAsia="pl-PL"/>
          <w14:ligatures w14:val="none"/>
        </w:rPr>
        <w:t xml:space="preserve"> Metastases: Previous resection or stereotactic radiotherapy allowed if asymptomatic post-treatment.</w:t>
      </w:r>
    </w:p>
    <w:p w14:paraId="7EA3800A"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Concurrent Active Malignancies: Treatment eligibility must consider prognosis related to coexisting malignancy.</w:t>
      </w:r>
    </w:p>
    <w:p w14:paraId="61740A8C" w14:textId="7A837F15"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No Significant Comorbidities: No clinical conditions contraindicating therapy per </w:t>
      </w:r>
      <w:r w:rsidR="005834AC" w:rsidRPr="000F6BAD">
        <w:rPr>
          <w:rFonts w:ascii="Times New Roman" w:eastAsia="Times New Roman" w:hAnsi="Times New Roman" w:cs="Times New Roman"/>
          <w:kern w:val="0"/>
          <w:lang w:val="en-US" w:eastAsia="pl-PL"/>
          <w14:ligatures w14:val="none"/>
        </w:rPr>
        <w:t xml:space="preserve">the </w:t>
      </w:r>
      <w:r w:rsidRPr="000F6BAD">
        <w:rPr>
          <w:rFonts w:ascii="Times New Roman" w:eastAsia="Times New Roman" w:hAnsi="Times New Roman" w:cs="Times New Roman"/>
          <w:kern w:val="0"/>
          <w:lang w:val="en-US" w:eastAsia="pl-PL"/>
          <w14:ligatures w14:val="none"/>
        </w:rPr>
        <w:t xml:space="preserve">current </w:t>
      </w:r>
      <w:r w:rsidR="005834AC" w:rsidRPr="000F6BAD">
        <w:rPr>
          <w:rFonts w:ascii="Times New Roman" w:eastAsia="Times New Roman" w:hAnsi="Times New Roman" w:cs="Times New Roman"/>
          <w:kern w:val="0"/>
          <w:lang w:val="en-US" w:eastAsia="pl-PL"/>
          <w14:ligatures w14:val="none"/>
        </w:rPr>
        <w:t>summary of product characteristics (</w:t>
      </w:r>
      <w:r w:rsidRPr="000F6BAD">
        <w:rPr>
          <w:rFonts w:ascii="Times New Roman" w:eastAsia="Times New Roman" w:hAnsi="Times New Roman" w:cs="Times New Roman"/>
          <w:kern w:val="0"/>
          <w:lang w:val="en-US" w:eastAsia="pl-PL"/>
          <w14:ligatures w14:val="none"/>
        </w:rPr>
        <w:t>SmPC</w:t>
      </w:r>
      <w:r w:rsidR="005834AC" w:rsidRPr="000F6BAD">
        <w:rPr>
          <w:rFonts w:ascii="Times New Roman" w:eastAsia="Times New Roman" w:hAnsi="Times New Roman" w:cs="Times New Roman"/>
          <w:kern w:val="0"/>
          <w:lang w:val="en-US" w:eastAsia="pl-PL"/>
          <w14:ligatures w14:val="none"/>
        </w:rPr>
        <w:t>)</w:t>
      </w:r>
      <w:r w:rsidRPr="000F6BAD">
        <w:rPr>
          <w:rFonts w:ascii="Times New Roman" w:eastAsia="Times New Roman" w:hAnsi="Times New Roman" w:cs="Times New Roman"/>
          <w:kern w:val="0"/>
          <w:lang w:val="en-US" w:eastAsia="pl-PL"/>
          <w14:ligatures w14:val="none"/>
        </w:rPr>
        <w:t>.</w:t>
      </w:r>
    </w:p>
    <w:p w14:paraId="3BC593EC"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Adequate Organ Function: Based on blood laboratory results per current SmPC.</w:t>
      </w:r>
    </w:p>
    <w:p w14:paraId="25C89044"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Exclusion of Pregnancy and Breastfeeding: Confirmed non-pregnant and not breastfeeding.</w:t>
      </w:r>
    </w:p>
    <w:p w14:paraId="1A5337C7" w14:textId="77777777" w:rsidR="003F5D7A" w:rsidRPr="000F6BAD" w:rsidRDefault="003F5D7A" w:rsidP="003F5D7A">
      <w:pPr>
        <w:numPr>
          <w:ilvl w:val="0"/>
          <w:numId w:val="9"/>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Patient Agreement: Contraceptive use agreement per current SmPC of administered drugs.</w:t>
      </w:r>
    </w:p>
    <w:p w14:paraId="41C0ED2A" w14:textId="77777777" w:rsidR="003F5D7A" w:rsidRPr="000F6BAD" w:rsidRDefault="003F5D7A" w:rsidP="003F5D7A">
      <w:pPr>
        <w:spacing w:line="276" w:lineRule="auto"/>
        <w:rPr>
          <w:rFonts w:ascii="Times New Roman" w:hAnsi="Times New Roman" w:cs="Times New Roman"/>
          <w:lang w:val="en-US"/>
        </w:rPr>
      </w:pPr>
    </w:p>
    <w:p w14:paraId="0C869EFB" w14:textId="3E638ED6"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1.2. Specific Eligibility Criteria for Therapy</w:t>
      </w:r>
    </w:p>
    <w:p w14:paraId="238DC580" w14:textId="77777777" w:rsidR="003F5D7A" w:rsidRPr="000F6BAD" w:rsidRDefault="003F5D7A" w:rsidP="003F5D7A">
      <w:pPr>
        <w:spacing w:before="100" w:beforeAutospacing="1" w:after="100" w:afterAutospacing="1" w:line="276" w:lineRule="auto"/>
        <w:outlineLvl w:val="3"/>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1.2.4. Nivolumab with Ipilimumab</w:t>
      </w:r>
    </w:p>
    <w:p w14:paraId="10DE74F7" w14:textId="77777777" w:rsidR="003F5D7A" w:rsidRPr="000F6BAD" w:rsidRDefault="003F5D7A" w:rsidP="003F5D7A">
      <w:pPr>
        <w:numPr>
          <w:ilvl w:val="0"/>
          <w:numId w:val="6"/>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Intermediate or poor prognosis according to the IMDC scale.</w:t>
      </w:r>
    </w:p>
    <w:p w14:paraId="4139DF11" w14:textId="77777777" w:rsidR="003F5D7A" w:rsidRPr="000F6BAD" w:rsidRDefault="003F5D7A" w:rsidP="003F5D7A">
      <w:pPr>
        <w:numPr>
          <w:ilvl w:val="0"/>
          <w:numId w:val="6"/>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No prior treatment with immune checkpoint inhibitors (anti-PD-1/PD-L1, anti-CTLA4), including adjuvant therapy.</w:t>
      </w:r>
    </w:p>
    <w:p w14:paraId="642F5B43" w14:textId="77777777" w:rsidR="003F5D7A" w:rsidRPr="000F6BAD" w:rsidRDefault="003F5D7A" w:rsidP="003F5D7A">
      <w:pPr>
        <w:numPr>
          <w:ilvl w:val="0"/>
          <w:numId w:val="6"/>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No active autoimmune diseases, except </w:t>
      </w:r>
      <w:proofErr w:type="spellStart"/>
      <w:r w:rsidRPr="000F6BAD">
        <w:rPr>
          <w:rFonts w:ascii="Times New Roman" w:eastAsia="Times New Roman" w:hAnsi="Times New Roman" w:cs="Times New Roman"/>
          <w:kern w:val="0"/>
          <w:lang w:val="en-US" w:eastAsia="pl-PL"/>
          <w14:ligatures w14:val="none"/>
        </w:rPr>
        <w:t>Sjögren's</w:t>
      </w:r>
      <w:proofErr w:type="spellEnd"/>
      <w:r w:rsidRPr="000F6BAD">
        <w:rPr>
          <w:rFonts w:ascii="Times New Roman" w:eastAsia="Times New Roman" w:hAnsi="Times New Roman" w:cs="Times New Roman"/>
          <w:kern w:val="0"/>
          <w:lang w:val="en-US" w:eastAsia="pl-PL"/>
          <w14:ligatures w14:val="none"/>
        </w:rPr>
        <w:t xml:space="preserve"> syndrome, vitiligo, type I diabetes, hypothyroidism (treated only with hormone supplementation), psoriasis not requiring systemic treatment.</w:t>
      </w:r>
    </w:p>
    <w:p w14:paraId="07CD17E6" w14:textId="77777777" w:rsidR="003F5D7A" w:rsidRPr="000F6BAD" w:rsidRDefault="003F5D7A" w:rsidP="003F5D7A">
      <w:pPr>
        <w:numPr>
          <w:ilvl w:val="0"/>
          <w:numId w:val="6"/>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lastRenderedPageBreak/>
        <w:t>No systemic corticosteroids (exceeding 10 mg prednisone daily or equivalent) or immunosuppressive drugs within 14 days before starting treatment (inhaled corticosteroids are allowed).</w:t>
      </w:r>
    </w:p>
    <w:p w14:paraId="621A7E03" w14:textId="77777777" w:rsidR="003F5D7A" w:rsidRPr="000F6BAD" w:rsidRDefault="003F5D7A" w:rsidP="003F5D7A">
      <w:pPr>
        <w:numPr>
          <w:ilvl w:val="0"/>
          <w:numId w:val="6"/>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No history of hypersensitivity to monoclonal antibodies.</w:t>
      </w:r>
    </w:p>
    <w:p w14:paraId="2D61206B" w14:textId="77777777"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2. Treatment Duration in the Program</w:t>
      </w:r>
    </w:p>
    <w:p w14:paraId="02256EDC" w14:textId="77777777"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Treatment continues until the attending physician decides to exclude the patient from the program, according to exclusion criteria.</w:t>
      </w:r>
    </w:p>
    <w:p w14:paraId="711A940F" w14:textId="77777777"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3. Exclusion Criteria from the Program</w:t>
      </w:r>
    </w:p>
    <w:p w14:paraId="23AEEEC0" w14:textId="1B6639C8"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Documented disease progression per current RECIST criteria</w:t>
      </w:r>
      <w:r w:rsidR="007C2DB8" w:rsidRPr="000F6BAD">
        <w:rPr>
          <w:rFonts w:ascii="Times New Roman" w:eastAsia="Times New Roman" w:hAnsi="Times New Roman" w:cs="Times New Roman"/>
          <w:kern w:val="0"/>
          <w:lang w:val="en-US" w:eastAsia="pl-PL"/>
          <w14:ligatures w14:val="none"/>
        </w:rPr>
        <w:t xml:space="preserve"> </w:t>
      </w:r>
      <w:sdt>
        <w:sdtPr>
          <w:rPr>
            <w:color w:val="000000"/>
            <w:lang w:val="en-US"/>
          </w:rPr>
          <w:tag w:val="MENDELEY_CITATION_v3_eyJjaXRhdGlvbklEIjoiTUVOREVMRVlfQ0lUQVRJT05fZDBjZDVmNGMtNTk4MC00YzJiLWExZWMtMWYxNTFhMGFkOTBm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
          <w:id w:val="-1128014833"/>
          <w:placeholder>
            <w:docPart w:val="13EC9918B073C8478488F6B48269445C"/>
          </w:placeholder>
        </w:sdtPr>
        <w:sdtContent>
          <w:r w:rsidR="000F6BAD" w:rsidRPr="000F6BAD">
            <w:rPr>
              <w:rFonts w:ascii="Times New Roman" w:hAnsi="Times New Roman" w:cs="Times New Roman"/>
              <w:color w:val="000000"/>
              <w:lang w:val="en-US"/>
            </w:rPr>
            <w:t>[2]</w:t>
          </w:r>
        </w:sdtContent>
      </w:sdt>
      <w:r w:rsidRPr="000F6BAD">
        <w:rPr>
          <w:rFonts w:ascii="Times New Roman" w:eastAsia="Times New Roman" w:hAnsi="Times New Roman" w:cs="Times New Roman"/>
          <w:kern w:val="0"/>
          <w:lang w:val="en-US" w:eastAsia="pl-PL"/>
          <w14:ligatures w14:val="none"/>
        </w:rPr>
        <w:t xml:space="preserve"> (for nivolumab with ipilimumab, confirmation of progression in another assessment after 4-8 weeks is possible).</w:t>
      </w:r>
    </w:p>
    <w:p w14:paraId="090A0A5A"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In the case of </w:t>
      </w:r>
      <w:proofErr w:type="spellStart"/>
      <w:r w:rsidRPr="000F6BAD">
        <w:rPr>
          <w:rFonts w:ascii="Times New Roman" w:eastAsia="Times New Roman" w:hAnsi="Times New Roman" w:cs="Times New Roman"/>
          <w:kern w:val="0"/>
          <w:lang w:val="en-US" w:eastAsia="pl-PL"/>
          <w14:ligatures w14:val="none"/>
        </w:rPr>
        <w:t>oligoprogression</w:t>
      </w:r>
      <w:proofErr w:type="spellEnd"/>
      <w:r w:rsidRPr="000F6BAD">
        <w:rPr>
          <w:rFonts w:ascii="Times New Roman" w:eastAsia="Times New Roman" w:hAnsi="Times New Roman" w:cs="Times New Roman"/>
          <w:kern w:val="0"/>
          <w:lang w:val="en-US" w:eastAsia="pl-PL"/>
          <w14:ligatures w14:val="none"/>
        </w:rPr>
        <w:t xml:space="preserve"> (progression in no more than 5 foci in no more than 3 organs, including the CNS), treatment continuation is allowed if radical local treatment (surgery, stereotactic radiotherapy) is applied to these foci, provided the patient benefits clinically and other lesions remain responsive or stable.</w:t>
      </w:r>
    </w:p>
    <w:p w14:paraId="613BE6ED"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Hypersensitivity to any active substance or excipient.</w:t>
      </w:r>
    </w:p>
    <w:p w14:paraId="5216EFD5"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Pregnancy or breastfeeding.</w:t>
      </w:r>
    </w:p>
    <w:p w14:paraId="54FBA122"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Life-threatening toxicity or significant clinically relevant lower-grade toxicity that recurs despite appropriate management per current SmPC or oncology society guidelines.</w:t>
      </w:r>
    </w:p>
    <w:p w14:paraId="54617EA0"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Persistent significant deterioration in general performance or quality of life preventing treatment continuation.</w:t>
      </w:r>
    </w:p>
    <w:p w14:paraId="3B43A1D5"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Occurrence of diseases or conditions that, in the attending physician's opinion, preclude treatment.</w:t>
      </w:r>
    </w:p>
    <w:p w14:paraId="33BE3954" w14:textId="77777777" w:rsidR="003F5D7A" w:rsidRPr="000F6BAD" w:rsidRDefault="003F5D7A" w:rsidP="003F5D7A">
      <w:pPr>
        <w:numPr>
          <w:ilvl w:val="0"/>
          <w:numId w:val="7"/>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Non-cooperation or non-compliance with medical recommendations, particularly regarding periodic control examinations to assess treatment efficacy and safety.</w:t>
      </w:r>
    </w:p>
    <w:p w14:paraId="23AA1AB8" w14:textId="77777777"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4. Continuation of Patient Treatment After Funding Ends in Non-standard Chemotherapy</w:t>
      </w:r>
    </w:p>
    <w:p w14:paraId="4FCFB818" w14:textId="77777777" w:rsidR="003F5D7A" w:rsidRPr="000F6BAD" w:rsidRDefault="003F5D7A" w:rsidP="003F5D7A">
      <w:pPr>
        <w:numPr>
          <w:ilvl w:val="0"/>
          <w:numId w:val="8"/>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As of April 1, 2018, patients whose treatment was funded under the non-standard chemotherapy program until that date may be qualified for the program.</w:t>
      </w:r>
    </w:p>
    <w:p w14:paraId="6ED653D9" w14:textId="77777777" w:rsidR="003F5D7A" w:rsidRPr="000F6BAD" w:rsidRDefault="003F5D7A" w:rsidP="003F5D7A">
      <w:pPr>
        <w:numPr>
          <w:ilvl w:val="0"/>
          <w:numId w:val="8"/>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The qualification mentioned in point 1 applies to treatment with the same active substance funded under the non-standard chemotherapy program.</w:t>
      </w:r>
    </w:p>
    <w:p w14:paraId="2F5B9196" w14:textId="77777777" w:rsidR="003F5D7A" w:rsidRPr="000F6BAD" w:rsidRDefault="003F5D7A" w:rsidP="003F5D7A">
      <w:pPr>
        <w:numPr>
          <w:ilvl w:val="0"/>
          <w:numId w:val="8"/>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Patients mentioned in point 1 do not need to meet other eligibility criteria at the time of qualification.</w:t>
      </w:r>
    </w:p>
    <w:p w14:paraId="66ECF497" w14:textId="77777777" w:rsidR="003F5D7A" w:rsidRPr="000F6BAD" w:rsidRDefault="003F5D7A" w:rsidP="003F5D7A">
      <w:pPr>
        <w:numPr>
          <w:ilvl w:val="0"/>
          <w:numId w:val="8"/>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Patients mentioned in point 1 continue treatment in the program until the attending physician decides to end treatment with the given drug.</w:t>
      </w:r>
    </w:p>
    <w:p w14:paraId="06B040A9" w14:textId="083F2E70"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Additionally, patients treated with active substances funded in the drug program through other financing methods, except clinical trials for first-line treatment, are eligible for the drug program, provided they met the eligibility criteria at treatment initiation.</w:t>
      </w:r>
    </w:p>
    <w:p w14:paraId="20C01255" w14:textId="33420ED1" w:rsidR="003F5D7A" w:rsidRPr="000F6BAD" w:rsidRDefault="003F5D7A" w:rsidP="003F5D7A">
      <w:pPr>
        <w:pStyle w:val="Akapitzlist"/>
        <w:numPr>
          <w:ilvl w:val="0"/>
          <w:numId w:val="8"/>
        </w:num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lastRenderedPageBreak/>
        <w:t>Dosage</w:t>
      </w:r>
    </w:p>
    <w:p w14:paraId="038C093B" w14:textId="77777777"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The method of administration and any temporary treatment interruptions should follow the current Summary of Product Characteristics (SmPC) or accepted clinical practice. Dose reductions of the medications are permissible according to the current SmPC.</w:t>
      </w:r>
    </w:p>
    <w:p w14:paraId="1991E87D" w14:textId="56CFCF5D"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6. Qualification Tests for Treatment </w:t>
      </w:r>
      <w:proofErr w:type="gramStart"/>
      <w:r w:rsidRPr="000F6BAD">
        <w:rPr>
          <w:rFonts w:ascii="Times New Roman" w:eastAsia="Times New Roman" w:hAnsi="Times New Roman" w:cs="Times New Roman"/>
          <w:kern w:val="0"/>
          <w:lang w:val="en-US" w:eastAsia="pl-PL"/>
          <w14:ligatures w14:val="none"/>
        </w:rPr>
        <w:t>with  Nivolumab</w:t>
      </w:r>
      <w:proofErr w:type="gramEnd"/>
      <w:r w:rsidRPr="000F6BAD">
        <w:rPr>
          <w:rFonts w:ascii="Times New Roman" w:eastAsia="Times New Roman" w:hAnsi="Times New Roman" w:cs="Times New Roman"/>
          <w:kern w:val="0"/>
          <w:lang w:val="en-US" w:eastAsia="pl-PL"/>
          <w14:ligatures w14:val="none"/>
        </w:rPr>
        <w:t xml:space="preserve"> in Combination with Ipilimumab</w:t>
      </w:r>
    </w:p>
    <w:p w14:paraId="0D90B8B0"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Histopathological diagnosis of renal cell </w:t>
      </w:r>
      <w:proofErr w:type="gramStart"/>
      <w:r w:rsidRPr="000F6BAD">
        <w:rPr>
          <w:rFonts w:ascii="Times New Roman" w:eastAsia="Times New Roman" w:hAnsi="Times New Roman" w:cs="Times New Roman"/>
          <w:kern w:val="0"/>
          <w:lang w:val="en-US" w:eastAsia="pl-PL"/>
          <w14:ligatures w14:val="none"/>
        </w:rPr>
        <w:t>carcinoma;</w:t>
      </w:r>
      <w:proofErr w:type="gramEnd"/>
    </w:p>
    <w:p w14:paraId="0409F109"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Complete blood count with </w:t>
      </w:r>
      <w:proofErr w:type="gramStart"/>
      <w:r w:rsidRPr="000F6BAD">
        <w:rPr>
          <w:rFonts w:ascii="Times New Roman" w:eastAsia="Times New Roman" w:hAnsi="Times New Roman" w:cs="Times New Roman"/>
          <w:kern w:val="0"/>
          <w:lang w:val="en-US" w:eastAsia="pl-PL"/>
          <w14:ligatures w14:val="none"/>
        </w:rPr>
        <w:t>differential;</w:t>
      </w:r>
      <w:proofErr w:type="gramEnd"/>
    </w:p>
    <w:p w14:paraId="0C70A97C"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Serum creatinine </w:t>
      </w:r>
      <w:proofErr w:type="gramStart"/>
      <w:r w:rsidRPr="000F6BAD">
        <w:rPr>
          <w:rFonts w:ascii="Times New Roman" w:eastAsia="Times New Roman" w:hAnsi="Times New Roman" w:cs="Times New Roman"/>
          <w:kern w:val="0"/>
          <w:lang w:val="en-US" w:eastAsia="pl-PL"/>
          <w14:ligatures w14:val="none"/>
        </w:rPr>
        <w:t>level;</w:t>
      </w:r>
      <w:proofErr w:type="gramEnd"/>
    </w:p>
    <w:p w14:paraId="5922AAE6"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Serum bilirubin </w:t>
      </w:r>
      <w:proofErr w:type="gramStart"/>
      <w:r w:rsidRPr="000F6BAD">
        <w:rPr>
          <w:rFonts w:ascii="Times New Roman" w:eastAsia="Times New Roman" w:hAnsi="Times New Roman" w:cs="Times New Roman"/>
          <w:kern w:val="0"/>
          <w:lang w:val="en-US" w:eastAsia="pl-PL"/>
          <w14:ligatures w14:val="none"/>
        </w:rPr>
        <w:t>level;</w:t>
      </w:r>
      <w:proofErr w:type="gramEnd"/>
    </w:p>
    <w:p w14:paraId="220323E1"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Alanine aminotransferase (ALT) </w:t>
      </w:r>
      <w:proofErr w:type="gramStart"/>
      <w:r w:rsidRPr="000F6BAD">
        <w:rPr>
          <w:rFonts w:ascii="Times New Roman" w:eastAsia="Times New Roman" w:hAnsi="Times New Roman" w:cs="Times New Roman"/>
          <w:kern w:val="0"/>
          <w:lang w:val="en-US" w:eastAsia="pl-PL"/>
          <w14:ligatures w14:val="none"/>
        </w:rPr>
        <w:t>activity;</w:t>
      </w:r>
      <w:proofErr w:type="gramEnd"/>
    </w:p>
    <w:p w14:paraId="6D843EE9"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Aspartate aminotransferase (AST) </w:t>
      </w:r>
      <w:proofErr w:type="gramStart"/>
      <w:r w:rsidRPr="000F6BAD">
        <w:rPr>
          <w:rFonts w:ascii="Times New Roman" w:eastAsia="Times New Roman" w:hAnsi="Times New Roman" w:cs="Times New Roman"/>
          <w:kern w:val="0"/>
          <w:lang w:val="en-US" w:eastAsia="pl-PL"/>
          <w14:ligatures w14:val="none"/>
        </w:rPr>
        <w:t>activity;</w:t>
      </w:r>
      <w:proofErr w:type="gramEnd"/>
    </w:p>
    <w:p w14:paraId="056E5820"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Lactate dehydrogenase (LDH) </w:t>
      </w:r>
      <w:proofErr w:type="gramStart"/>
      <w:r w:rsidRPr="000F6BAD">
        <w:rPr>
          <w:rFonts w:ascii="Times New Roman" w:eastAsia="Times New Roman" w:hAnsi="Times New Roman" w:cs="Times New Roman"/>
          <w:kern w:val="0"/>
          <w:lang w:val="en-US" w:eastAsia="pl-PL"/>
          <w14:ligatures w14:val="none"/>
        </w:rPr>
        <w:t>activity;</w:t>
      </w:r>
      <w:proofErr w:type="gramEnd"/>
    </w:p>
    <w:p w14:paraId="75377141"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TSH and fT4 levels – for ipilimumab with nivolumab, </w:t>
      </w:r>
      <w:proofErr w:type="spellStart"/>
      <w:proofErr w:type="gramStart"/>
      <w:r w:rsidRPr="000F6BAD">
        <w:rPr>
          <w:rFonts w:ascii="Times New Roman" w:eastAsia="Times New Roman" w:hAnsi="Times New Roman" w:cs="Times New Roman"/>
          <w:kern w:val="0"/>
          <w:lang w:val="en-US" w:eastAsia="pl-PL"/>
          <w14:ligatures w14:val="none"/>
        </w:rPr>
        <w:t>cabozantinib</w:t>
      </w:r>
      <w:proofErr w:type="spellEnd"/>
      <w:r w:rsidRPr="000F6BAD">
        <w:rPr>
          <w:rFonts w:ascii="Times New Roman" w:eastAsia="Times New Roman" w:hAnsi="Times New Roman" w:cs="Times New Roman"/>
          <w:kern w:val="0"/>
          <w:lang w:val="en-US" w:eastAsia="pl-PL"/>
          <w14:ligatures w14:val="none"/>
        </w:rPr>
        <w:t>;</w:t>
      </w:r>
      <w:proofErr w:type="gramEnd"/>
    </w:p>
    <w:p w14:paraId="6B00BC34"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Corrected serum calcium </w:t>
      </w:r>
      <w:proofErr w:type="gramStart"/>
      <w:r w:rsidRPr="000F6BAD">
        <w:rPr>
          <w:rFonts w:ascii="Times New Roman" w:eastAsia="Times New Roman" w:hAnsi="Times New Roman" w:cs="Times New Roman"/>
          <w:kern w:val="0"/>
          <w:lang w:val="en-US" w:eastAsia="pl-PL"/>
          <w14:ligatures w14:val="none"/>
        </w:rPr>
        <w:t>level;</w:t>
      </w:r>
      <w:proofErr w:type="gramEnd"/>
    </w:p>
    <w:p w14:paraId="1640FED2"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Urinalysis – for </w:t>
      </w:r>
      <w:proofErr w:type="spellStart"/>
      <w:proofErr w:type="gramStart"/>
      <w:r w:rsidRPr="000F6BAD">
        <w:rPr>
          <w:rFonts w:ascii="Times New Roman" w:eastAsia="Times New Roman" w:hAnsi="Times New Roman" w:cs="Times New Roman"/>
          <w:kern w:val="0"/>
          <w:lang w:val="en-US" w:eastAsia="pl-PL"/>
          <w14:ligatures w14:val="none"/>
        </w:rPr>
        <w:t>cabozantinib</w:t>
      </w:r>
      <w:proofErr w:type="spellEnd"/>
      <w:r w:rsidRPr="000F6BAD">
        <w:rPr>
          <w:rFonts w:ascii="Times New Roman" w:eastAsia="Times New Roman" w:hAnsi="Times New Roman" w:cs="Times New Roman"/>
          <w:kern w:val="0"/>
          <w:lang w:val="en-US" w:eastAsia="pl-PL"/>
          <w14:ligatures w14:val="none"/>
        </w:rPr>
        <w:t>;</w:t>
      </w:r>
      <w:proofErr w:type="gramEnd"/>
    </w:p>
    <w:p w14:paraId="567C6F5E"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Alkaline phosphatase </w:t>
      </w:r>
      <w:proofErr w:type="gramStart"/>
      <w:r w:rsidRPr="000F6BAD">
        <w:rPr>
          <w:rFonts w:ascii="Times New Roman" w:eastAsia="Times New Roman" w:hAnsi="Times New Roman" w:cs="Times New Roman"/>
          <w:kern w:val="0"/>
          <w:lang w:val="en-US" w:eastAsia="pl-PL"/>
          <w14:ligatures w14:val="none"/>
        </w:rPr>
        <w:t>activity;</w:t>
      </w:r>
      <w:proofErr w:type="gramEnd"/>
    </w:p>
    <w:p w14:paraId="7EC94203"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Serum cholesterol and triglycerides levels – for </w:t>
      </w:r>
      <w:proofErr w:type="spellStart"/>
      <w:proofErr w:type="gramStart"/>
      <w:r w:rsidRPr="000F6BAD">
        <w:rPr>
          <w:rFonts w:ascii="Times New Roman" w:eastAsia="Times New Roman" w:hAnsi="Times New Roman" w:cs="Times New Roman"/>
          <w:kern w:val="0"/>
          <w:lang w:val="en-US" w:eastAsia="pl-PL"/>
          <w14:ligatures w14:val="none"/>
        </w:rPr>
        <w:t>temsirolimus</w:t>
      </w:r>
      <w:proofErr w:type="spellEnd"/>
      <w:r w:rsidRPr="000F6BAD">
        <w:rPr>
          <w:rFonts w:ascii="Times New Roman" w:eastAsia="Times New Roman" w:hAnsi="Times New Roman" w:cs="Times New Roman"/>
          <w:kern w:val="0"/>
          <w:lang w:val="en-US" w:eastAsia="pl-PL"/>
          <w14:ligatures w14:val="none"/>
        </w:rPr>
        <w:t>;</w:t>
      </w:r>
      <w:proofErr w:type="gramEnd"/>
    </w:p>
    <w:p w14:paraId="09F65744"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Blood glucose </w:t>
      </w:r>
      <w:proofErr w:type="gramStart"/>
      <w:r w:rsidRPr="000F6BAD">
        <w:rPr>
          <w:rFonts w:ascii="Times New Roman" w:eastAsia="Times New Roman" w:hAnsi="Times New Roman" w:cs="Times New Roman"/>
          <w:kern w:val="0"/>
          <w:lang w:val="en-US" w:eastAsia="pl-PL"/>
          <w14:ligatures w14:val="none"/>
        </w:rPr>
        <w:t>level;</w:t>
      </w:r>
      <w:proofErr w:type="gramEnd"/>
    </w:p>
    <w:p w14:paraId="4A7E8E04"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Other laboratory tests if clinically </w:t>
      </w:r>
      <w:proofErr w:type="gramStart"/>
      <w:r w:rsidRPr="000F6BAD">
        <w:rPr>
          <w:rFonts w:ascii="Times New Roman" w:eastAsia="Times New Roman" w:hAnsi="Times New Roman" w:cs="Times New Roman"/>
          <w:kern w:val="0"/>
          <w:lang w:val="en-US" w:eastAsia="pl-PL"/>
          <w14:ligatures w14:val="none"/>
        </w:rPr>
        <w:t>indicated;</w:t>
      </w:r>
      <w:proofErr w:type="gramEnd"/>
    </w:p>
    <w:p w14:paraId="741AFFC6"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Pregnancy test for women of childbearing potential (if clinically indicated</w:t>
      </w:r>
      <w:proofErr w:type="gramStart"/>
      <w:r w:rsidRPr="000F6BAD">
        <w:rPr>
          <w:rFonts w:ascii="Times New Roman" w:eastAsia="Times New Roman" w:hAnsi="Times New Roman" w:cs="Times New Roman"/>
          <w:kern w:val="0"/>
          <w:lang w:val="en-US" w:eastAsia="pl-PL"/>
          <w14:ligatures w14:val="none"/>
        </w:rPr>
        <w:t>);</w:t>
      </w:r>
      <w:proofErr w:type="gramEnd"/>
    </w:p>
    <w:p w14:paraId="4AD34458"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Electrocardiogram (ECG</w:t>
      </w:r>
      <w:proofErr w:type="gramStart"/>
      <w:r w:rsidRPr="000F6BAD">
        <w:rPr>
          <w:rFonts w:ascii="Times New Roman" w:eastAsia="Times New Roman" w:hAnsi="Times New Roman" w:cs="Times New Roman"/>
          <w:kern w:val="0"/>
          <w:lang w:val="en-US" w:eastAsia="pl-PL"/>
          <w14:ligatures w14:val="none"/>
        </w:rPr>
        <w:t>);</w:t>
      </w:r>
      <w:proofErr w:type="gramEnd"/>
    </w:p>
    <w:p w14:paraId="25F1AFB9"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Blood pressure </w:t>
      </w:r>
      <w:proofErr w:type="gramStart"/>
      <w:r w:rsidRPr="000F6BAD">
        <w:rPr>
          <w:rFonts w:ascii="Times New Roman" w:eastAsia="Times New Roman" w:hAnsi="Times New Roman" w:cs="Times New Roman"/>
          <w:kern w:val="0"/>
          <w:lang w:val="en-US" w:eastAsia="pl-PL"/>
          <w14:ligatures w14:val="none"/>
        </w:rPr>
        <w:t>measurement;</w:t>
      </w:r>
      <w:proofErr w:type="gramEnd"/>
    </w:p>
    <w:p w14:paraId="43EF182F"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CT scan of the chest and </w:t>
      </w:r>
      <w:proofErr w:type="gramStart"/>
      <w:r w:rsidRPr="000F6BAD">
        <w:rPr>
          <w:rFonts w:ascii="Times New Roman" w:eastAsia="Times New Roman" w:hAnsi="Times New Roman" w:cs="Times New Roman"/>
          <w:kern w:val="0"/>
          <w:lang w:val="en-US" w:eastAsia="pl-PL"/>
          <w14:ligatures w14:val="none"/>
        </w:rPr>
        <w:t>abdomen;</w:t>
      </w:r>
      <w:proofErr w:type="gramEnd"/>
    </w:p>
    <w:p w14:paraId="467FA3F5"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Chest X-ray – only if it allows measurement of lesions and assessment of treatment </w:t>
      </w:r>
      <w:proofErr w:type="gramStart"/>
      <w:r w:rsidRPr="000F6BAD">
        <w:rPr>
          <w:rFonts w:ascii="Times New Roman" w:eastAsia="Times New Roman" w:hAnsi="Times New Roman" w:cs="Times New Roman"/>
          <w:kern w:val="0"/>
          <w:lang w:val="en-US" w:eastAsia="pl-PL"/>
          <w14:ligatures w14:val="none"/>
        </w:rPr>
        <w:t>response;</w:t>
      </w:r>
      <w:proofErr w:type="gramEnd"/>
    </w:p>
    <w:p w14:paraId="29C1C286"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CT or MRI of the brain – for patients suspected of central nervous system metastases (i.e., with CNS symptoms or after prior local treatment of metastases</w:t>
      </w:r>
      <w:proofErr w:type="gramStart"/>
      <w:r w:rsidRPr="000F6BAD">
        <w:rPr>
          <w:rFonts w:ascii="Times New Roman" w:eastAsia="Times New Roman" w:hAnsi="Times New Roman" w:cs="Times New Roman"/>
          <w:kern w:val="0"/>
          <w:lang w:val="en-US" w:eastAsia="pl-PL"/>
          <w14:ligatures w14:val="none"/>
        </w:rPr>
        <w:t>);</w:t>
      </w:r>
      <w:proofErr w:type="gramEnd"/>
    </w:p>
    <w:p w14:paraId="09506454" w14:textId="77777777" w:rsidR="003F5D7A" w:rsidRPr="000F6BAD" w:rsidRDefault="003F5D7A" w:rsidP="003F5D7A">
      <w:pPr>
        <w:numPr>
          <w:ilvl w:val="0"/>
          <w:numId w:val="10"/>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Other imaging studies if clinically indicated.</w:t>
      </w:r>
    </w:p>
    <w:p w14:paraId="6C258F3A" w14:textId="77777777"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Initial imaging studies must enable later objective assessment of treatment response according to current RECIST criteria.</w:t>
      </w:r>
    </w:p>
    <w:p w14:paraId="77F4A46B" w14:textId="74700F42"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7. Monitoring Treatment Safety</w:t>
      </w:r>
    </w:p>
    <w:p w14:paraId="7F54A2EA"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Complete blood count with </w:t>
      </w:r>
      <w:proofErr w:type="gramStart"/>
      <w:r w:rsidRPr="000F6BAD">
        <w:rPr>
          <w:rFonts w:ascii="Times New Roman" w:eastAsia="Times New Roman" w:hAnsi="Times New Roman" w:cs="Times New Roman"/>
          <w:kern w:val="0"/>
          <w:lang w:val="en-US" w:eastAsia="pl-PL"/>
          <w14:ligatures w14:val="none"/>
        </w:rPr>
        <w:t>differential;</w:t>
      </w:r>
      <w:proofErr w:type="gramEnd"/>
    </w:p>
    <w:p w14:paraId="6CFAE98F"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Serum creatinine </w:t>
      </w:r>
      <w:proofErr w:type="gramStart"/>
      <w:r w:rsidRPr="000F6BAD">
        <w:rPr>
          <w:rFonts w:ascii="Times New Roman" w:eastAsia="Times New Roman" w:hAnsi="Times New Roman" w:cs="Times New Roman"/>
          <w:kern w:val="0"/>
          <w:lang w:val="en-US" w:eastAsia="pl-PL"/>
          <w14:ligatures w14:val="none"/>
        </w:rPr>
        <w:t>level;</w:t>
      </w:r>
      <w:proofErr w:type="gramEnd"/>
    </w:p>
    <w:p w14:paraId="70DF0B35"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Serum bilirubin </w:t>
      </w:r>
      <w:proofErr w:type="gramStart"/>
      <w:r w:rsidRPr="000F6BAD">
        <w:rPr>
          <w:rFonts w:ascii="Times New Roman" w:eastAsia="Times New Roman" w:hAnsi="Times New Roman" w:cs="Times New Roman"/>
          <w:kern w:val="0"/>
          <w:lang w:val="en-US" w:eastAsia="pl-PL"/>
          <w14:ligatures w14:val="none"/>
        </w:rPr>
        <w:t>level;</w:t>
      </w:r>
      <w:proofErr w:type="gramEnd"/>
    </w:p>
    <w:p w14:paraId="37BDDEA0"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Alanine aminotransferase (ALT) </w:t>
      </w:r>
      <w:proofErr w:type="gramStart"/>
      <w:r w:rsidRPr="000F6BAD">
        <w:rPr>
          <w:rFonts w:ascii="Times New Roman" w:eastAsia="Times New Roman" w:hAnsi="Times New Roman" w:cs="Times New Roman"/>
          <w:kern w:val="0"/>
          <w:lang w:val="en-US" w:eastAsia="pl-PL"/>
          <w14:ligatures w14:val="none"/>
        </w:rPr>
        <w:t>activity;</w:t>
      </w:r>
      <w:proofErr w:type="gramEnd"/>
    </w:p>
    <w:p w14:paraId="0A126909"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Aspartate aminotransferase (AST) </w:t>
      </w:r>
      <w:proofErr w:type="gramStart"/>
      <w:r w:rsidRPr="000F6BAD">
        <w:rPr>
          <w:rFonts w:ascii="Times New Roman" w:eastAsia="Times New Roman" w:hAnsi="Times New Roman" w:cs="Times New Roman"/>
          <w:kern w:val="0"/>
          <w:lang w:val="en-US" w:eastAsia="pl-PL"/>
          <w14:ligatures w14:val="none"/>
        </w:rPr>
        <w:t>activity;</w:t>
      </w:r>
      <w:proofErr w:type="gramEnd"/>
    </w:p>
    <w:p w14:paraId="7F5427A0"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Urinalysis – for </w:t>
      </w:r>
      <w:proofErr w:type="spellStart"/>
      <w:proofErr w:type="gramStart"/>
      <w:r w:rsidRPr="000F6BAD">
        <w:rPr>
          <w:rFonts w:ascii="Times New Roman" w:eastAsia="Times New Roman" w:hAnsi="Times New Roman" w:cs="Times New Roman"/>
          <w:kern w:val="0"/>
          <w:lang w:val="en-US" w:eastAsia="pl-PL"/>
          <w14:ligatures w14:val="none"/>
        </w:rPr>
        <w:t>cabozantinib</w:t>
      </w:r>
      <w:proofErr w:type="spellEnd"/>
      <w:r w:rsidRPr="000F6BAD">
        <w:rPr>
          <w:rFonts w:ascii="Times New Roman" w:eastAsia="Times New Roman" w:hAnsi="Times New Roman" w:cs="Times New Roman"/>
          <w:kern w:val="0"/>
          <w:lang w:val="en-US" w:eastAsia="pl-PL"/>
          <w14:ligatures w14:val="none"/>
        </w:rPr>
        <w:t>;</w:t>
      </w:r>
      <w:proofErr w:type="gramEnd"/>
    </w:p>
    <w:p w14:paraId="5A812F84"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Serum cholesterol and triglycerides levels – for </w:t>
      </w:r>
      <w:proofErr w:type="spellStart"/>
      <w:proofErr w:type="gramStart"/>
      <w:r w:rsidRPr="000F6BAD">
        <w:rPr>
          <w:rFonts w:ascii="Times New Roman" w:eastAsia="Times New Roman" w:hAnsi="Times New Roman" w:cs="Times New Roman"/>
          <w:kern w:val="0"/>
          <w:lang w:val="en-US" w:eastAsia="pl-PL"/>
          <w14:ligatures w14:val="none"/>
        </w:rPr>
        <w:t>temsirolimus</w:t>
      </w:r>
      <w:proofErr w:type="spellEnd"/>
      <w:r w:rsidRPr="000F6BAD">
        <w:rPr>
          <w:rFonts w:ascii="Times New Roman" w:eastAsia="Times New Roman" w:hAnsi="Times New Roman" w:cs="Times New Roman"/>
          <w:kern w:val="0"/>
          <w:lang w:val="en-US" w:eastAsia="pl-PL"/>
          <w14:ligatures w14:val="none"/>
        </w:rPr>
        <w:t>;</w:t>
      </w:r>
      <w:proofErr w:type="gramEnd"/>
    </w:p>
    <w:p w14:paraId="2908C7AD"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lastRenderedPageBreak/>
        <w:t xml:space="preserve">fT4 and TSH levels – for ipilimumab with nivolumab, </w:t>
      </w:r>
      <w:proofErr w:type="spellStart"/>
      <w:proofErr w:type="gramStart"/>
      <w:r w:rsidRPr="000F6BAD">
        <w:rPr>
          <w:rFonts w:ascii="Times New Roman" w:eastAsia="Times New Roman" w:hAnsi="Times New Roman" w:cs="Times New Roman"/>
          <w:kern w:val="0"/>
          <w:lang w:val="en-US" w:eastAsia="pl-PL"/>
          <w14:ligatures w14:val="none"/>
        </w:rPr>
        <w:t>cabozantinib</w:t>
      </w:r>
      <w:proofErr w:type="spellEnd"/>
      <w:r w:rsidRPr="000F6BAD">
        <w:rPr>
          <w:rFonts w:ascii="Times New Roman" w:eastAsia="Times New Roman" w:hAnsi="Times New Roman" w:cs="Times New Roman"/>
          <w:kern w:val="0"/>
          <w:lang w:val="en-US" w:eastAsia="pl-PL"/>
          <w14:ligatures w14:val="none"/>
        </w:rPr>
        <w:t>;</w:t>
      </w:r>
      <w:proofErr w:type="gramEnd"/>
    </w:p>
    <w:p w14:paraId="50E100D4"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Blood pressure </w:t>
      </w:r>
      <w:proofErr w:type="gramStart"/>
      <w:r w:rsidRPr="000F6BAD">
        <w:rPr>
          <w:rFonts w:ascii="Times New Roman" w:eastAsia="Times New Roman" w:hAnsi="Times New Roman" w:cs="Times New Roman"/>
          <w:kern w:val="0"/>
          <w:lang w:val="en-US" w:eastAsia="pl-PL"/>
          <w14:ligatures w14:val="none"/>
        </w:rPr>
        <w:t>measurement;</w:t>
      </w:r>
      <w:proofErr w:type="gramEnd"/>
    </w:p>
    <w:p w14:paraId="62E99BB5" w14:textId="77777777" w:rsidR="003F5D7A" w:rsidRPr="000F6BAD" w:rsidRDefault="003F5D7A" w:rsidP="003F5D7A">
      <w:pPr>
        <w:numPr>
          <w:ilvl w:val="0"/>
          <w:numId w:val="11"/>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Other tests if clinically indicated.</w:t>
      </w:r>
    </w:p>
    <w:p w14:paraId="1A75C6FF" w14:textId="5F0684AE" w:rsidR="003F5D7A" w:rsidRPr="000F6BAD" w:rsidRDefault="003F5D7A" w:rsidP="005834AC">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Tests are conducted</w:t>
      </w:r>
      <w:r w:rsidR="005834AC" w:rsidRPr="000F6BAD">
        <w:rPr>
          <w:rFonts w:ascii="Times New Roman" w:eastAsia="Times New Roman" w:hAnsi="Times New Roman" w:cs="Times New Roman"/>
          <w:kern w:val="0"/>
          <w:lang w:val="en-US" w:eastAsia="pl-PL"/>
          <w14:ligatures w14:val="none"/>
        </w:rPr>
        <w:t xml:space="preserve"> e</w:t>
      </w:r>
      <w:r w:rsidRPr="000F6BAD">
        <w:rPr>
          <w:rFonts w:ascii="Times New Roman" w:eastAsia="Times New Roman" w:hAnsi="Times New Roman" w:cs="Times New Roman"/>
          <w:kern w:val="0"/>
          <w:lang w:val="en-US" w:eastAsia="pl-PL"/>
          <w14:ligatures w14:val="none"/>
        </w:rPr>
        <w:t>very 3-6 weeks – during combination therapy with ipilimumab and nivolumab.</w:t>
      </w:r>
    </w:p>
    <w:p w14:paraId="335FDFC2" w14:textId="77777777"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Safety monitoring tests can be performed more frequently if clinically indicated.</w:t>
      </w:r>
    </w:p>
    <w:p w14:paraId="0017D505" w14:textId="2FB5D82F"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8. Monitoring Treatment Effectiveness</w:t>
      </w:r>
    </w:p>
    <w:p w14:paraId="2D53D57E" w14:textId="77777777" w:rsidR="003F5D7A" w:rsidRPr="000F6BAD" w:rsidRDefault="003F5D7A" w:rsidP="003F5D7A">
      <w:pPr>
        <w:numPr>
          <w:ilvl w:val="0"/>
          <w:numId w:val="13"/>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CT or MRI of the relevant </w:t>
      </w:r>
      <w:proofErr w:type="gramStart"/>
      <w:r w:rsidRPr="000F6BAD">
        <w:rPr>
          <w:rFonts w:ascii="Times New Roman" w:eastAsia="Times New Roman" w:hAnsi="Times New Roman" w:cs="Times New Roman"/>
          <w:kern w:val="0"/>
          <w:lang w:val="en-US" w:eastAsia="pl-PL"/>
          <w14:ligatures w14:val="none"/>
        </w:rPr>
        <w:t>area;</w:t>
      </w:r>
      <w:proofErr w:type="gramEnd"/>
    </w:p>
    <w:p w14:paraId="043210DB" w14:textId="77777777" w:rsidR="003F5D7A" w:rsidRPr="000F6BAD" w:rsidRDefault="003F5D7A" w:rsidP="003F5D7A">
      <w:pPr>
        <w:numPr>
          <w:ilvl w:val="0"/>
          <w:numId w:val="13"/>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Chest X-ray – if no CT scan is </w:t>
      </w:r>
      <w:proofErr w:type="gramStart"/>
      <w:r w:rsidRPr="000F6BAD">
        <w:rPr>
          <w:rFonts w:ascii="Times New Roman" w:eastAsia="Times New Roman" w:hAnsi="Times New Roman" w:cs="Times New Roman"/>
          <w:kern w:val="0"/>
          <w:lang w:val="en-US" w:eastAsia="pl-PL"/>
          <w14:ligatures w14:val="none"/>
        </w:rPr>
        <w:t>performed;</w:t>
      </w:r>
      <w:proofErr w:type="gramEnd"/>
    </w:p>
    <w:p w14:paraId="0FBD46A7" w14:textId="77777777" w:rsidR="003F5D7A" w:rsidRPr="000F6BAD" w:rsidRDefault="003F5D7A" w:rsidP="003F5D7A">
      <w:pPr>
        <w:numPr>
          <w:ilvl w:val="0"/>
          <w:numId w:val="13"/>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Other imaging studies if clinically indicated.</w:t>
      </w:r>
    </w:p>
    <w:p w14:paraId="6B4C24C5" w14:textId="77777777"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Tests are conducted:</w:t>
      </w:r>
    </w:p>
    <w:p w14:paraId="632B8AEE" w14:textId="77777777" w:rsidR="003F5D7A" w:rsidRPr="000F6BAD" w:rsidRDefault="003F5D7A" w:rsidP="003F5D7A">
      <w:pPr>
        <w:numPr>
          <w:ilvl w:val="0"/>
          <w:numId w:val="14"/>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At least every 12 weeks (with possible delay up to 2 weeks if treatment interruptions occur</w:t>
      </w:r>
      <w:proofErr w:type="gramStart"/>
      <w:r w:rsidRPr="000F6BAD">
        <w:rPr>
          <w:rFonts w:ascii="Times New Roman" w:eastAsia="Times New Roman" w:hAnsi="Times New Roman" w:cs="Times New Roman"/>
          <w:kern w:val="0"/>
          <w:lang w:val="en-US" w:eastAsia="pl-PL"/>
          <w14:ligatures w14:val="none"/>
        </w:rPr>
        <w:t>);</w:t>
      </w:r>
      <w:proofErr w:type="gramEnd"/>
    </w:p>
    <w:p w14:paraId="187DC5EC" w14:textId="77777777" w:rsidR="003F5D7A" w:rsidRPr="000F6BAD" w:rsidRDefault="003F5D7A" w:rsidP="003F5D7A">
      <w:pPr>
        <w:numPr>
          <w:ilvl w:val="0"/>
          <w:numId w:val="14"/>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If treatment extends beyond 3 years, imaging tests can be performed at least every 6 months (with possible delay up to 4 weeks if treatment interruptions occur</w:t>
      </w:r>
      <w:proofErr w:type="gramStart"/>
      <w:r w:rsidRPr="000F6BAD">
        <w:rPr>
          <w:rFonts w:ascii="Times New Roman" w:eastAsia="Times New Roman" w:hAnsi="Times New Roman" w:cs="Times New Roman"/>
          <w:kern w:val="0"/>
          <w:lang w:val="en-US" w:eastAsia="pl-PL"/>
          <w14:ligatures w14:val="none"/>
        </w:rPr>
        <w:t>);</w:t>
      </w:r>
      <w:proofErr w:type="gramEnd"/>
    </w:p>
    <w:p w14:paraId="2C1EB312" w14:textId="77777777" w:rsidR="003F5D7A" w:rsidRPr="000F6BAD" w:rsidRDefault="003F5D7A" w:rsidP="003F5D7A">
      <w:pPr>
        <w:numPr>
          <w:ilvl w:val="0"/>
          <w:numId w:val="14"/>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At the time of program discontinuation, unless due to documented disease progression, and always if clinically indicated.</w:t>
      </w:r>
    </w:p>
    <w:p w14:paraId="30C88631" w14:textId="48DC6AB5" w:rsidR="003F5D7A" w:rsidRPr="000F6BAD" w:rsidRDefault="003F5D7A"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The conducted imaging studies must enable objective assessment of treatment response. Treatment response evaluation should follow current RECIST criteria</w:t>
      </w:r>
      <w:r w:rsidR="007C2DB8" w:rsidRPr="000F6BAD">
        <w:rPr>
          <w:rFonts w:ascii="Times New Roman" w:eastAsia="Times New Roman" w:hAnsi="Times New Roman" w:cs="Times New Roman"/>
          <w:kern w:val="0"/>
          <w:lang w:val="en-US" w:eastAsia="pl-PL"/>
          <w14:ligatures w14:val="none"/>
        </w:rPr>
        <w:t xml:space="preserve"> </w:t>
      </w:r>
      <w:sdt>
        <w:sdtPr>
          <w:rPr>
            <w:color w:val="000000"/>
            <w:lang w:val="en-US"/>
          </w:rPr>
          <w:tag w:val="MENDELEY_CITATION_v3_eyJjaXRhdGlvbklEIjoiTUVOREVMRVlfQ0lUQVRJT05fOWZkYWU0ODItZTE0OS00MmU2LWEwOWYtMThjYjhkZTNjNTg0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
          <w:id w:val="-977446927"/>
          <w:placeholder>
            <w:docPart w:val="292A4B06D730F343A2ADA349DA10A7D7"/>
          </w:placeholder>
        </w:sdtPr>
        <w:sdtContent>
          <w:r w:rsidR="000F6BAD" w:rsidRPr="000F6BAD">
            <w:rPr>
              <w:rFonts w:ascii="Times New Roman" w:hAnsi="Times New Roman" w:cs="Times New Roman"/>
              <w:color w:val="000000"/>
              <w:lang w:val="en-US"/>
            </w:rPr>
            <w:t>[2]</w:t>
          </w:r>
        </w:sdtContent>
      </w:sdt>
      <w:r w:rsidRPr="000F6BAD">
        <w:rPr>
          <w:rFonts w:ascii="Times New Roman" w:eastAsia="Times New Roman" w:hAnsi="Times New Roman" w:cs="Times New Roman"/>
          <w:kern w:val="0"/>
          <w:lang w:val="en-US" w:eastAsia="pl-PL"/>
          <w14:ligatures w14:val="none"/>
        </w:rPr>
        <w:t>. Monitoring the effectiveness and safety of treatment for patients mentioned in section Beneficiaries, item 4 should be conducted the same as for other patients.</w:t>
      </w:r>
    </w:p>
    <w:p w14:paraId="17D0D8AD" w14:textId="4218FED8" w:rsidR="003F5D7A" w:rsidRPr="000F6BAD" w:rsidRDefault="003F5D7A" w:rsidP="003F5D7A">
      <w:pPr>
        <w:spacing w:before="100" w:beforeAutospacing="1" w:after="100" w:afterAutospacing="1" w:line="276" w:lineRule="auto"/>
        <w:outlineLvl w:val="2"/>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9. Program Monitoring</w:t>
      </w:r>
    </w:p>
    <w:p w14:paraId="42151447" w14:textId="77777777" w:rsidR="003F5D7A" w:rsidRPr="000F6BAD" w:rsidRDefault="003F5D7A" w:rsidP="003F5D7A">
      <w:pPr>
        <w:numPr>
          <w:ilvl w:val="0"/>
          <w:numId w:val="15"/>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Collecting treatment monitoring data in medical records and presenting them on request to National Health Fund (NHF) </w:t>
      </w:r>
      <w:proofErr w:type="gramStart"/>
      <w:r w:rsidRPr="000F6BAD">
        <w:rPr>
          <w:rFonts w:ascii="Times New Roman" w:eastAsia="Times New Roman" w:hAnsi="Times New Roman" w:cs="Times New Roman"/>
          <w:kern w:val="0"/>
          <w:lang w:val="en-US" w:eastAsia="pl-PL"/>
          <w14:ligatures w14:val="none"/>
        </w:rPr>
        <w:t>inspectors;</w:t>
      </w:r>
      <w:proofErr w:type="gramEnd"/>
    </w:p>
    <w:p w14:paraId="3DB7C0CF" w14:textId="77777777" w:rsidR="003F5D7A" w:rsidRPr="000F6BAD" w:rsidRDefault="003F5D7A" w:rsidP="003F5D7A">
      <w:pPr>
        <w:numPr>
          <w:ilvl w:val="0"/>
          <w:numId w:val="15"/>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Updating data in the electronic drug program monitoring system available via an internet application provided by NHF, as per program description and at treatment </w:t>
      </w:r>
      <w:proofErr w:type="gramStart"/>
      <w:r w:rsidRPr="000F6BAD">
        <w:rPr>
          <w:rFonts w:ascii="Times New Roman" w:eastAsia="Times New Roman" w:hAnsi="Times New Roman" w:cs="Times New Roman"/>
          <w:kern w:val="0"/>
          <w:lang w:val="en-US" w:eastAsia="pl-PL"/>
          <w14:ligatures w14:val="none"/>
        </w:rPr>
        <w:t>termination;</w:t>
      </w:r>
      <w:proofErr w:type="gramEnd"/>
    </w:p>
    <w:p w14:paraId="4D6C96F2" w14:textId="77777777" w:rsidR="003F5D7A" w:rsidRPr="000F6BAD" w:rsidRDefault="003F5D7A" w:rsidP="003F5D7A">
      <w:pPr>
        <w:numPr>
          <w:ilvl w:val="0"/>
          <w:numId w:val="15"/>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 xml:space="preserve">Reporting and billing information to NHF (in paper or electronic form) as per NHF </w:t>
      </w:r>
      <w:proofErr w:type="gramStart"/>
      <w:r w:rsidRPr="000F6BAD">
        <w:rPr>
          <w:rFonts w:ascii="Times New Roman" w:eastAsia="Times New Roman" w:hAnsi="Times New Roman" w:cs="Times New Roman"/>
          <w:kern w:val="0"/>
          <w:lang w:val="en-US" w:eastAsia="pl-PL"/>
          <w14:ligatures w14:val="none"/>
        </w:rPr>
        <w:t>requirements;</w:t>
      </w:r>
      <w:proofErr w:type="gramEnd"/>
    </w:p>
    <w:p w14:paraId="59E7A245" w14:textId="77777777" w:rsidR="003F5D7A" w:rsidRPr="000F6BAD" w:rsidRDefault="003F5D7A" w:rsidP="003F5D7A">
      <w:pPr>
        <w:numPr>
          <w:ilvl w:val="0"/>
          <w:numId w:val="15"/>
        </w:num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0F6BAD">
        <w:rPr>
          <w:rFonts w:ascii="Times New Roman" w:eastAsia="Times New Roman" w:hAnsi="Times New Roman" w:cs="Times New Roman"/>
          <w:kern w:val="0"/>
          <w:lang w:val="en-US" w:eastAsia="pl-PL"/>
          <w14:ligatures w14:val="none"/>
        </w:rPr>
        <w:t>For patients mentioned in section Beneficiaries, item 4, point 1, no data and information updates are required in the electronic drug program monitoring system.</w:t>
      </w:r>
    </w:p>
    <w:p w14:paraId="01DB8DCA" w14:textId="77777777" w:rsidR="00B925DE" w:rsidRDefault="00B925DE" w:rsidP="00B925DE">
      <w:pPr>
        <w:spacing w:before="100" w:beforeAutospacing="1" w:after="100" w:afterAutospacing="1" w:line="276" w:lineRule="auto"/>
        <w:rPr>
          <w:rFonts w:ascii="Times New Roman" w:eastAsia="Times New Roman" w:hAnsi="Times New Roman" w:cs="Times New Roman"/>
          <w:kern w:val="0"/>
          <w:lang w:val="en-US" w:eastAsia="pl-PL"/>
          <w14:ligatures w14:val="none"/>
        </w:rPr>
      </w:pPr>
    </w:p>
    <w:p w14:paraId="154D5D54" w14:textId="77777777" w:rsidR="000F6BAD" w:rsidRPr="000F6BAD" w:rsidRDefault="000F6BAD" w:rsidP="00B925DE">
      <w:pPr>
        <w:spacing w:before="100" w:beforeAutospacing="1" w:after="100" w:afterAutospacing="1" w:line="276" w:lineRule="auto"/>
        <w:rPr>
          <w:rFonts w:ascii="Times New Roman" w:eastAsia="Times New Roman" w:hAnsi="Times New Roman" w:cs="Times New Roman"/>
          <w:kern w:val="0"/>
          <w:lang w:val="en-US" w:eastAsia="pl-PL"/>
          <w14:ligatures w14:val="none"/>
        </w:rPr>
      </w:pPr>
    </w:p>
    <w:p w14:paraId="18E3E44F" w14:textId="2D01B003" w:rsidR="00B925DE" w:rsidRPr="005834AC" w:rsidRDefault="00B925DE" w:rsidP="00B925DE">
      <w:pPr>
        <w:spacing w:before="100" w:beforeAutospacing="1" w:after="100" w:afterAutospacing="1" w:line="276" w:lineRule="auto"/>
        <w:rPr>
          <w:rFonts w:ascii="Times New Roman" w:eastAsia="Times New Roman" w:hAnsi="Times New Roman" w:cs="Times New Roman"/>
          <w:b/>
          <w:bCs/>
          <w:kern w:val="0"/>
          <w:lang w:val="en-US" w:eastAsia="pl-PL"/>
          <w14:ligatures w14:val="none"/>
        </w:rPr>
      </w:pPr>
      <w:r w:rsidRPr="005834AC">
        <w:rPr>
          <w:rFonts w:ascii="Times New Roman" w:eastAsia="Times New Roman" w:hAnsi="Times New Roman" w:cs="Times New Roman"/>
          <w:b/>
          <w:bCs/>
          <w:kern w:val="0"/>
          <w:lang w:val="en-US" w:eastAsia="pl-PL"/>
          <w14:ligatures w14:val="none"/>
        </w:rPr>
        <w:lastRenderedPageBreak/>
        <w:t>Definitions</w:t>
      </w:r>
    </w:p>
    <w:p w14:paraId="2E07EB64" w14:textId="384BEDAB" w:rsidR="007247DC" w:rsidRPr="005834AC" w:rsidRDefault="007247DC" w:rsidP="00B925DE">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5834AC">
        <w:rPr>
          <w:rFonts w:ascii="Times New Roman" w:eastAsia="Times New Roman" w:hAnsi="Times New Roman" w:cs="Times New Roman"/>
          <w:kern w:val="0"/>
          <w:lang w:val="en-US" w:eastAsia="pl-PL"/>
          <w14:ligatures w14:val="none"/>
        </w:rPr>
        <w:t>Efficacy parameters</w:t>
      </w:r>
    </w:p>
    <w:p w14:paraId="59FB5BC4" w14:textId="77777777" w:rsidR="00B925DE" w:rsidRPr="005834AC" w:rsidRDefault="00B925DE" w:rsidP="00B925DE">
      <w:pPr>
        <w:pStyle w:val="Akapitzlist"/>
        <w:numPr>
          <w:ilvl w:val="0"/>
          <w:numId w:val="16"/>
        </w:numPr>
        <w:spacing w:before="100" w:beforeAutospacing="1" w:after="100" w:afterAutospacing="1" w:line="276" w:lineRule="auto"/>
        <w:rPr>
          <w:rFonts w:ascii="Times New Roman" w:eastAsia="Times New Roman" w:hAnsi="Times New Roman" w:cs="Times New Roman"/>
          <w:b/>
          <w:bCs/>
          <w:kern w:val="0"/>
          <w:lang w:val="en-US" w:eastAsia="pl-PL"/>
          <w14:ligatures w14:val="none"/>
        </w:rPr>
      </w:pPr>
      <w:r w:rsidRPr="005834AC">
        <w:rPr>
          <w:rFonts w:ascii="Times New Roman" w:hAnsi="Times New Roman" w:cs="Times New Roman"/>
          <w:lang w:val="en-US"/>
        </w:rPr>
        <w:t xml:space="preserve">Overall survival (OS) - the duration from the initiation of combined immunotherapy to the patient's </w:t>
      </w:r>
      <w:proofErr w:type="gramStart"/>
      <w:r w:rsidRPr="005834AC">
        <w:rPr>
          <w:rFonts w:ascii="Times New Roman" w:hAnsi="Times New Roman" w:cs="Times New Roman"/>
          <w:lang w:val="en-US"/>
        </w:rPr>
        <w:t>death</w:t>
      </w:r>
      <w:r w:rsidRPr="005834AC">
        <w:rPr>
          <w:rFonts w:ascii="Times New Roman" w:eastAsia="Aptos" w:hAnsi="Times New Roman" w:cs="Times New Roman"/>
          <w:lang w:val="en-US"/>
        </w:rPr>
        <w:t>;</w:t>
      </w:r>
      <w:proofErr w:type="gramEnd"/>
      <w:r w:rsidRPr="005834AC">
        <w:rPr>
          <w:rFonts w:ascii="Times New Roman" w:hAnsi="Times New Roman" w:cs="Times New Roman"/>
          <w:lang w:val="en-US"/>
        </w:rPr>
        <w:t xml:space="preserve"> </w:t>
      </w:r>
    </w:p>
    <w:p w14:paraId="2A7B0D57" w14:textId="77777777" w:rsidR="00B925DE" w:rsidRPr="005834AC" w:rsidRDefault="00B925DE" w:rsidP="00B925DE">
      <w:pPr>
        <w:pStyle w:val="Akapitzlist"/>
        <w:numPr>
          <w:ilvl w:val="0"/>
          <w:numId w:val="16"/>
        </w:numPr>
        <w:spacing w:before="100" w:beforeAutospacing="1" w:after="100" w:afterAutospacing="1" w:line="276" w:lineRule="auto"/>
        <w:rPr>
          <w:rFonts w:ascii="Times New Roman" w:eastAsia="Times New Roman" w:hAnsi="Times New Roman" w:cs="Times New Roman"/>
          <w:b/>
          <w:bCs/>
          <w:kern w:val="0"/>
          <w:lang w:val="en-US" w:eastAsia="pl-PL"/>
          <w14:ligatures w14:val="none"/>
        </w:rPr>
      </w:pPr>
      <w:r w:rsidRPr="005834AC">
        <w:rPr>
          <w:rFonts w:ascii="Times New Roman" w:hAnsi="Times New Roman" w:cs="Times New Roman"/>
          <w:lang w:val="en-US"/>
        </w:rPr>
        <w:t>Progression-free survival (PFS)</w:t>
      </w:r>
      <w:r w:rsidRPr="005834AC">
        <w:rPr>
          <w:rFonts w:ascii="Times New Roman" w:eastAsia="Aptos" w:hAnsi="Times New Roman" w:cs="Times New Roman"/>
          <w:lang w:val="en-US"/>
        </w:rPr>
        <w:t xml:space="preserve">- </w:t>
      </w:r>
      <w:r w:rsidRPr="005834AC">
        <w:rPr>
          <w:rFonts w:ascii="Times New Roman" w:hAnsi="Times New Roman" w:cs="Times New Roman"/>
          <w:lang w:val="en-US"/>
        </w:rPr>
        <w:t xml:space="preserve">the period from the onset of combined immunotherapy to PD </w:t>
      </w:r>
      <w:r w:rsidRPr="005834AC">
        <w:rPr>
          <w:rFonts w:ascii="Times New Roman" w:eastAsia="Aptos" w:hAnsi="Times New Roman" w:cs="Times New Roman"/>
          <w:lang w:val="en-US"/>
        </w:rPr>
        <w:t>on</w:t>
      </w:r>
      <w:r w:rsidRPr="005834AC">
        <w:rPr>
          <w:rFonts w:ascii="Times New Roman" w:hAnsi="Times New Roman" w:cs="Times New Roman"/>
          <w:lang w:val="en-US"/>
        </w:rPr>
        <w:t xml:space="preserve"> CT scan or </w:t>
      </w:r>
      <w:r w:rsidRPr="005834AC">
        <w:rPr>
          <w:rFonts w:ascii="Times New Roman" w:eastAsia="Aptos" w:hAnsi="Times New Roman" w:cs="Times New Roman"/>
          <w:lang w:val="en-US"/>
        </w:rPr>
        <w:t>patient</w:t>
      </w:r>
      <w:r w:rsidRPr="005834AC">
        <w:rPr>
          <w:rFonts w:ascii="Times New Roman" w:hAnsi="Times New Roman" w:cs="Times New Roman"/>
          <w:lang w:val="en-US"/>
        </w:rPr>
        <w:t xml:space="preserve"> </w:t>
      </w:r>
      <w:proofErr w:type="gramStart"/>
      <w:r w:rsidRPr="005834AC">
        <w:rPr>
          <w:rFonts w:ascii="Times New Roman" w:hAnsi="Times New Roman" w:cs="Times New Roman"/>
          <w:lang w:val="en-US"/>
        </w:rPr>
        <w:t>death</w:t>
      </w:r>
      <w:r w:rsidRPr="005834AC">
        <w:rPr>
          <w:rFonts w:ascii="Times New Roman" w:eastAsia="Aptos" w:hAnsi="Times New Roman" w:cs="Times New Roman"/>
          <w:lang w:val="en-US"/>
        </w:rPr>
        <w:t>;</w:t>
      </w:r>
      <w:proofErr w:type="gramEnd"/>
      <w:r w:rsidRPr="005834AC">
        <w:rPr>
          <w:rFonts w:ascii="Times New Roman" w:hAnsi="Times New Roman" w:cs="Times New Roman"/>
          <w:lang w:val="en-US"/>
        </w:rPr>
        <w:t xml:space="preserve"> </w:t>
      </w:r>
    </w:p>
    <w:p w14:paraId="73CF7DE3" w14:textId="77777777" w:rsidR="00B925DE" w:rsidRPr="005834AC" w:rsidRDefault="00B925DE" w:rsidP="00B925DE">
      <w:pPr>
        <w:pStyle w:val="Akapitzlist"/>
        <w:numPr>
          <w:ilvl w:val="0"/>
          <w:numId w:val="16"/>
        </w:numPr>
        <w:spacing w:before="100" w:beforeAutospacing="1" w:after="100" w:afterAutospacing="1" w:line="276" w:lineRule="auto"/>
        <w:rPr>
          <w:rFonts w:ascii="Times New Roman" w:eastAsia="Times New Roman" w:hAnsi="Times New Roman" w:cs="Times New Roman"/>
          <w:b/>
          <w:bCs/>
          <w:kern w:val="0"/>
          <w:lang w:val="en-US" w:eastAsia="pl-PL"/>
          <w14:ligatures w14:val="none"/>
        </w:rPr>
      </w:pPr>
      <w:r w:rsidRPr="005834AC">
        <w:rPr>
          <w:rFonts w:ascii="Times New Roman" w:hAnsi="Times New Roman" w:cs="Times New Roman"/>
          <w:lang w:val="en-US"/>
        </w:rPr>
        <w:t>Overall response rate (ORR), comprising complete remission (CR) or partial response (PR)</w:t>
      </w:r>
    </w:p>
    <w:p w14:paraId="226CA37A" w14:textId="0ECC8138" w:rsidR="00B925DE" w:rsidRPr="005834AC" w:rsidRDefault="00B925DE" w:rsidP="00B925DE">
      <w:pPr>
        <w:pStyle w:val="Akapitzlist"/>
        <w:numPr>
          <w:ilvl w:val="0"/>
          <w:numId w:val="16"/>
        </w:numPr>
        <w:spacing w:before="100" w:beforeAutospacing="1" w:after="100" w:afterAutospacing="1" w:line="276" w:lineRule="auto"/>
        <w:rPr>
          <w:rFonts w:ascii="Times New Roman" w:eastAsia="Times New Roman" w:hAnsi="Times New Roman" w:cs="Times New Roman"/>
          <w:b/>
          <w:bCs/>
          <w:kern w:val="0"/>
          <w:lang w:val="en-US" w:eastAsia="pl-PL"/>
          <w14:ligatures w14:val="none"/>
        </w:rPr>
      </w:pPr>
      <w:r w:rsidRPr="005834AC">
        <w:rPr>
          <w:rFonts w:ascii="Times New Roman" w:hAnsi="Times New Roman" w:cs="Times New Roman"/>
          <w:lang w:val="en-US"/>
        </w:rPr>
        <w:t xml:space="preserve">Disease control rate (DCR), encompassing CR, PR, and stable disease (SD) (both according to RECIST 1.1 </w:t>
      </w:r>
      <w:sdt>
        <w:sdtPr>
          <w:rPr>
            <w:color w:val="000000"/>
            <w:lang w:val="en-US"/>
          </w:rPr>
          <w:tag w:val="MENDELEY_CITATION_v3_eyJjaXRhdGlvbklEIjoiTUVOREVMRVlfQ0lUQVRJT05fZDJhMjEwMTUtODRjZC00OTNhLTgyNWItYzk1NGUyNjczOTY0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
          <w:id w:val="-1083844177"/>
          <w:placeholder>
            <w:docPart w:val="C389C9149E3C6C48BB15B5C318A0DE2C"/>
          </w:placeholder>
        </w:sdtPr>
        <w:sdtContent>
          <w:r w:rsidR="000F6BAD" w:rsidRPr="000F6BAD">
            <w:rPr>
              <w:rFonts w:ascii="Times New Roman" w:hAnsi="Times New Roman" w:cs="Times New Roman"/>
              <w:color w:val="000000"/>
              <w:lang w:val="en-US"/>
            </w:rPr>
            <w:t>[2]</w:t>
          </w:r>
        </w:sdtContent>
      </w:sdt>
    </w:p>
    <w:p w14:paraId="3A807A73" w14:textId="2BF500D2" w:rsidR="003F5D7A" w:rsidRPr="005834AC" w:rsidRDefault="007247DC" w:rsidP="003F5D7A">
      <w:pPr>
        <w:spacing w:before="100" w:beforeAutospacing="1" w:after="100" w:afterAutospacing="1" w:line="276" w:lineRule="auto"/>
        <w:rPr>
          <w:rFonts w:ascii="Times New Roman" w:eastAsia="Times New Roman" w:hAnsi="Times New Roman" w:cs="Times New Roman"/>
          <w:kern w:val="0"/>
          <w:lang w:val="en-US" w:eastAsia="pl-PL"/>
          <w14:ligatures w14:val="none"/>
        </w:rPr>
      </w:pPr>
      <w:r w:rsidRPr="005834AC">
        <w:rPr>
          <w:rFonts w:ascii="Times New Roman" w:eastAsia="Times New Roman" w:hAnsi="Times New Roman" w:cs="Times New Roman"/>
          <w:kern w:val="0"/>
          <w:lang w:val="en-US" w:eastAsia="pl-PL"/>
          <w14:ligatures w14:val="none"/>
        </w:rPr>
        <w:t>Comorbidities</w:t>
      </w:r>
      <w:r w:rsidR="0038370B">
        <w:rPr>
          <w:rFonts w:ascii="Times New Roman" w:eastAsia="Times New Roman" w:hAnsi="Times New Roman" w:cs="Times New Roman"/>
          <w:kern w:val="0"/>
          <w:lang w:val="en-US" w:eastAsia="pl-PL"/>
          <w14:ligatures w14:val="none"/>
        </w:rPr>
        <w:t xml:space="preserve"> </w:t>
      </w:r>
      <w:sdt>
        <w:sdtPr>
          <w:rPr>
            <w:rFonts w:ascii="Times New Roman" w:eastAsia="Times New Roman" w:hAnsi="Times New Roman" w:cs="Times New Roman"/>
            <w:color w:val="000000"/>
            <w:kern w:val="0"/>
            <w:lang w:val="en-US" w:eastAsia="pl-PL"/>
            <w14:ligatures w14:val="none"/>
          </w:rPr>
          <w:tag w:val="MENDELEY_CITATION_v3_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"/>
          <w:id w:val="-1851244932"/>
          <w:placeholder>
            <w:docPart w:val="DefaultPlaceholder_-1854013440"/>
          </w:placeholder>
        </w:sdtPr>
        <w:sdtContent>
          <w:r w:rsidR="000F6BAD">
            <w:rPr>
              <w:rFonts w:ascii="Times New Roman" w:eastAsia="Times New Roman" w:hAnsi="Times New Roman" w:cs="Times New Roman"/>
              <w:color w:val="000000"/>
              <w:kern w:val="0"/>
              <w:lang w:val="en-US" w:eastAsia="pl-PL"/>
              <w14:ligatures w14:val="none"/>
            </w:rPr>
            <w:t>[3]</w:t>
          </w:r>
        </w:sdtContent>
      </w:sdt>
    </w:p>
    <w:p w14:paraId="43506878" w14:textId="1A0B802B"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Arterial hypertension- history of blood pressure &gt; 140/90 mmHg or current antihypertensive treatment)</w:t>
      </w:r>
    </w:p>
    <w:p w14:paraId="41ACABAD" w14:textId="77777777"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 xml:space="preserve">Hypercholesterolemia - a total serum cholesterol &gt; 5.2 mmol/L or ongoing </w:t>
      </w:r>
      <w:proofErr w:type="spellStart"/>
      <w:r w:rsidRPr="005834AC">
        <w:rPr>
          <w:rFonts w:ascii="Times New Roman" w:hAnsi="Times New Roman" w:cs="Times New Roman"/>
          <w:color w:val="222222"/>
          <w:shd w:val="clear" w:color="auto" w:fill="FFFFFF"/>
          <w:lang w:val="en-US"/>
        </w:rPr>
        <w:t>antihypercholesterolemic</w:t>
      </w:r>
      <w:proofErr w:type="spellEnd"/>
      <w:r w:rsidRPr="005834AC">
        <w:rPr>
          <w:rFonts w:ascii="Times New Roman" w:hAnsi="Times New Roman" w:cs="Times New Roman"/>
          <w:color w:val="222222"/>
          <w:shd w:val="clear" w:color="auto" w:fill="FFFFFF"/>
          <w:lang w:val="en-US"/>
        </w:rPr>
        <w:t xml:space="preserve"> therapy</w:t>
      </w:r>
    </w:p>
    <w:p w14:paraId="43982452" w14:textId="77777777"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Renal insufficiency- glomerular filtration rate [GFR] lower than 90 but higher than 60 mL/min/1.73 m</w:t>
      </w:r>
      <w:r w:rsidRPr="005834AC">
        <w:rPr>
          <w:rFonts w:ascii="Times New Roman" w:hAnsi="Times New Roman" w:cs="Times New Roman"/>
          <w:color w:val="222222"/>
          <w:shd w:val="clear" w:color="auto" w:fill="FFFFFF"/>
          <w:vertAlign w:val="superscript"/>
          <w:lang w:val="en-US"/>
        </w:rPr>
        <w:t>2</w:t>
      </w:r>
    </w:p>
    <w:p w14:paraId="12C62BEE" w14:textId="77777777"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Heart failure - ejection fraction &lt; 50%</w:t>
      </w:r>
    </w:p>
    <w:p w14:paraId="689B15C3" w14:textId="246CB49B"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Ischemic heart disease - symptoms of chest pain or myocardial infarct</w:t>
      </w:r>
      <w:r w:rsidR="00452571">
        <w:rPr>
          <w:rFonts w:ascii="Times New Roman" w:hAnsi="Times New Roman" w:cs="Times New Roman"/>
          <w:color w:val="222222"/>
          <w:shd w:val="clear" w:color="auto" w:fill="FFFFFF"/>
          <w:lang w:val="en-US"/>
        </w:rPr>
        <w:t>ion</w:t>
      </w:r>
      <w:r w:rsidRPr="005834AC">
        <w:rPr>
          <w:rFonts w:ascii="Times New Roman" w:hAnsi="Times New Roman" w:cs="Times New Roman"/>
          <w:color w:val="222222"/>
          <w:shd w:val="clear" w:color="auto" w:fill="FFFFFF"/>
          <w:lang w:val="en-US"/>
        </w:rPr>
        <w:t xml:space="preserve"> in the past</w:t>
      </w:r>
    </w:p>
    <w:p w14:paraId="02A1E914" w14:textId="77777777"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 xml:space="preserve">Autoimmunologic diseases - recorded in patients’ history, </w:t>
      </w:r>
    </w:p>
    <w:p w14:paraId="0F3C36EF" w14:textId="77777777" w:rsidR="007247DC" w:rsidRPr="005834AC" w:rsidRDefault="007247DC" w:rsidP="007247DC">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Hypothyroidism - current use of hormone replacement therapy</w:t>
      </w:r>
    </w:p>
    <w:p w14:paraId="3B98F54A" w14:textId="448A341F" w:rsidR="003F5D7A" w:rsidRPr="000F6BAD" w:rsidRDefault="007247DC" w:rsidP="003F5D7A">
      <w:pPr>
        <w:pStyle w:val="Akapitzlist"/>
        <w:numPr>
          <w:ilvl w:val="0"/>
          <w:numId w:val="17"/>
        </w:numPr>
        <w:spacing w:before="100" w:beforeAutospacing="1" w:after="100" w:afterAutospacing="1" w:line="276" w:lineRule="auto"/>
        <w:rPr>
          <w:rFonts w:ascii="Times New Roman" w:eastAsia="Times New Roman" w:hAnsi="Times New Roman" w:cs="Times New Roman"/>
          <w:kern w:val="0"/>
          <w:sz w:val="36"/>
          <w:szCs w:val="36"/>
          <w:lang w:val="en-US" w:eastAsia="pl-PL"/>
          <w14:ligatures w14:val="none"/>
        </w:rPr>
      </w:pPr>
      <w:r w:rsidRPr="005834AC">
        <w:rPr>
          <w:rFonts w:ascii="Times New Roman" w:hAnsi="Times New Roman" w:cs="Times New Roman"/>
          <w:color w:val="222222"/>
          <w:shd w:val="clear" w:color="auto" w:fill="FFFFFF"/>
          <w:lang w:val="en-US"/>
        </w:rPr>
        <w:t>Type 2 diabetes mellitus - use of insulin or oral hypoglycemic agents, or fasting serum glucose &gt; 7.0 mmol/L</w:t>
      </w:r>
    </w:p>
    <w:p w14:paraId="04A80662" w14:textId="268FB591" w:rsidR="003F5D7A" w:rsidRDefault="000F6BAD" w:rsidP="003F5D7A">
      <w:pPr>
        <w:spacing w:line="276" w:lineRule="auto"/>
        <w:rPr>
          <w:rFonts w:ascii="Times New Roman" w:hAnsi="Times New Roman" w:cs="Times New Roman"/>
          <w:lang w:val="en-US"/>
        </w:rPr>
      </w:pPr>
      <w:r>
        <w:rPr>
          <w:rFonts w:ascii="Times New Roman" w:hAnsi="Times New Roman" w:cs="Times New Roman"/>
          <w:lang w:val="en-US"/>
        </w:rPr>
        <w:t>References</w:t>
      </w:r>
    </w:p>
    <w:p w14:paraId="01556F31" w14:textId="77777777" w:rsidR="000F6BAD" w:rsidRDefault="000F6BAD" w:rsidP="003F5D7A">
      <w:pPr>
        <w:spacing w:line="276" w:lineRule="auto"/>
        <w:rPr>
          <w:rFonts w:ascii="Times New Roman" w:hAnsi="Times New Roman" w:cs="Times New Roman"/>
          <w:lang w:val="en-US"/>
        </w:rPr>
      </w:pPr>
    </w:p>
    <w:sdt>
      <w:sdtPr>
        <w:rPr>
          <w:rFonts w:ascii="Times New Roman" w:hAnsi="Times New Roman" w:cs="Times New Roman"/>
          <w:color w:val="000000"/>
          <w:lang w:val="en-US"/>
        </w:rPr>
        <w:tag w:val="MENDELEY_BIBLIOGRAPHY"/>
        <w:id w:val="-1615355592"/>
        <w:placeholder>
          <w:docPart w:val="DefaultPlaceholder_-1854013440"/>
        </w:placeholder>
      </w:sdtPr>
      <w:sdtContent>
        <w:p w14:paraId="0BCE21BC" w14:textId="77777777" w:rsidR="000F6BAD" w:rsidRPr="000F6BAD" w:rsidRDefault="000F6BAD">
          <w:pPr>
            <w:autoSpaceDE w:val="0"/>
            <w:autoSpaceDN w:val="0"/>
            <w:ind w:hanging="640"/>
            <w:divId w:val="1450511170"/>
            <w:rPr>
              <w:rFonts w:ascii="Times New Roman" w:eastAsia="Times New Roman" w:hAnsi="Times New Roman" w:cs="Times New Roman"/>
              <w:color w:val="000000"/>
              <w:kern w:val="0"/>
              <w14:ligatures w14:val="none"/>
            </w:rPr>
          </w:pPr>
          <w:r w:rsidRPr="000F6BAD">
            <w:rPr>
              <w:rFonts w:eastAsia="Times New Roman"/>
              <w:color w:val="000000"/>
            </w:rPr>
            <w:t xml:space="preserve">[1] </w:t>
          </w:r>
          <w:r w:rsidRPr="000F6BAD">
            <w:rPr>
              <w:rFonts w:eastAsia="Times New Roman"/>
              <w:color w:val="000000"/>
            </w:rPr>
            <w:tab/>
          </w:r>
          <w:r w:rsidRPr="000F6BAD">
            <w:rPr>
              <w:rFonts w:ascii="Times New Roman" w:eastAsia="Times New Roman" w:hAnsi="Times New Roman" w:cs="Times New Roman"/>
              <w:color w:val="000000"/>
            </w:rPr>
            <w:t>Obwieszczenie Ministra Zdrowia z dnia 18 marca 2024 r. w sprawie wykazu refundowanych leków, środków spożywczych specjalnego przeznaczenia żywieniowego oraz wyrobów medycznych na 1 kwietnia 2024 r. - Ministerstwo Zdrowia - Portal Gov.pl, https://www.gov.pl/web/zdrowie/obwieszczenie-ministra-zdrowia-z-dnia-18-marca-2024-r-w-sprawie-wykazu-refundowanych-lekow-srodkow-spozywczych-specjalnego-przeznaczenia-zywieniowego-oraz-wyrobow-medycznych (</w:t>
          </w:r>
          <w:proofErr w:type="spellStart"/>
          <w:r w:rsidRPr="000F6BAD">
            <w:rPr>
              <w:rFonts w:ascii="Times New Roman" w:eastAsia="Times New Roman" w:hAnsi="Times New Roman" w:cs="Times New Roman"/>
              <w:color w:val="000000"/>
            </w:rPr>
            <w:t>accessed</w:t>
          </w:r>
          <w:proofErr w:type="spellEnd"/>
          <w:r w:rsidRPr="000F6BAD">
            <w:rPr>
              <w:rFonts w:ascii="Times New Roman" w:eastAsia="Times New Roman" w:hAnsi="Times New Roman" w:cs="Times New Roman"/>
              <w:color w:val="000000"/>
            </w:rPr>
            <w:t xml:space="preserve"> May 19, 2024).</w:t>
          </w:r>
        </w:p>
        <w:p w14:paraId="7DF0DE7E" w14:textId="77777777" w:rsidR="000F6BAD" w:rsidRPr="000F6BAD" w:rsidRDefault="000F6BAD">
          <w:pPr>
            <w:divId w:val="529614744"/>
            <w:rPr>
              <w:rFonts w:ascii="Times New Roman" w:eastAsia="Times New Roman" w:hAnsi="Times New Roman" w:cs="Times New Roman"/>
              <w:color w:val="000000"/>
            </w:rPr>
          </w:pPr>
        </w:p>
        <w:p w14:paraId="1C949222" w14:textId="77777777" w:rsidR="000F6BAD" w:rsidRPr="000F6BAD" w:rsidRDefault="000F6BAD">
          <w:pPr>
            <w:autoSpaceDE w:val="0"/>
            <w:autoSpaceDN w:val="0"/>
            <w:ind w:hanging="640"/>
            <w:divId w:val="1251819398"/>
            <w:rPr>
              <w:rFonts w:ascii="Times New Roman" w:eastAsia="Times New Roman" w:hAnsi="Times New Roman" w:cs="Times New Roman"/>
              <w:color w:val="000000"/>
              <w:lang w:val="en-US"/>
            </w:rPr>
          </w:pPr>
          <w:r w:rsidRPr="000F6BAD">
            <w:rPr>
              <w:rFonts w:ascii="Times New Roman" w:eastAsia="Times New Roman" w:hAnsi="Times New Roman" w:cs="Times New Roman"/>
              <w:color w:val="000000"/>
              <w:lang w:val="en-US"/>
            </w:rPr>
            <w:t xml:space="preserve">[2] </w:t>
          </w:r>
          <w:r w:rsidRPr="000F6BAD">
            <w:rPr>
              <w:rFonts w:ascii="Times New Roman" w:eastAsia="Times New Roman" w:hAnsi="Times New Roman" w:cs="Times New Roman"/>
              <w:color w:val="000000"/>
              <w:lang w:val="en-US"/>
            </w:rPr>
            <w:tab/>
          </w:r>
          <w:proofErr w:type="spellStart"/>
          <w:r w:rsidRPr="000F6BAD">
            <w:rPr>
              <w:rFonts w:ascii="Times New Roman" w:eastAsia="Times New Roman" w:hAnsi="Times New Roman" w:cs="Times New Roman"/>
              <w:color w:val="000000"/>
              <w:lang w:val="en-US"/>
            </w:rPr>
            <w:t>Somarouthu</w:t>
          </w:r>
          <w:proofErr w:type="spellEnd"/>
          <w:r w:rsidRPr="000F6BAD">
            <w:rPr>
              <w:rFonts w:ascii="Times New Roman" w:eastAsia="Times New Roman" w:hAnsi="Times New Roman" w:cs="Times New Roman"/>
              <w:color w:val="000000"/>
              <w:lang w:val="en-US"/>
            </w:rPr>
            <w:t xml:space="preserve"> B, Lee SI, Urban T, et al. Immune-related </w:t>
          </w:r>
          <w:proofErr w:type="spellStart"/>
          <w:r w:rsidRPr="000F6BAD">
            <w:rPr>
              <w:rFonts w:ascii="Times New Roman" w:eastAsia="Times New Roman" w:hAnsi="Times New Roman" w:cs="Times New Roman"/>
              <w:color w:val="000000"/>
              <w:lang w:val="en-US"/>
            </w:rPr>
            <w:t>tumour</w:t>
          </w:r>
          <w:proofErr w:type="spellEnd"/>
          <w:r w:rsidRPr="000F6BAD">
            <w:rPr>
              <w:rFonts w:ascii="Times New Roman" w:eastAsia="Times New Roman" w:hAnsi="Times New Roman" w:cs="Times New Roman"/>
              <w:color w:val="000000"/>
              <w:lang w:val="en-US"/>
            </w:rPr>
            <w:t xml:space="preserve"> response assessment criteria: a comprehensive review. </w:t>
          </w:r>
          <w:r w:rsidRPr="000F6BAD">
            <w:rPr>
              <w:rFonts w:ascii="Times New Roman" w:eastAsia="Times New Roman" w:hAnsi="Times New Roman" w:cs="Times New Roman"/>
              <w:iCs/>
              <w:color w:val="000000"/>
              <w:lang w:val="en-US"/>
            </w:rPr>
            <w:t xml:space="preserve">Br J </w:t>
          </w:r>
          <w:proofErr w:type="spellStart"/>
          <w:r w:rsidRPr="000F6BAD">
            <w:rPr>
              <w:rFonts w:ascii="Times New Roman" w:eastAsia="Times New Roman" w:hAnsi="Times New Roman" w:cs="Times New Roman"/>
              <w:iCs/>
              <w:color w:val="000000"/>
              <w:lang w:val="en-US"/>
            </w:rPr>
            <w:t>Radiol</w:t>
          </w:r>
          <w:proofErr w:type="spellEnd"/>
          <w:r w:rsidRPr="000F6BAD">
            <w:rPr>
              <w:rFonts w:ascii="Times New Roman" w:eastAsia="Times New Roman" w:hAnsi="Times New Roman" w:cs="Times New Roman"/>
              <w:color w:val="000000"/>
              <w:lang w:val="en-US"/>
            </w:rPr>
            <w:t xml:space="preserve">; 91. </w:t>
          </w:r>
          <w:proofErr w:type="spellStart"/>
          <w:r w:rsidRPr="000F6BAD">
            <w:rPr>
              <w:rFonts w:ascii="Times New Roman" w:eastAsia="Times New Roman" w:hAnsi="Times New Roman" w:cs="Times New Roman"/>
              <w:color w:val="000000"/>
              <w:lang w:val="en-US"/>
            </w:rPr>
            <w:t>Epub</w:t>
          </w:r>
          <w:proofErr w:type="spellEnd"/>
          <w:r w:rsidRPr="000F6BAD">
            <w:rPr>
              <w:rFonts w:ascii="Times New Roman" w:eastAsia="Times New Roman" w:hAnsi="Times New Roman" w:cs="Times New Roman"/>
              <w:color w:val="000000"/>
              <w:lang w:val="en-US"/>
            </w:rPr>
            <w:t xml:space="preserve"> ahead of print 2018. DOI: 10.1259/BJR.20170457.</w:t>
          </w:r>
        </w:p>
        <w:p w14:paraId="0AB6D1EF" w14:textId="77777777" w:rsidR="000F6BAD" w:rsidRPr="000F6BAD" w:rsidRDefault="000F6BAD">
          <w:pPr>
            <w:divId w:val="529614744"/>
            <w:rPr>
              <w:rFonts w:ascii="Times New Roman" w:eastAsia="Times New Roman" w:hAnsi="Times New Roman" w:cs="Times New Roman"/>
              <w:color w:val="000000"/>
              <w:lang w:val="en-US"/>
            </w:rPr>
          </w:pPr>
        </w:p>
        <w:p w14:paraId="22A07E6A" w14:textId="77777777" w:rsidR="000F6BAD" w:rsidRPr="000F6BAD" w:rsidRDefault="000F6BAD">
          <w:pPr>
            <w:autoSpaceDE w:val="0"/>
            <w:autoSpaceDN w:val="0"/>
            <w:ind w:hanging="640"/>
            <w:divId w:val="1469543793"/>
            <w:rPr>
              <w:rFonts w:ascii="Times New Roman" w:eastAsia="Times New Roman" w:hAnsi="Times New Roman" w:cs="Times New Roman"/>
              <w:color w:val="000000"/>
              <w:lang w:val="en-US"/>
            </w:rPr>
          </w:pPr>
          <w:r w:rsidRPr="000F6BAD">
            <w:rPr>
              <w:rFonts w:ascii="Times New Roman" w:eastAsia="Times New Roman" w:hAnsi="Times New Roman" w:cs="Times New Roman"/>
              <w:color w:val="000000"/>
              <w:lang w:val="en-US"/>
            </w:rPr>
            <w:t xml:space="preserve">[3] </w:t>
          </w:r>
          <w:r w:rsidRPr="000F6BAD">
            <w:rPr>
              <w:rFonts w:ascii="Times New Roman" w:eastAsia="Times New Roman" w:hAnsi="Times New Roman" w:cs="Times New Roman"/>
              <w:color w:val="000000"/>
              <w:lang w:val="en-US"/>
            </w:rPr>
            <w:tab/>
          </w:r>
          <w:proofErr w:type="spellStart"/>
          <w:r w:rsidRPr="000F6BAD">
            <w:rPr>
              <w:rFonts w:ascii="Times New Roman" w:eastAsia="Times New Roman" w:hAnsi="Times New Roman" w:cs="Times New Roman"/>
              <w:color w:val="000000"/>
              <w:lang w:val="en-US"/>
            </w:rPr>
            <w:t>Podręcznik</w:t>
          </w:r>
          <w:proofErr w:type="spellEnd"/>
          <w:r w:rsidRPr="000F6BAD">
            <w:rPr>
              <w:rFonts w:ascii="Times New Roman" w:eastAsia="Times New Roman" w:hAnsi="Times New Roman" w:cs="Times New Roman"/>
              <w:color w:val="000000"/>
              <w:lang w:val="en-US"/>
            </w:rPr>
            <w:t xml:space="preserve"> Interna, https://www.mp.pl/interna/ (accessed August 7, 2024).</w:t>
          </w:r>
        </w:p>
        <w:p w14:paraId="55205232" w14:textId="5BA14189" w:rsidR="000F6BAD" w:rsidRPr="000F6BAD" w:rsidRDefault="000F6BAD" w:rsidP="000F6BAD">
          <w:pPr>
            <w:spacing w:line="276" w:lineRule="auto"/>
            <w:rPr>
              <w:rFonts w:ascii="Times New Roman" w:hAnsi="Times New Roman" w:cs="Times New Roman"/>
              <w:color w:val="000000"/>
              <w:lang w:val="en-US"/>
            </w:rPr>
          </w:pPr>
        </w:p>
      </w:sdtContent>
    </w:sdt>
    <w:sectPr w:rsidR="000F6BAD" w:rsidRPr="000F6BA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F29001" w14:textId="77777777" w:rsidR="003F3CD5" w:rsidRDefault="003F3CD5" w:rsidP="000F6BAD">
      <w:r>
        <w:separator/>
      </w:r>
    </w:p>
  </w:endnote>
  <w:endnote w:type="continuationSeparator" w:id="0">
    <w:p w14:paraId="48ECD3EF" w14:textId="77777777" w:rsidR="003F3CD5" w:rsidRDefault="003F3CD5" w:rsidP="000F6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5114A" w14:textId="77777777" w:rsidR="003F3CD5" w:rsidRDefault="003F3CD5" w:rsidP="000F6BAD">
      <w:r>
        <w:separator/>
      </w:r>
    </w:p>
  </w:footnote>
  <w:footnote w:type="continuationSeparator" w:id="0">
    <w:p w14:paraId="64880DDB" w14:textId="77777777" w:rsidR="003F3CD5" w:rsidRDefault="003F3CD5" w:rsidP="000F6B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A48C7"/>
    <w:multiLevelType w:val="multilevel"/>
    <w:tmpl w:val="7FF67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7D6EBC"/>
    <w:multiLevelType w:val="multilevel"/>
    <w:tmpl w:val="DB002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2530F7"/>
    <w:multiLevelType w:val="multilevel"/>
    <w:tmpl w:val="6174391E"/>
    <w:lvl w:ilvl="0">
      <w:start w:val="1"/>
      <w:numFmt w:val="decimal"/>
      <w:lvlText w:val="%1."/>
      <w:lvlJc w:val="left"/>
      <w:pPr>
        <w:ind w:left="440" w:hanging="4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8A97B02"/>
    <w:multiLevelType w:val="multilevel"/>
    <w:tmpl w:val="BDAA9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755DED"/>
    <w:multiLevelType w:val="hybridMultilevel"/>
    <w:tmpl w:val="4C863668"/>
    <w:lvl w:ilvl="0" w:tplc="B8286D1E">
      <w:start w:val="1"/>
      <w:numFmt w:val="bullet"/>
      <w:lvlText w:val=""/>
      <w:lvlJc w:val="left"/>
      <w:pPr>
        <w:ind w:left="720" w:hanging="360"/>
      </w:pPr>
      <w:rPr>
        <w:rFonts w:ascii="Symbol" w:hAnsi="Symbol" w:hint="default"/>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B4F5E63"/>
    <w:multiLevelType w:val="multilevel"/>
    <w:tmpl w:val="8544F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7E4A90"/>
    <w:multiLevelType w:val="hybridMultilevel"/>
    <w:tmpl w:val="8C9CC6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25C6D21"/>
    <w:multiLevelType w:val="hybridMultilevel"/>
    <w:tmpl w:val="6B8652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12E55E2"/>
    <w:multiLevelType w:val="multilevel"/>
    <w:tmpl w:val="3252F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D3095D"/>
    <w:multiLevelType w:val="multilevel"/>
    <w:tmpl w:val="D24AE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775A9A"/>
    <w:multiLevelType w:val="multilevel"/>
    <w:tmpl w:val="11A65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F012F8"/>
    <w:multiLevelType w:val="multilevel"/>
    <w:tmpl w:val="D9C62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2730764"/>
    <w:multiLevelType w:val="multilevel"/>
    <w:tmpl w:val="6CFED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666550"/>
    <w:multiLevelType w:val="multilevel"/>
    <w:tmpl w:val="DAAA2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4F7766D"/>
    <w:multiLevelType w:val="multilevel"/>
    <w:tmpl w:val="15F602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A3F1E63"/>
    <w:multiLevelType w:val="multilevel"/>
    <w:tmpl w:val="DAC43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D53332"/>
    <w:multiLevelType w:val="multilevel"/>
    <w:tmpl w:val="92D69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0449163">
    <w:abstractNumId w:val="2"/>
  </w:num>
  <w:num w:numId="2" w16cid:durableId="586575236">
    <w:abstractNumId w:val="7"/>
  </w:num>
  <w:num w:numId="3" w16cid:durableId="1922442935">
    <w:abstractNumId w:val="9"/>
  </w:num>
  <w:num w:numId="4" w16cid:durableId="470753897">
    <w:abstractNumId w:val="15"/>
  </w:num>
  <w:num w:numId="5" w16cid:durableId="832069598">
    <w:abstractNumId w:val="11"/>
  </w:num>
  <w:num w:numId="6" w16cid:durableId="398402437">
    <w:abstractNumId w:val="0"/>
  </w:num>
  <w:num w:numId="7" w16cid:durableId="835652421">
    <w:abstractNumId w:val="10"/>
  </w:num>
  <w:num w:numId="8" w16cid:durableId="605622638">
    <w:abstractNumId w:val="16"/>
  </w:num>
  <w:num w:numId="9" w16cid:durableId="1902134682">
    <w:abstractNumId w:val="14"/>
  </w:num>
  <w:num w:numId="10" w16cid:durableId="985888870">
    <w:abstractNumId w:val="5"/>
  </w:num>
  <w:num w:numId="11" w16cid:durableId="1732070964">
    <w:abstractNumId w:val="8"/>
  </w:num>
  <w:num w:numId="12" w16cid:durableId="908921776">
    <w:abstractNumId w:val="12"/>
  </w:num>
  <w:num w:numId="13" w16cid:durableId="1087963842">
    <w:abstractNumId w:val="1"/>
  </w:num>
  <w:num w:numId="14" w16cid:durableId="697463782">
    <w:abstractNumId w:val="13"/>
  </w:num>
  <w:num w:numId="15" w16cid:durableId="102893872">
    <w:abstractNumId w:val="3"/>
  </w:num>
  <w:num w:numId="16" w16cid:durableId="1595551563">
    <w:abstractNumId w:val="6"/>
  </w:num>
  <w:num w:numId="17" w16cid:durableId="3191213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E52"/>
    <w:rsid w:val="00065FE9"/>
    <w:rsid w:val="000C6BAE"/>
    <w:rsid w:val="000F6BAD"/>
    <w:rsid w:val="0038370B"/>
    <w:rsid w:val="003F3CD5"/>
    <w:rsid w:val="003F5D7A"/>
    <w:rsid w:val="00452571"/>
    <w:rsid w:val="005834AC"/>
    <w:rsid w:val="007247DC"/>
    <w:rsid w:val="007C2DB8"/>
    <w:rsid w:val="00AC24B9"/>
    <w:rsid w:val="00B925DE"/>
    <w:rsid w:val="00B97B9D"/>
    <w:rsid w:val="00D1494F"/>
    <w:rsid w:val="00DC61AA"/>
    <w:rsid w:val="00E40BE8"/>
    <w:rsid w:val="00EA2E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232DFD7B"/>
  <w15:chartTrackingRefBased/>
  <w15:docId w15:val="{F5D78B58-C44F-4B4A-8853-584E89EB2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EA2E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A2E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unhideWhenUsed/>
    <w:qFormat/>
    <w:rsid w:val="00EA2E52"/>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unhideWhenUsed/>
    <w:qFormat/>
    <w:rsid w:val="00EA2E52"/>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A2E52"/>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A2E52"/>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A2E52"/>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A2E52"/>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A2E52"/>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A2E52"/>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A2E52"/>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rsid w:val="00EA2E52"/>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rsid w:val="00EA2E52"/>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A2E52"/>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A2E5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A2E5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A2E5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A2E52"/>
    <w:rPr>
      <w:rFonts w:eastAsiaTheme="majorEastAsia" w:cstheme="majorBidi"/>
      <w:color w:val="272727" w:themeColor="text1" w:themeTint="D8"/>
    </w:rPr>
  </w:style>
  <w:style w:type="paragraph" w:styleId="Tytu">
    <w:name w:val="Title"/>
    <w:basedOn w:val="Normalny"/>
    <w:next w:val="Normalny"/>
    <w:link w:val="TytuZnak"/>
    <w:uiPriority w:val="10"/>
    <w:qFormat/>
    <w:rsid w:val="00EA2E52"/>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A2E5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A2E52"/>
    <w:pPr>
      <w:numPr>
        <w:ilvl w:val="1"/>
      </w:numPr>
      <w:spacing w:after="16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A2E5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A2E52"/>
    <w:pPr>
      <w:spacing w:before="160" w:after="160"/>
      <w:jc w:val="center"/>
    </w:pPr>
    <w:rPr>
      <w:i/>
      <w:iCs/>
      <w:color w:val="404040" w:themeColor="text1" w:themeTint="BF"/>
    </w:rPr>
  </w:style>
  <w:style w:type="character" w:customStyle="1" w:styleId="CytatZnak">
    <w:name w:val="Cytat Znak"/>
    <w:basedOn w:val="Domylnaczcionkaakapitu"/>
    <w:link w:val="Cytat"/>
    <w:uiPriority w:val="29"/>
    <w:rsid w:val="00EA2E52"/>
    <w:rPr>
      <w:i/>
      <w:iCs/>
      <w:color w:val="404040" w:themeColor="text1" w:themeTint="BF"/>
    </w:rPr>
  </w:style>
  <w:style w:type="paragraph" w:styleId="Akapitzlist">
    <w:name w:val="List Paragraph"/>
    <w:basedOn w:val="Normalny"/>
    <w:uiPriority w:val="34"/>
    <w:qFormat/>
    <w:rsid w:val="00EA2E52"/>
    <w:pPr>
      <w:ind w:left="720"/>
      <w:contextualSpacing/>
    </w:pPr>
  </w:style>
  <w:style w:type="character" w:styleId="Wyrnienieintensywne">
    <w:name w:val="Intense Emphasis"/>
    <w:basedOn w:val="Domylnaczcionkaakapitu"/>
    <w:uiPriority w:val="21"/>
    <w:qFormat/>
    <w:rsid w:val="00EA2E52"/>
    <w:rPr>
      <w:i/>
      <w:iCs/>
      <w:color w:val="0F4761" w:themeColor="accent1" w:themeShade="BF"/>
    </w:rPr>
  </w:style>
  <w:style w:type="paragraph" w:styleId="Cytatintensywny">
    <w:name w:val="Intense Quote"/>
    <w:basedOn w:val="Normalny"/>
    <w:next w:val="Normalny"/>
    <w:link w:val="CytatintensywnyZnak"/>
    <w:uiPriority w:val="30"/>
    <w:qFormat/>
    <w:rsid w:val="00EA2E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A2E52"/>
    <w:rPr>
      <w:i/>
      <w:iCs/>
      <w:color w:val="0F4761" w:themeColor="accent1" w:themeShade="BF"/>
    </w:rPr>
  </w:style>
  <w:style w:type="character" w:styleId="Odwoanieintensywne">
    <w:name w:val="Intense Reference"/>
    <w:basedOn w:val="Domylnaczcionkaakapitu"/>
    <w:uiPriority w:val="32"/>
    <w:qFormat/>
    <w:rsid w:val="00EA2E52"/>
    <w:rPr>
      <w:b/>
      <w:bCs/>
      <w:smallCaps/>
      <w:color w:val="0F4761" w:themeColor="accent1" w:themeShade="BF"/>
      <w:spacing w:val="5"/>
    </w:rPr>
  </w:style>
  <w:style w:type="paragraph" w:styleId="NormalnyWeb">
    <w:name w:val="Normal (Web)"/>
    <w:basedOn w:val="Normalny"/>
    <w:uiPriority w:val="99"/>
    <w:semiHidden/>
    <w:unhideWhenUsed/>
    <w:rsid w:val="003F5D7A"/>
    <w:pPr>
      <w:spacing w:before="100" w:beforeAutospacing="1" w:after="100" w:afterAutospacing="1"/>
    </w:pPr>
    <w:rPr>
      <w:rFonts w:ascii="Times New Roman" w:eastAsia="Times New Roman" w:hAnsi="Times New Roman" w:cs="Times New Roman"/>
      <w:kern w:val="0"/>
      <w:lang w:eastAsia="pl-PL"/>
      <w14:ligatures w14:val="none"/>
    </w:rPr>
  </w:style>
  <w:style w:type="character" w:styleId="Pogrubienie">
    <w:name w:val="Strong"/>
    <w:basedOn w:val="Domylnaczcionkaakapitu"/>
    <w:uiPriority w:val="22"/>
    <w:qFormat/>
    <w:rsid w:val="003F5D7A"/>
    <w:rPr>
      <w:b/>
      <w:bCs/>
    </w:rPr>
  </w:style>
  <w:style w:type="character" w:styleId="Tekstzastpczy">
    <w:name w:val="Placeholder Text"/>
    <w:basedOn w:val="Domylnaczcionkaakapitu"/>
    <w:uiPriority w:val="99"/>
    <w:semiHidden/>
    <w:rsid w:val="000F6BAD"/>
    <w:rPr>
      <w:color w:val="666666"/>
    </w:rPr>
  </w:style>
  <w:style w:type="paragraph" w:styleId="Nagwek">
    <w:name w:val="header"/>
    <w:basedOn w:val="Normalny"/>
    <w:link w:val="NagwekZnak"/>
    <w:uiPriority w:val="99"/>
    <w:unhideWhenUsed/>
    <w:rsid w:val="000F6BAD"/>
    <w:pPr>
      <w:tabs>
        <w:tab w:val="center" w:pos="4536"/>
        <w:tab w:val="right" w:pos="9072"/>
      </w:tabs>
    </w:pPr>
  </w:style>
  <w:style w:type="character" w:customStyle="1" w:styleId="NagwekZnak">
    <w:name w:val="Nagłówek Znak"/>
    <w:basedOn w:val="Domylnaczcionkaakapitu"/>
    <w:link w:val="Nagwek"/>
    <w:uiPriority w:val="99"/>
    <w:rsid w:val="000F6BAD"/>
  </w:style>
  <w:style w:type="paragraph" w:styleId="Stopka">
    <w:name w:val="footer"/>
    <w:basedOn w:val="Normalny"/>
    <w:link w:val="StopkaZnak"/>
    <w:uiPriority w:val="99"/>
    <w:unhideWhenUsed/>
    <w:rsid w:val="000F6BAD"/>
    <w:pPr>
      <w:tabs>
        <w:tab w:val="center" w:pos="4536"/>
        <w:tab w:val="right" w:pos="9072"/>
      </w:tabs>
    </w:pPr>
  </w:style>
  <w:style w:type="character" w:customStyle="1" w:styleId="StopkaZnak">
    <w:name w:val="Stopka Znak"/>
    <w:basedOn w:val="Domylnaczcionkaakapitu"/>
    <w:link w:val="Stopka"/>
    <w:uiPriority w:val="99"/>
    <w:rsid w:val="000F6B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9614744">
      <w:bodyDiv w:val="1"/>
      <w:marLeft w:val="0"/>
      <w:marRight w:val="0"/>
      <w:marTop w:val="0"/>
      <w:marBottom w:val="0"/>
      <w:divBdr>
        <w:top w:val="none" w:sz="0" w:space="0" w:color="auto"/>
        <w:left w:val="none" w:sz="0" w:space="0" w:color="auto"/>
        <w:bottom w:val="none" w:sz="0" w:space="0" w:color="auto"/>
        <w:right w:val="none" w:sz="0" w:space="0" w:color="auto"/>
      </w:divBdr>
      <w:divsChild>
        <w:div w:id="1450511170">
          <w:marLeft w:val="640"/>
          <w:marRight w:val="0"/>
          <w:marTop w:val="0"/>
          <w:marBottom w:val="0"/>
          <w:divBdr>
            <w:top w:val="none" w:sz="0" w:space="0" w:color="auto"/>
            <w:left w:val="none" w:sz="0" w:space="0" w:color="auto"/>
            <w:bottom w:val="none" w:sz="0" w:space="0" w:color="auto"/>
            <w:right w:val="none" w:sz="0" w:space="0" w:color="auto"/>
          </w:divBdr>
        </w:div>
        <w:div w:id="1251819398">
          <w:marLeft w:val="640"/>
          <w:marRight w:val="0"/>
          <w:marTop w:val="0"/>
          <w:marBottom w:val="0"/>
          <w:divBdr>
            <w:top w:val="none" w:sz="0" w:space="0" w:color="auto"/>
            <w:left w:val="none" w:sz="0" w:space="0" w:color="auto"/>
            <w:bottom w:val="none" w:sz="0" w:space="0" w:color="auto"/>
            <w:right w:val="none" w:sz="0" w:space="0" w:color="auto"/>
          </w:divBdr>
        </w:div>
        <w:div w:id="1469543793">
          <w:marLeft w:val="640"/>
          <w:marRight w:val="0"/>
          <w:marTop w:val="0"/>
          <w:marBottom w:val="0"/>
          <w:divBdr>
            <w:top w:val="none" w:sz="0" w:space="0" w:color="auto"/>
            <w:left w:val="none" w:sz="0" w:space="0" w:color="auto"/>
            <w:bottom w:val="none" w:sz="0" w:space="0" w:color="auto"/>
            <w:right w:val="none" w:sz="0" w:space="0" w:color="auto"/>
          </w:divBdr>
        </w:div>
      </w:divsChild>
    </w:div>
    <w:div w:id="651714575">
      <w:bodyDiv w:val="1"/>
      <w:marLeft w:val="0"/>
      <w:marRight w:val="0"/>
      <w:marTop w:val="0"/>
      <w:marBottom w:val="0"/>
      <w:divBdr>
        <w:top w:val="none" w:sz="0" w:space="0" w:color="auto"/>
        <w:left w:val="none" w:sz="0" w:space="0" w:color="auto"/>
        <w:bottom w:val="none" w:sz="0" w:space="0" w:color="auto"/>
        <w:right w:val="none" w:sz="0" w:space="0" w:color="auto"/>
      </w:divBdr>
    </w:div>
    <w:div w:id="1236892490">
      <w:bodyDiv w:val="1"/>
      <w:marLeft w:val="0"/>
      <w:marRight w:val="0"/>
      <w:marTop w:val="0"/>
      <w:marBottom w:val="0"/>
      <w:divBdr>
        <w:top w:val="none" w:sz="0" w:space="0" w:color="auto"/>
        <w:left w:val="none" w:sz="0" w:space="0" w:color="auto"/>
        <w:bottom w:val="none" w:sz="0" w:space="0" w:color="auto"/>
        <w:right w:val="none" w:sz="0" w:space="0" w:color="auto"/>
      </w:divBdr>
    </w:div>
    <w:div w:id="1260986787">
      <w:bodyDiv w:val="1"/>
      <w:marLeft w:val="0"/>
      <w:marRight w:val="0"/>
      <w:marTop w:val="0"/>
      <w:marBottom w:val="0"/>
      <w:divBdr>
        <w:top w:val="none" w:sz="0" w:space="0" w:color="auto"/>
        <w:left w:val="none" w:sz="0" w:space="0" w:color="auto"/>
        <w:bottom w:val="none" w:sz="0" w:space="0" w:color="auto"/>
        <w:right w:val="none" w:sz="0" w:space="0" w:color="auto"/>
      </w:divBdr>
    </w:div>
    <w:div w:id="1620452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389C9149E3C6C48BB15B5C318A0DE2C"/>
        <w:category>
          <w:name w:val="Ogólne"/>
          <w:gallery w:val="placeholder"/>
        </w:category>
        <w:types>
          <w:type w:val="bbPlcHdr"/>
        </w:types>
        <w:behaviors>
          <w:behavior w:val="content"/>
        </w:behaviors>
        <w:guid w:val="{512BC700-C1EF-4C46-823F-2D3D7A230799}"/>
      </w:docPartPr>
      <w:docPartBody>
        <w:p w:rsidR="00723AA0" w:rsidRDefault="00B57DDE" w:rsidP="00B57DDE">
          <w:pPr>
            <w:pStyle w:val="C389C9149E3C6C48BB15B5C318A0DE2C"/>
          </w:pPr>
          <w:r w:rsidRPr="003E1414">
            <w:rPr>
              <w:rStyle w:val="Tekstzastpczy"/>
            </w:rPr>
            <w:t>Kliknij lub naciśnij tutaj, aby wprowadzić tekst.</w:t>
          </w:r>
        </w:p>
      </w:docPartBody>
    </w:docPart>
    <w:docPart>
      <w:docPartPr>
        <w:name w:val="E8F031848C73D84A8154EC65626E24F5"/>
        <w:category>
          <w:name w:val="Ogólne"/>
          <w:gallery w:val="placeholder"/>
        </w:category>
        <w:types>
          <w:type w:val="bbPlcHdr"/>
        </w:types>
        <w:behaviors>
          <w:behavior w:val="content"/>
        </w:behaviors>
        <w:guid w:val="{D4BBC9EA-EBE8-4845-AA29-E0DA914382F2}"/>
      </w:docPartPr>
      <w:docPartBody>
        <w:p w:rsidR="00723AA0" w:rsidRDefault="00B57DDE" w:rsidP="00B57DDE">
          <w:pPr>
            <w:pStyle w:val="E8F031848C73D84A8154EC65626E24F5"/>
          </w:pPr>
          <w:r w:rsidRPr="003E1414">
            <w:rPr>
              <w:rStyle w:val="Tekstzastpczy"/>
            </w:rPr>
            <w:t>Kliknij lub naciśnij tutaj, aby wprowadzić tekst.</w:t>
          </w:r>
        </w:p>
      </w:docPartBody>
    </w:docPart>
    <w:docPart>
      <w:docPartPr>
        <w:name w:val="292A4B06D730F343A2ADA349DA10A7D7"/>
        <w:category>
          <w:name w:val="Ogólne"/>
          <w:gallery w:val="placeholder"/>
        </w:category>
        <w:types>
          <w:type w:val="bbPlcHdr"/>
        </w:types>
        <w:behaviors>
          <w:behavior w:val="content"/>
        </w:behaviors>
        <w:guid w:val="{256BE1FE-1EFD-1345-B34D-F23DF802DB9F}"/>
      </w:docPartPr>
      <w:docPartBody>
        <w:p w:rsidR="00000000" w:rsidRDefault="00723AA0" w:rsidP="00723AA0">
          <w:pPr>
            <w:pStyle w:val="292A4B06D730F343A2ADA349DA10A7D7"/>
          </w:pPr>
          <w:r w:rsidRPr="003E1414">
            <w:rPr>
              <w:rStyle w:val="Tekstzastpczy"/>
            </w:rPr>
            <w:t>Kliknij lub naciśnij tutaj, aby wprowadzić tekst.</w:t>
          </w:r>
        </w:p>
      </w:docPartBody>
    </w:docPart>
    <w:docPart>
      <w:docPartPr>
        <w:name w:val="13EC9918B073C8478488F6B48269445C"/>
        <w:category>
          <w:name w:val="Ogólne"/>
          <w:gallery w:val="placeholder"/>
        </w:category>
        <w:types>
          <w:type w:val="bbPlcHdr"/>
        </w:types>
        <w:behaviors>
          <w:behavior w:val="content"/>
        </w:behaviors>
        <w:guid w:val="{6103671F-020A-EE42-A303-E4EE8DEDF536}"/>
      </w:docPartPr>
      <w:docPartBody>
        <w:p w:rsidR="00000000" w:rsidRDefault="00723AA0" w:rsidP="00723AA0">
          <w:pPr>
            <w:pStyle w:val="13EC9918B073C8478488F6B48269445C"/>
          </w:pPr>
          <w:r w:rsidRPr="003E1414">
            <w:rPr>
              <w:rStyle w:val="Tekstzastpczy"/>
            </w:rPr>
            <w:t>Kliknij lub naciśnij tutaj, aby wprowadzić tekst.</w:t>
          </w:r>
        </w:p>
      </w:docPartBody>
    </w:docPart>
    <w:docPart>
      <w:docPartPr>
        <w:name w:val="F34B4A174139894E9AF840BB8C76342C"/>
        <w:category>
          <w:name w:val="Ogólne"/>
          <w:gallery w:val="placeholder"/>
        </w:category>
        <w:types>
          <w:type w:val="bbPlcHdr"/>
        </w:types>
        <w:behaviors>
          <w:behavior w:val="content"/>
        </w:behaviors>
        <w:guid w:val="{D5899B2E-4C6D-5B41-A30F-56BBA355742B}"/>
      </w:docPartPr>
      <w:docPartBody>
        <w:p w:rsidR="00000000" w:rsidRDefault="00723AA0" w:rsidP="00723AA0">
          <w:pPr>
            <w:pStyle w:val="F34B4A174139894E9AF840BB8C76342C"/>
          </w:pPr>
          <w:r w:rsidRPr="003E1414">
            <w:rPr>
              <w:rStyle w:val="Tekstzastpczy"/>
            </w:rPr>
            <w:t>Kliknij lub naciśnij tutaj, aby wprowadzić tekst.</w:t>
          </w:r>
        </w:p>
      </w:docPartBody>
    </w:docPart>
    <w:docPart>
      <w:docPartPr>
        <w:name w:val="DefaultPlaceholder_-1854013440"/>
        <w:category>
          <w:name w:val="Ogólne"/>
          <w:gallery w:val="placeholder"/>
        </w:category>
        <w:types>
          <w:type w:val="bbPlcHdr"/>
        </w:types>
        <w:behaviors>
          <w:behavior w:val="content"/>
        </w:behaviors>
        <w:guid w:val="{1388C055-5B7E-1E49-952C-519523DAC9C2}"/>
      </w:docPartPr>
      <w:docPartBody>
        <w:p w:rsidR="00000000" w:rsidRDefault="00723AA0">
          <w:r w:rsidRPr="00BF63E5">
            <w:rPr>
              <w:rStyle w:val="Tekstzastpczy"/>
            </w:rPr>
            <w:t>Kliknij lub naciśnij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DDE"/>
    <w:rsid w:val="00065FE9"/>
    <w:rsid w:val="004834CD"/>
    <w:rsid w:val="006C2C05"/>
    <w:rsid w:val="00723AA0"/>
    <w:rsid w:val="00B57DDE"/>
    <w:rsid w:val="00E40B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723AA0"/>
    <w:rPr>
      <w:color w:val="666666"/>
    </w:rPr>
  </w:style>
  <w:style w:type="paragraph" w:customStyle="1" w:styleId="C389C9149E3C6C48BB15B5C318A0DE2C">
    <w:name w:val="C389C9149E3C6C48BB15B5C318A0DE2C"/>
    <w:rsid w:val="00B57DDE"/>
  </w:style>
  <w:style w:type="paragraph" w:customStyle="1" w:styleId="E8F031848C73D84A8154EC65626E24F5">
    <w:name w:val="E8F031848C73D84A8154EC65626E24F5"/>
    <w:rsid w:val="00B57DDE"/>
  </w:style>
  <w:style w:type="paragraph" w:customStyle="1" w:styleId="292A4B06D730F343A2ADA349DA10A7D7">
    <w:name w:val="292A4B06D730F343A2ADA349DA10A7D7"/>
    <w:rsid w:val="00723AA0"/>
  </w:style>
  <w:style w:type="paragraph" w:customStyle="1" w:styleId="13EC9918B073C8478488F6B48269445C">
    <w:name w:val="13EC9918B073C8478488F6B48269445C"/>
    <w:rsid w:val="00723AA0"/>
  </w:style>
  <w:style w:type="paragraph" w:customStyle="1" w:styleId="F34B4A174139894E9AF840BB8C76342C">
    <w:name w:val="F34B4A174139894E9AF840BB8C76342C"/>
    <w:rsid w:val="00723A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861F2C-4F4C-F746-B172-06D83D59F9E8}">
  <we:reference id="f78a3046-9e99-4300-aa2b-5814002b01a2" version="1.55.1.0" store="EXCatalog" storeType="EXCatalog"/>
  <we:alternateReferences>
    <we:reference id="WA104382081" version="1.55.1.0" store="pl-PL" storeType="OMEX"/>
  </we:alternateReferences>
  <we:properties>
    <we:property name="MENDELEY_CITATIONS" value="[{&quot;citationID&quot;:&quot;MENDELEY_CITATION_b1442d0e-69d7-4e6a-969c-40e9272ce9cf&quot;,&quot;properties&quot;:{&quot;noteIndex&quot;:0},&quot;isEdited&quot;:false,&quot;manualOverride&quot;:{&quot;isManuallyOverridden&quot;:true,&quot;citeprocText&quot;:&quot;[1]&quot;,&quot;manualOverrideText&quot;:&quot;[1].&quot;},&quot;citationTag&quot;:&quot;MENDELEY_CITATION_v3_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&quot;,&quot;citationItems&quot;:[{&quot;id&quot;:&quot;4ca4ba82-6769-3a39-897e-383e729fa6fd&quot;,&quot;itemData&quot;:{&quot;type&quot;:&quot;webpage&quot;,&quot;id&quot;:&quot;4ca4ba82-6769-3a39-897e-383e729fa6fd&quot;,&quot;title&quot;:&quot;Obwieszczenie Ministra Zdrowia z dnia 18 marca 2024 r. w sprawie wykazu refundowanych leków, środków spożywczych specjalnego przeznaczenia żywieniowego oraz wyrobów medycznych na 1 kwietnia 2024 r. - Ministerstwo Zdrowia - Portal Gov.pl&quot;,&quot;accessed&quot;:{&quot;date-parts&quot;:[[2024,5,19]]},&quot;URL&quot;:&quot;https://www.gov.pl/web/zdrowie/obwieszczenie-ministra-zdrowia-z-dnia-18-marca-2024-r-w-sprawie-wykazu-refundowanych-lekow-srodkow-spozywczych-specjalnego-przeznaczenia-zywieniowego-oraz-wyrobow-medycznych&quot;,&quot;container-title-short&quot;:&quot;&quot;},&quot;isTemporary&quot;:false}]},{&quot;citationID&quot;:&quot;MENDELEY_CITATION_fee367f0-13d0-464b-bc77-7c2c99ab0b6f&quot;,&quot;properties&quot;:{&quot;noteIndex&quot;:0},&quot;isEdited&quot;:false,&quot;manualOverride&quot;:{&quot;isManuallyOverridden&quot;:false,&quot;citeprocText&quot;:&quot;[2]&quot;,&quot;manualOverrideText&quot;:&quot;&quot;},&quot;citationTag&quot;:&quot;MENDELEY_CITATION_v3_eyJjaXRhdGlvbklEIjoiTUVOREVMRVlfQ0lUQVRJT05fZmVlMzY3ZjAtMTNkMC00NjRiLWJjNzctN2MyYzk5YWIwYjZm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quot;,&quot;citationItems&quot;:[{&quot;id&quot;:&quot;1f01aa91-06dc-3e79-b7c2-8827c01940e8&quot;,&quot;itemData&quot;:{&quot;type&quot;:&quot;article-journal&quot;,&quot;id&quot;:&quot;1f01aa91-06dc-3e79-b7c2-8827c01940e8&quot;,&quot;title&quot;:&quot;Immune-related tumour response assessment criteria: a comprehensive review&quot;,&quot;author&quot;:[{&quot;family&quot;:&quot;Somarouthu&quot;,&quot;given&quot;:&quot;Bhanusupriya&quot;,&quot;parse-names&quot;:false,&quot;dropping-particle&quot;:&quot;&quot;,&quot;non-dropping-particle&quot;:&quot;&quot;},{&quot;family&quot;:&quot;Lee&quot;,&quot;given&quot;:&quot;Susanna I.&quot;,&quot;parse-names&quot;:false,&quot;dropping-particle&quot;:&quot;&quot;,&quot;non-dropping-particle&quot;:&quot;&quot;},{&quot;family&quot;:&quot;Urban&quot;,&quot;given&quot;:&quot;Trinity&quot;,&quot;parse-names&quot;:false,&quot;dropping-particle&quot;:&quot;&quot;,&quot;non-dropping-particle&quot;:&quot;&quot;},{&quot;family&quot;:&quot;Sadow&quot;,&quot;given&quot;:&quot;Cheryl A.&quot;,&quot;parse-names&quot;:false,&quot;dropping-particle&quot;:&quot;&quot;,&quot;non-dropping-particle&quot;:&quot;&quot;},{&quot;family&quot;:&quot;Harris&quot;,&quot;given&quot;:&quot;Gordon J.&quot;,&quot;parse-names&quot;:false,&quot;dropping-particle&quot;:&quot;&quot;,&quot;non-dropping-particle&quot;:&quot;&quot;},{&quot;family&quot;:&quot;Kambadakone&quot;,&quot;given&quot;:&quot;Avinash&quot;,&quot;parse-names&quot;:false,&quot;dropping-particle&quot;:&quot;&quot;,&quot;non-dropping-particle&quot;:&quot;&quot;}],&quot;container-title&quot;:&quot;The British Journal of Radiology&quot;,&quot;accessed&quot;:{&quot;date-parts&quot;:[[2024,5,18]]},&quot;DOI&quot;:&quot;10.1259/BJR.20170457&quot;,&quot;ISSN&quot;:&quot;1748880X&quot;,&quot;PMID&quot;:&quot;29172675&quot;,&quot;URL&quot;:&quot;/pmc/articles/PMC5966001/&quot;,&quot;issued&quot;:{&quot;date-parts&quot;:[[2018]]},&quot;abstract&quot;:&quot;Growing emphasis on precision medicine in oncology has led to increasing use of targeted therapies that encompass a spectrum of drug classes including angiogenesis inhibitors, immune modulators, signal transduction inhibitors, DNA damage modulators, hormonal agents etc. Immune therapeutic drugs constitute a unique group among the novel therapeutic agents that are transforming cancer treatment, and their use is rising. The imaging manifestations in patients on immune therapies appear to be distinct from those typically seen with conventional cytotoxic therapies. Patients on immune therapies May demonstrate a delayed response, transient tumour enlargement followed by shrinkage, stable size, or initial appearance of new lesions followed by stability or response. These newer patterns of response to treatment have rendered conventional criteria such as World Health Organization and response evaluation criteria in solid tumours suboptimal in monitoring changes in tumour burden. As a consequence, newer imaging response criteria such as immune-related response evaluation criteria in solid tumours and immune-related response criteria are being implemented in many trials to effectively monitor patients on immune therapies. In this review, we discuss the traditional and new imaging response criteria for evaluation of solid tumours, review the outcomes of various articles which compared traditional criteria with the new immune-related criteria and discuss pseudo-progression and immune-related adverse events.&quot;,&quot;publisher&quot;:&quot;Oxford University Press&quot;,&quot;issue&quot;:&quot;1084&quot;,&quot;volume&quot;:&quot;91&quot;,&quot;container-title-short&quot;:&quot;Br J Radiol&quot;},&quot;isTemporary&quot;:false}]},{&quot;citationID&quot;:&quot;MENDELEY_CITATION_d0cd5f4c-5980-4c2b-a1ec-1f151a0ad90f&quot;,&quot;properties&quot;:{&quot;noteIndex&quot;:0},&quot;isEdited&quot;:false,&quot;manualOverride&quot;:{&quot;isManuallyOverridden&quot;:false,&quot;citeprocText&quot;:&quot;[2]&quot;,&quot;manualOverrideText&quot;:&quot;&quot;},&quot;citationTag&quot;:&quot;MENDELEY_CITATION_v3_eyJjaXRhdGlvbklEIjoiTUVOREVMRVlfQ0lUQVRJT05fZDBjZDVmNGMtNTk4MC00YzJiLWExZWMtMWYxNTFhMGFkOTBm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quot;,&quot;citationItems&quot;:[{&quot;id&quot;:&quot;1f01aa91-06dc-3e79-b7c2-8827c01940e8&quot;,&quot;itemData&quot;:{&quot;type&quot;:&quot;article-journal&quot;,&quot;id&quot;:&quot;1f01aa91-06dc-3e79-b7c2-8827c01940e8&quot;,&quot;title&quot;:&quot;Immune-related tumour response assessment criteria: a comprehensive review&quot;,&quot;author&quot;:[{&quot;family&quot;:&quot;Somarouthu&quot;,&quot;given&quot;:&quot;Bhanusupriya&quot;,&quot;parse-names&quot;:false,&quot;dropping-particle&quot;:&quot;&quot;,&quot;non-dropping-particle&quot;:&quot;&quot;},{&quot;family&quot;:&quot;Lee&quot;,&quot;given&quot;:&quot;Susanna I.&quot;,&quot;parse-names&quot;:false,&quot;dropping-particle&quot;:&quot;&quot;,&quot;non-dropping-particle&quot;:&quot;&quot;},{&quot;family&quot;:&quot;Urban&quot;,&quot;given&quot;:&quot;Trinity&quot;,&quot;parse-names&quot;:false,&quot;dropping-particle&quot;:&quot;&quot;,&quot;non-dropping-particle&quot;:&quot;&quot;},{&quot;family&quot;:&quot;Sadow&quot;,&quot;given&quot;:&quot;Cheryl A.&quot;,&quot;parse-names&quot;:false,&quot;dropping-particle&quot;:&quot;&quot;,&quot;non-dropping-particle&quot;:&quot;&quot;},{&quot;family&quot;:&quot;Harris&quot;,&quot;given&quot;:&quot;Gordon J.&quot;,&quot;parse-names&quot;:false,&quot;dropping-particle&quot;:&quot;&quot;,&quot;non-dropping-particle&quot;:&quot;&quot;},{&quot;family&quot;:&quot;Kambadakone&quot;,&quot;given&quot;:&quot;Avinash&quot;,&quot;parse-names&quot;:false,&quot;dropping-particle&quot;:&quot;&quot;,&quot;non-dropping-particle&quot;:&quot;&quot;}],&quot;container-title&quot;:&quot;The British Journal of Radiology&quot;,&quot;accessed&quot;:{&quot;date-parts&quot;:[[2024,5,18]]},&quot;DOI&quot;:&quot;10.1259/BJR.20170457&quot;,&quot;ISSN&quot;:&quot;1748880X&quot;,&quot;PMID&quot;:&quot;29172675&quot;,&quot;URL&quot;:&quot;/pmc/articles/PMC5966001/&quot;,&quot;issued&quot;:{&quot;date-parts&quot;:[[2018]]},&quot;abstract&quot;:&quot;Growing emphasis on precision medicine in oncology has led to increasing use of targeted therapies that encompass a spectrum of drug classes including angiogenesis inhibitors, immune modulators, signal transduction inhibitors, DNA damage modulators, hormonal agents etc. Immune therapeutic drugs constitute a unique group among the novel therapeutic agents that are transforming cancer treatment, and their use is rising. The imaging manifestations in patients on immune therapies appear to be distinct from those typically seen with conventional cytotoxic therapies. Patients on immune therapies May demonstrate a delayed response, transient tumour enlargement followed by shrinkage, stable size, or initial appearance of new lesions followed by stability or response. These newer patterns of response to treatment have rendered conventional criteria such as World Health Organization and response evaluation criteria in solid tumours suboptimal in monitoring changes in tumour burden. As a consequence, newer imaging response criteria such as immune-related response evaluation criteria in solid tumours and immune-related response criteria are being implemented in many trials to effectively monitor patients on immune therapies. In this review, we discuss the traditional and new imaging response criteria for evaluation of solid tumours, review the outcomes of various articles which compared traditional criteria with the new immune-related criteria and discuss pseudo-progression and immune-related adverse events.&quot;,&quot;publisher&quot;:&quot;Oxford University Press&quot;,&quot;issue&quot;:&quot;1084&quot;,&quot;volume&quot;:&quot;91&quot;,&quot;container-title-short&quot;:&quot;Br J Radiol&quot;},&quot;isTemporary&quot;:false}]},{&quot;citationID&quot;:&quot;MENDELEY_CITATION_9fdae482-e149-42e6-a09f-18cb8de3c584&quot;,&quot;properties&quot;:{&quot;noteIndex&quot;:0},&quot;isEdited&quot;:false,&quot;manualOverride&quot;:{&quot;isManuallyOverridden&quot;:false,&quot;citeprocText&quot;:&quot;[2]&quot;,&quot;manualOverrideText&quot;:&quot;&quot;},&quot;citationTag&quot;:&quot;MENDELEY_CITATION_v3_eyJjaXRhdGlvbklEIjoiTUVOREVMRVlfQ0lUQVRJT05fOWZkYWU0ODItZTE0OS00MmU2LWEwOWYtMThjYjhkZTNjNTg0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quot;,&quot;citationItems&quot;:[{&quot;id&quot;:&quot;1f01aa91-06dc-3e79-b7c2-8827c01940e8&quot;,&quot;itemData&quot;:{&quot;type&quot;:&quot;article-journal&quot;,&quot;id&quot;:&quot;1f01aa91-06dc-3e79-b7c2-8827c01940e8&quot;,&quot;title&quot;:&quot;Immune-related tumour response assessment criteria: a comprehensive review&quot;,&quot;author&quot;:[{&quot;family&quot;:&quot;Somarouthu&quot;,&quot;given&quot;:&quot;Bhanusupriya&quot;,&quot;parse-names&quot;:false,&quot;dropping-particle&quot;:&quot;&quot;,&quot;non-dropping-particle&quot;:&quot;&quot;},{&quot;family&quot;:&quot;Lee&quot;,&quot;given&quot;:&quot;Susanna I.&quot;,&quot;parse-names&quot;:false,&quot;dropping-particle&quot;:&quot;&quot;,&quot;non-dropping-particle&quot;:&quot;&quot;},{&quot;family&quot;:&quot;Urban&quot;,&quot;given&quot;:&quot;Trinity&quot;,&quot;parse-names&quot;:false,&quot;dropping-particle&quot;:&quot;&quot;,&quot;non-dropping-particle&quot;:&quot;&quot;},{&quot;family&quot;:&quot;Sadow&quot;,&quot;given&quot;:&quot;Cheryl A.&quot;,&quot;parse-names&quot;:false,&quot;dropping-particle&quot;:&quot;&quot;,&quot;non-dropping-particle&quot;:&quot;&quot;},{&quot;family&quot;:&quot;Harris&quot;,&quot;given&quot;:&quot;Gordon J.&quot;,&quot;parse-names&quot;:false,&quot;dropping-particle&quot;:&quot;&quot;,&quot;non-dropping-particle&quot;:&quot;&quot;},{&quot;family&quot;:&quot;Kambadakone&quot;,&quot;given&quot;:&quot;Avinash&quot;,&quot;parse-names&quot;:false,&quot;dropping-particle&quot;:&quot;&quot;,&quot;non-dropping-particle&quot;:&quot;&quot;}],&quot;container-title&quot;:&quot;The British Journal of Radiology&quot;,&quot;accessed&quot;:{&quot;date-parts&quot;:[[2024,5,18]]},&quot;DOI&quot;:&quot;10.1259/BJR.20170457&quot;,&quot;ISSN&quot;:&quot;1748880X&quot;,&quot;PMID&quot;:&quot;29172675&quot;,&quot;URL&quot;:&quot;/pmc/articles/PMC5966001/&quot;,&quot;issued&quot;:{&quot;date-parts&quot;:[[2018]]},&quot;abstract&quot;:&quot;Growing emphasis on precision medicine in oncology has led to increasing use of targeted therapies that encompass a spectrum of drug classes including angiogenesis inhibitors, immune modulators, signal transduction inhibitors, DNA damage modulators, hormonal agents etc. Immune therapeutic drugs constitute a unique group among the novel therapeutic agents that are transforming cancer treatment, and their use is rising. The imaging manifestations in patients on immune therapies appear to be distinct from those typically seen with conventional cytotoxic therapies. Patients on immune therapies May demonstrate a delayed response, transient tumour enlargement followed by shrinkage, stable size, or initial appearance of new lesions followed by stability or response. These newer patterns of response to treatment have rendered conventional criteria such as World Health Organization and response evaluation criteria in solid tumours suboptimal in monitoring changes in tumour burden. As a consequence, newer imaging response criteria such as immune-related response evaluation criteria in solid tumours and immune-related response criteria are being implemented in many trials to effectively monitor patients on immune therapies. In this review, we discuss the traditional and new imaging response criteria for evaluation of solid tumours, review the outcomes of various articles which compared traditional criteria with the new immune-related criteria and discuss pseudo-progression and immune-related adverse events.&quot;,&quot;publisher&quot;:&quot;Oxford University Press&quot;,&quot;issue&quot;:&quot;1084&quot;,&quot;volume&quot;:&quot;91&quot;,&quot;container-title-short&quot;:&quot;Br J Radiol&quot;},&quot;isTemporary&quot;:false}]},{&quot;citationID&quot;:&quot;MENDELEY_CITATION_d2a21015-84cd-493a-825b-c954e2673964&quot;,&quot;properties&quot;:{&quot;noteIndex&quot;:0},&quot;isEdited&quot;:false,&quot;manualOverride&quot;:{&quot;isManuallyOverridden&quot;:false,&quot;citeprocText&quot;:&quot;[2]&quot;,&quot;manualOverrideText&quot;:&quot;&quot;},&quot;citationTag&quot;:&quot;MENDELEY_CITATION_v3_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&quot;,&quot;citationItems&quot;:[{&quot;id&quot;:&quot;1f01aa91-06dc-3e79-b7c2-8827c01940e8&quot;,&quot;itemData&quot;:{&quot;type&quot;:&quot;article-journal&quot;,&quot;id&quot;:&quot;1f01aa91-06dc-3e79-b7c2-8827c01940e8&quot;,&quot;title&quot;:&quot;Immune-related tumour response assessment criteria: a comprehensive review&quot;,&quot;author&quot;:[{&quot;family&quot;:&quot;Somarouthu&quot;,&quot;given&quot;:&quot;Bhanusupriya&quot;,&quot;parse-names&quot;:false,&quot;dropping-particle&quot;:&quot;&quot;,&quot;non-dropping-particle&quot;:&quot;&quot;},{&quot;family&quot;:&quot;Lee&quot;,&quot;given&quot;:&quot;Susanna I.&quot;,&quot;parse-names&quot;:false,&quot;dropping-particle&quot;:&quot;&quot;,&quot;non-dropping-particle&quot;:&quot;&quot;},{&quot;family&quot;:&quot;Urban&quot;,&quot;given&quot;:&quot;Trinity&quot;,&quot;parse-names&quot;:false,&quot;dropping-particle&quot;:&quot;&quot;,&quot;non-dropping-particle&quot;:&quot;&quot;},{&quot;family&quot;:&quot;Sadow&quot;,&quot;given&quot;:&quot;Cheryl A.&quot;,&quot;parse-names&quot;:false,&quot;dropping-particle&quot;:&quot;&quot;,&quot;non-dropping-particle&quot;:&quot;&quot;},{&quot;family&quot;:&quot;Harris&quot;,&quot;given&quot;:&quot;Gordon J.&quot;,&quot;parse-names&quot;:false,&quot;dropping-particle&quot;:&quot;&quot;,&quot;non-dropping-particle&quot;:&quot;&quot;},{&quot;family&quot;:&quot;Kambadakone&quot;,&quot;given&quot;:&quot;Avinash&quot;,&quot;parse-names&quot;:false,&quot;dropping-particle&quot;:&quot;&quot;,&quot;non-dropping-particle&quot;:&quot;&quot;}],&quot;container-title&quot;:&quot;The British Journal of Radiology&quot;,&quot;accessed&quot;:{&quot;date-parts&quot;:[[2024,5,18]]},&quot;DOI&quot;:&quot;10.1259/BJR.20170457&quot;,&quot;ISSN&quot;:&quot;1748880X&quot;,&quot;PMID&quot;:&quot;29172675&quot;,&quot;URL&quot;:&quot;/pmc/articles/PMC5966001/&quot;,&quot;issued&quot;:{&quot;date-parts&quot;:[[2018]]},&quot;abstract&quot;:&quot;Growing emphasis on precision medicine in oncology has led to increasing use of targeted therapies that encompass a spectrum of drug classes including angiogenesis inhibitors, immune modulators, signal transduction inhibitors, DNA damage modulators, hormonal agents etc. Immune therapeutic drugs constitute a unique group among the novel therapeutic agents that are transforming cancer treatment, and their use is rising. The imaging manifestations in patients on immune therapies appear to be distinct from those typically seen with conventional cytotoxic therapies. Patients on immune therapies May demonstrate a delayed response, transient tumour enlargement followed by shrinkage, stable size, or initial appearance of new lesions followed by stability or response. These newer patterns of response to treatment have rendered conventional criteria such as World Health Organization and response evaluation criteria in solid tumours suboptimal in monitoring changes in tumour burden. As a consequence, newer imaging response criteria such as immune-related response evaluation criteria in solid tumours and immune-related response criteria are being implemented in many trials to effectively monitor patients on immune therapies. In this review, we discuss the traditional and new imaging response criteria for evaluation of solid tumours, review the outcomes of various articles which compared traditional criteria with the new immune-related criteria and discuss pseudo-progression and immune-related adverse events.&quot;,&quot;publisher&quot;:&quot;Oxford University Press&quot;,&quot;issue&quot;:&quot;1084&quot;,&quot;volume&quot;:&quot;91&quot;,&quot;container-title-short&quot;:&quot;Br J Radiol&quot;},&quot;isTemporary&quot;:false}]},{&quot;citationID&quot;:&quot;MENDELEY_CITATION_37200147-63d1-4e95-9c72-3198ca2d65cc&quot;,&quot;properties&quot;:{&quot;noteIndex&quot;:0},&quot;isEdited&quot;:false,&quot;manualOverride&quot;:{&quot;isManuallyOverridden&quot;:false,&quot;citeprocText&quot;:&quot;[3]&quot;,&quot;manualOverrideText&quot;:&quot;&quot;},&quot;citationTag&quot;:&quot;MENDELEY_CITATION_v3_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&quot;,&quot;citationItems&quot;:[{&quot;id&quot;:&quot;b6bd1878-6388-3dbd-9836-1bbc258c5c92&quot;,&quot;itemData&quot;:{&quot;type&quot;:&quot;webpage&quot;,&quot;id&quot;:&quot;b6bd1878-6388-3dbd-9836-1bbc258c5c92&quot;,&quot;title&quot;:&quot;Podręcznik Interna&quot;,&quot;accessed&quot;:{&quot;date-parts&quot;:[[2024,8,7]]},&quot;URL&quot;:&quot;https://www.mp.pl/interna/&quot;,&quot;container-title-short&quot;:&quot;&quot;},&quot;isTemporary&quot;:false}]}]"/>
    <we:property name="MENDELEY_CITATIONS_LOCALE_CODE" value="&quot;en-GB&quot;"/>
    <we:property name="MENDELEY_CITATIONS_STYLE" value="{&quot;id&quot;:&quot;https://www.zotero.org/styles/sage-vancouver-brackets&quot;,&quot;title&quot;:&quot;SAGE - Vancouver (bracke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2CEE4-678B-9B40-936C-FCAE80531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1398</Words>
  <Characters>8393</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Pacholczak-Madej</dc:creator>
  <cp:keywords/>
  <dc:description/>
  <cp:lastModifiedBy>Renata Pacholczak-Madej</cp:lastModifiedBy>
  <cp:revision>11</cp:revision>
  <dcterms:created xsi:type="dcterms:W3CDTF">2024-07-27T20:37:00Z</dcterms:created>
  <dcterms:modified xsi:type="dcterms:W3CDTF">2024-08-07T19:54:00Z</dcterms:modified>
</cp:coreProperties>
</file>