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Table. S1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Basic characteristics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, stratified by CRP levels (n=42514)</w:t>
      </w:r>
    </w:p>
    <w:p>
      <w:pPr>
        <w:rPr>
          <w:rFonts w:hint="default" w:ascii="Times New Roman" w:hAnsi="Times New Roman" w:cs="Times New Roman"/>
          <w:b/>
          <w:bCs/>
          <w:sz w:val="24"/>
          <w:lang w:val="en-US" w:eastAsia="zh-CN"/>
        </w:rPr>
      </w:pPr>
    </w:p>
    <w:tbl>
      <w:tblPr>
        <w:tblStyle w:val="2"/>
        <w:tblW w:w="8798" w:type="dxa"/>
        <w:tblInd w:w="1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5"/>
        <w:gridCol w:w="2433"/>
        <w:gridCol w:w="2422"/>
        <w:gridCol w:w="13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3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Low CRP (&lt;3mg/L)</w:t>
            </w:r>
          </w:p>
        </w:tc>
        <w:tc>
          <w:tcPr>
            <w:tcW w:w="2422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High CRP (≥3mg/L)</w:t>
            </w:r>
          </w:p>
        </w:tc>
        <w:tc>
          <w:tcPr>
            <w:tcW w:w="134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</w:t>
            </w:r>
          </w:p>
        </w:tc>
        <w:tc>
          <w:tcPr>
            <w:tcW w:w="2433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34118</w:t>
            </w:r>
          </w:p>
        </w:tc>
        <w:tc>
          <w:tcPr>
            <w:tcW w:w="2422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8396</w:t>
            </w:r>
          </w:p>
        </w:tc>
        <w:tc>
          <w:tcPr>
            <w:tcW w:w="1348" w:type="dxa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Sex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, 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(%)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Woman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8103(23.7)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2116(25.2)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Man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26015(76.3)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6280(74.8)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Age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52.44(11.58)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56.50(11.86)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Education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, 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(%)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Low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25535(74.8)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6832(81.4)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High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8583(25.2)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1564(18.7)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Income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, n (%)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Low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31477(92.3)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7917(94.3)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High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2641(7.7)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479(5.7)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Smoke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, 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(%)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No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21466(62.9)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5725(68.2)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Current and past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12652(37.1)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2671(31.8)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Alcohol intake, 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(%)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No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19425(56.9)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5590(66.6)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Yes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14693(43.1)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2806(33.4)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auto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hysical exercise, n 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(%)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No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3385(9.9)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585(7.0)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Yes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30733(90.1)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7811(93.0)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righ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BMI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24.91(3.25)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26.18(3.61)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FBG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5.61(1.59)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5.91(1.98)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TG</w:t>
            </w:r>
          </w:p>
        </w:tc>
        <w:tc>
          <w:tcPr>
            <w:tcW w:w="24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1.27[0.89,1.89]</w:t>
            </w:r>
          </w:p>
        </w:tc>
        <w:tc>
          <w:tcPr>
            <w:tcW w:w="24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1.44[0.98,2.15]</w:t>
            </w:r>
          </w:p>
        </w:tc>
        <w:tc>
          <w:tcPr>
            <w:tcW w:w="13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2595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Mean CRP</w:t>
            </w:r>
          </w:p>
        </w:tc>
        <w:tc>
          <w:tcPr>
            <w:tcW w:w="2433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1.17[0.70,1.77]</w:t>
            </w:r>
          </w:p>
        </w:tc>
        <w:tc>
          <w:tcPr>
            <w:tcW w:w="2422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4.39[3.58,5.48]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</w:tr>
    </w:tbl>
    <w:p>
      <w:pPr>
        <w:rPr>
          <w:rFonts w:hint="eastAsia" w:ascii="Times New Roman" w:hAnsi="Times New Roman" w:cs="Times New Roman"/>
          <w:b/>
          <w:bCs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Notes: </w:t>
      </w:r>
      <w:r>
        <w:rPr>
          <w:rFonts w:ascii="Times New Roman" w:hAnsi="Times New Roman" w:cs="Times New Roman"/>
          <w:sz w:val="24"/>
        </w:rPr>
        <w:t xml:space="preserve">Continuous variables </w:t>
      </w:r>
      <w:r>
        <w:rPr>
          <w:rFonts w:hint="eastAsia" w:ascii="Times New Roman" w:hAnsi="Times New Roman" w:cs="Times New Roman"/>
          <w:sz w:val="24"/>
        </w:rPr>
        <w:t>were</w:t>
      </w:r>
      <w:r>
        <w:rPr>
          <w:rFonts w:ascii="Times New Roman" w:hAnsi="Times New Roman" w:cs="Times New Roman"/>
          <w:sz w:val="24"/>
        </w:rPr>
        <w:t xml:space="preserve"> presented as mean ± standard deviation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(SD).</w:t>
      </w: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Continuous variables that were not normally distributed were expressed as </w:t>
      </w:r>
      <w:r>
        <w:rPr>
          <w:rFonts w:ascii="Times New Roman" w:hAnsi="Times New Roman" w:cs="Times New Roman"/>
          <w:sz w:val="24"/>
        </w:rPr>
        <w:t>the median (interquartile range)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. </w:t>
      </w:r>
      <w:r>
        <w:rPr>
          <w:rFonts w:ascii="Times New Roman" w:hAnsi="Times New Roman" w:cs="Times New Roman"/>
          <w:sz w:val="24"/>
        </w:rPr>
        <w:t>Categorical variables were presented as numbers and percentages.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</w:rPr>
        <w:t>Differences in normally and non-normally distributed baseline characteristics were compared using the chi-square test or t-test and Wilcoxon rank sum test, respectively.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PA, physical activity; BMI, body mass index; CRP, C reactive protein; TG, triglyceride; Fbg, fasting blood-glucose; CV, coefficient of variation.</w:t>
      </w: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Table. S2 Number of cases of cancer during the follow-up period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8"/>
        <w:gridCol w:w="1083"/>
        <w:gridCol w:w="1692"/>
        <w:gridCol w:w="1763"/>
        <w:gridCol w:w="191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13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86" w:type="pct"/>
            <w:gridSpan w:val="4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CV of CRP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13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635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Overall</w:t>
            </w:r>
          </w:p>
        </w:tc>
        <w:tc>
          <w:tcPr>
            <w:tcW w:w="993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Lowest tertile</w:t>
            </w:r>
          </w:p>
        </w:tc>
        <w:tc>
          <w:tcPr>
            <w:tcW w:w="1034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Middle tertile</w:t>
            </w:r>
          </w:p>
        </w:tc>
        <w:tc>
          <w:tcPr>
            <w:tcW w:w="112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Highest tertile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13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Head and neck</w:t>
            </w:r>
          </w:p>
        </w:tc>
        <w:tc>
          <w:tcPr>
            <w:tcW w:w="635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993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034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122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sophagus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astrointestinal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C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olorectal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L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iver and gallbladder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ancreatic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Lung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502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Breast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Uterus and ovaries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rostate 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Kidnet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Urinary bladder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9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0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1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1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</w:t>
            </w: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ematology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*</w:t>
            </w:r>
          </w:p>
        </w:tc>
        <w:tc>
          <w:tcPr>
            <w:tcW w:w="635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993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034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12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</w:tr>
    </w:tbl>
    <w:p>
      <w:pPr>
        <w:numPr>
          <w:ilvl w:val="0"/>
          <w:numId w:val="0"/>
        </w:numP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Notes: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CV,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coefficient of variation; </w:t>
      </w:r>
      <w:r>
        <w:rPr>
          <w:rFonts w:hint="eastAsia" w:ascii="Times New Roman" w:hAnsi="Times New Roman" w:cs="Times New Roman"/>
          <w:sz w:val="24"/>
          <w:lang w:val="en-US" w:eastAsia="zh-CN"/>
        </w:rPr>
        <w:t>CRP, C reactive protein.</w:t>
      </w:r>
    </w:p>
    <w:p>
      <w:pPr>
        <w:numPr>
          <w:ilvl w:val="0"/>
          <w:numId w:val="0"/>
        </w:numP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1F1F1F"/>
          <w:spacing w:val="0"/>
          <w:kern w:val="44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*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1F1F1F"/>
          <w:spacing w:val="0"/>
          <w:kern w:val="44"/>
          <w:sz w:val="24"/>
          <w:szCs w:val="24"/>
          <w:lang w:val="en-US" w:eastAsia="zh-CN" w:bidi="ar"/>
        </w:rPr>
        <w:t>Tumors of the h</w:t>
      </w:r>
      <w:r>
        <w:rPr>
          <w:rFonts w:hint="default" w:ascii="Times New Roman" w:hAnsi="Times New Roman" w:eastAsia="宋体" w:cs="Times New Roman"/>
          <w:i w:val="0"/>
          <w:iCs w:val="0"/>
          <w:color w:val="000000"/>
          <w:kern w:val="0"/>
          <w:sz w:val="20"/>
          <w:szCs w:val="20"/>
          <w:u w:val="none"/>
          <w:lang w:val="en-US" w:eastAsia="zh-CN" w:bidi="ar"/>
        </w:rPr>
        <w:t>ematology</w:t>
      </w:r>
      <w:r>
        <w:rPr>
          <w:rFonts w:hint="eastAsia" w:ascii="Times New Roman" w:hAnsi="Times New Roman" w:eastAsia="宋体" w:cs="Times New Roman"/>
          <w:b w:val="0"/>
          <w:bCs w:val="0"/>
          <w:i w:val="0"/>
          <w:iCs w:val="0"/>
          <w:caps w:val="0"/>
          <w:color w:val="1F1F1F"/>
          <w:spacing w:val="0"/>
          <w:kern w:val="44"/>
          <w:sz w:val="24"/>
          <w:szCs w:val="24"/>
          <w:lang w:val="en-US" w:eastAsia="zh-CN" w:bidi="ar"/>
        </w:rPr>
        <w:t xml:space="preserve"> include lymphoma and leukemia.</w:t>
      </w: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Table. S3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The association between coefficient of variation of C-reactive protein and death</w:t>
      </w: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sz w:val="24"/>
          <w:lang w:val="en-US" w:eastAsia="zh-CN"/>
        </w:rPr>
      </w:pPr>
    </w:p>
    <w:tbl>
      <w:tblPr>
        <w:tblStyle w:val="2"/>
        <w:tblW w:w="5355" w:type="pct"/>
        <w:tblInd w:w="-21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693"/>
        <w:gridCol w:w="1579"/>
        <w:gridCol w:w="878"/>
        <w:gridCol w:w="1515"/>
        <w:gridCol w:w="787"/>
        <w:gridCol w:w="1538"/>
        <w:gridCol w:w="8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6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79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345" w:type="pct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odel A</w:t>
            </w:r>
          </w:p>
        </w:tc>
        <w:tc>
          <w:tcPr>
            <w:tcW w:w="1260" w:type="pct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odel B</w:t>
            </w:r>
          </w:p>
        </w:tc>
        <w:tc>
          <w:tcPr>
            <w:tcW w:w="1327" w:type="pct"/>
            <w:gridSpan w:val="2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M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odel 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6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379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  <w:lang w:val="en-US" w:eastAsia="zh-CN"/>
              </w:rPr>
              <w:t>Case</w:t>
            </w:r>
          </w:p>
        </w:tc>
        <w:tc>
          <w:tcPr>
            <w:tcW w:w="864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 (95%CI)</w:t>
            </w:r>
          </w:p>
        </w:tc>
        <w:tc>
          <w:tcPr>
            <w:tcW w:w="480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p-value</w:t>
            </w:r>
          </w:p>
        </w:tc>
        <w:tc>
          <w:tcPr>
            <w:tcW w:w="829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 (95%CI)</w:t>
            </w:r>
          </w:p>
        </w:tc>
        <w:tc>
          <w:tcPr>
            <w:tcW w:w="431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p-value</w:t>
            </w:r>
          </w:p>
        </w:tc>
        <w:tc>
          <w:tcPr>
            <w:tcW w:w="842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HR (95%CI)</w:t>
            </w:r>
          </w:p>
        </w:tc>
        <w:tc>
          <w:tcPr>
            <w:tcW w:w="484" w:type="pct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p-value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30" w:type="pct"/>
            <w:gridSpan w:val="3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D</w:t>
            </w: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eath</w:t>
            </w:r>
          </w:p>
        </w:tc>
        <w:tc>
          <w:tcPr>
            <w:tcW w:w="480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9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1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2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4" w:type="pct"/>
            <w:tcBorders>
              <w:top w:val="single" w:color="auto" w:sz="12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Low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</w:pPr>
            <w:r>
              <w:rPr>
                <w:rStyle w:val="4"/>
                <w:rFonts w:hint="eastAsia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1344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Moderate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</w:pPr>
            <w:r>
              <w:rPr>
                <w:rStyle w:val="4"/>
                <w:rFonts w:hint="eastAsia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1330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0.99(0.911.06)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0.707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1(0.93,1.08)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0.933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1(0.92,1.08)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High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</w:pPr>
            <w:r>
              <w:rPr>
                <w:rStyle w:val="4"/>
                <w:rFonts w:hint="eastAsia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1107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0.81(0.750.88)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&lt;0.001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0.93(0.86,1.01)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0.071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0.92(0.85,1)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930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left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Cancer-specific death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Low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</w:pPr>
            <w:r>
              <w:rPr>
                <w:rStyle w:val="4"/>
                <w:rFonts w:hint="eastAsia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267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ref.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Moderate</w:t>
            </w:r>
          </w:p>
        </w:tc>
        <w:tc>
          <w:tcPr>
            <w:tcW w:w="3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</w:pPr>
            <w:r>
              <w:rPr>
                <w:rStyle w:val="4"/>
                <w:rFonts w:hint="eastAsia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262</w:t>
            </w:r>
          </w:p>
        </w:tc>
        <w:tc>
          <w:tcPr>
            <w:tcW w:w="8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0.98(0.831.16)</w:t>
            </w:r>
          </w:p>
        </w:tc>
        <w:tc>
          <w:tcPr>
            <w:tcW w:w="4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0.807</w:t>
            </w:r>
          </w:p>
        </w:tc>
        <w:tc>
          <w:tcPr>
            <w:tcW w:w="8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0.98(0.82,1.16)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0.782</w:t>
            </w:r>
          </w:p>
        </w:tc>
        <w:tc>
          <w:tcPr>
            <w:tcW w:w="8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0.98(0.82,1.16)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0.777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686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Style w:val="4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High</w:t>
            </w:r>
          </w:p>
        </w:tc>
        <w:tc>
          <w:tcPr>
            <w:tcW w:w="37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Style w:val="4"/>
                <w:rFonts w:hint="default" w:ascii="Times New Roman" w:hAnsi="Times New Roman" w:eastAsia="宋体" w:cs="Times New Roman"/>
                <w:sz w:val="18"/>
                <w:szCs w:val="18"/>
                <w:lang w:val="en-US" w:eastAsia="zh-CN" w:bidi="ar"/>
              </w:rPr>
            </w:pPr>
            <w:r>
              <w:rPr>
                <w:rStyle w:val="4"/>
                <w:rFonts w:hint="eastAsia" w:ascii="Times New Roman" w:hAnsi="Times New Roman" w:eastAsia="宋体" w:cs="Times New Roman"/>
                <w:sz w:val="18"/>
                <w:szCs w:val="18"/>
                <w:lang w:val="en-US" w:eastAsia="zh-CN" w:bidi="ar"/>
              </w:rPr>
              <w:t>228</w:t>
            </w:r>
          </w:p>
        </w:tc>
        <w:tc>
          <w:tcPr>
            <w:tcW w:w="864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0.85(0.711.01)</w:t>
            </w:r>
          </w:p>
        </w:tc>
        <w:tc>
          <w:tcPr>
            <w:tcW w:w="480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0.064</w:t>
            </w:r>
          </w:p>
        </w:tc>
        <w:tc>
          <w:tcPr>
            <w:tcW w:w="829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0.89(0.74,1.06)</w:t>
            </w:r>
          </w:p>
        </w:tc>
        <w:tc>
          <w:tcPr>
            <w:tcW w:w="431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0.194</w:t>
            </w:r>
          </w:p>
        </w:tc>
        <w:tc>
          <w:tcPr>
            <w:tcW w:w="842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0.89(0.75,1.07)</w:t>
            </w:r>
          </w:p>
        </w:tc>
        <w:tc>
          <w:tcPr>
            <w:tcW w:w="484" w:type="pct"/>
            <w:tcBorders>
              <w:top w:val="nil"/>
              <w:left w:val="nil"/>
              <w:bottom w:val="single" w:color="auto" w:sz="12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0.209</w:t>
            </w:r>
          </w:p>
        </w:tc>
      </w:tr>
    </w:tbl>
    <w:p>
      <w:pPr>
        <w:numPr>
          <w:ilvl w:val="0"/>
          <w:numId w:val="0"/>
        </w:num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Notes: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</w:rPr>
        <w:t>Data are presented as hazard ratios (95% confidence intervals).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</w:p>
    <w:p>
      <w:pPr>
        <w:rPr>
          <w:rFonts w:hint="eastAsia"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Model A: unadjusted; Model B: adjusted for sex, age, education, income; Model C: additionally adjusted for BMI, smoke, alcohol intake, physical exercise based on Model B.</w:t>
      </w:r>
      <w:r>
        <w:rPr>
          <w:rFonts w:hint="eastAsia" w:ascii="Times New Roman" w:hAnsi="Times New Roman" w:cs="Times New Roman"/>
          <w:sz w:val="24"/>
        </w:rPr>
        <w:t xml:space="preserve"> </w:t>
      </w:r>
    </w:p>
    <w:p>
      <w:pPr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 xml:space="preserve">CV, coefficient of variation; CRP, C reactive protein; </w:t>
      </w:r>
      <w:r>
        <w:rPr>
          <w:rFonts w:ascii="Times New Roman" w:hAnsi="Times New Roman" w:cs="Times New Roman"/>
          <w:sz w:val="24"/>
        </w:rPr>
        <w:t xml:space="preserve">HR, hazard ratio; CI, confidence interval; </w:t>
      </w:r>
      <w:r>
        <w:rPr>
          <w:rFonts w:ascii="Times New Roman" w:hAnsi="Times New Roman" w:cs="Times New Roman"/>
          <w:i/>
          <w:iCs/>
          <w:sz w:val="24"/>
        </w:rPr>
        <w:t>P</w:t>
      </w:r>
      <w:r>
        <w:rPr>
          <w:rFonts w:hint="eastAsia" w:ascii="Times New Roman" w:hAnsi="Times New Roman" w:cs="Times New Roman"/>
          <w:i/>
          <w:iCs/>
          <w:sz w:val="24"/>
        </w:rPr>
        <w:t>-value</w:t>
      </w:r>
      <w:r>
        <w:rPr>
          <w:rFonts w:ascii="Times New Roman" w:hAnsi="Times New Roman" w:cs="Times New Roman"/>
          <w:sz w:val="24"/>
        </w:rPr>
        <w:t>, probability.</w:t>
      </w: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rPr>
          <w:rFonts w:hint="eastAsia" w:ascii="Times New Roman" w:hAnsi="Times New Roman" w:cs="Times New Roman"/>
          <w:sz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Figure. S1 Trajectories of CRP from 2006-2010</w:t>
      </w:r>
    </w:p>
    <w:p>
      <w:r>
        <w:drawing>
          <wp:inline distT="0" distB="0" distL="114300" distR="114300">
            <wp:extent cx="5267960" cy="3662680"/>
            <wp:effectExtent l="0" t="0" r="889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3662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rPr>
          <w:rFonts w:hint="eastAsia" w:ascii="Times New Roman" w:hAnsi="Times New Roman" w:cs="Times New Roman"/>
          <w:b/>
          <w:bCs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Figure. S2 Relationship between coefficient of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variation and independent of the mean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 and cancer risk</w:t>
      </w:r>
    </w:p>
    <w:p>
      <w:pPr>
        <w:rPr>
          <w:rFonts w:hint="eastAsia" w:ascii="Times New Roman" w:hAnsi="Times New Roman" w:cs="Times New Roman"/>
          <w:b/>
          <w:bCs/>
          <w:sz w:val="24"/>
          <w:lang w:val="en-US" w:eastAsia="zh-CN"/>
        </w:rPr>
      </w:pPr>
      <w:r>
        <w:drawing>
          <wp:inline distT="0" distB="0" distL="114300" distR="114300">
            <wp:extent cx="5272405" cy="1192530"/>
            <wp:effectExtent l="0" t="0" r="4445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192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/>
          <w:b/>
          <w:bCs/>
          <w:sz w:val="24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en-US" w:eastAsia="zh-CN"/>
        </w:rPr>
        <w:t>Notes: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 xml:space="preserve"> HR, hazard ratio;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CV, coefficient of variability; VIM, variation independent of the mean.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 </w:t>
      </w:r>
    </w:p>
    <w:p>
      <w:pPr>
        <w:numPr>
          <w:ilvl w:val="0"/>
          <w:numId w:val="1"/>
        </w:numPr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lang w:val="en-US" w:eastAsia="zh-CN"/>
        </w:rPr>
        <w:t>Model A: unadjusted;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(b) 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Model B: adjusted for sex, age, education, income; (c) Model C: additionally adjusted for BMI, smoke, alcohol intake, physical activity based on Model B. 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="Times New Roman" w:hAnsi="Times New Roman" w:cs="Times New Roman"/>
          <w:b/>
          <w:bCs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Figure. S3</w:t>
      </w:r>
      <w:r>
        <w:rPr>
          <w:rFonts w:hint="eastAsia" w:ascii="Times New Roman" w:hAnsi="Times New Roman" w:cs="Times New Roman"/>
          <w:sz w:val="24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>Cumulative incidence of cancer and death</w:t>
      </w:r>
    </w:p>
    <w:p>
      <w:pPr>
        <w:rPr>
          <w:rFonts w:hint="eastAsia" w:ascii="Times New Roman" w:hAnsi="Times New Roman" w:cs="Times New Roman"/>
          <w:b/>
          <w:bCs/>
          <w:sz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4"/>
          <w:lang w:val="en-US" w:eastAsia="zh-CN"/>
        </w:rPr>
        <w:drawing>
          <wp:inline distT="0" distB="0" distL="114300" distR="114300">
            <wp:extent cx="3194050" cy="3165475"/>
            <wp:effectExtent l="0" t="0" r="6350" b="6350"/>
            <wp:docPr id="13" name="图片 13" descr="16893241986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68932419865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94050" cy="316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  <w:sz w:val="24"/>
          <w:lang w:val="en-US" w:eastAsia="zh-CN"/>
        </w:rPr>
      </w:pPr>
    </w:p>
    <w:p>
      <w:pPr>
        <w:rPr>
          <w:rFonts w:hint="default" w:ascii="Times New Roman" w:hAnsi="Times New Roman" w:cs="Times New Roman"/>
          <w:b/>
          <w:bCs/>
          <w:sz w:val="24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4"/>
          <w:lang w:val="en-US" w:eastAsia="zh-CN"/>
        </w:rPr>
        <w:t xml:space="preserve">Notes: </w:t>
      </w:r>
      <w:r>
        <w:rPr>
          <w:rFonts w:hint="eastAsia" w:ascii="Times New Roman" w:hAnsi="Times New Roman" w:cs="Times New Roman"/>
          <w:b w:val="0"/>
          <w:bCs w:val="0"/>
          <w:sz w:val="24"/>
          <w:lang w:val="en-US" w:eastAsia="zh-CN"/>
        </w:rPr>
        <w:t>CIF, Cumulative Incidence Function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8EB04C"/>
    <w:multiLevelType w:val="singleLevel"/>
    <w:tmpl w:val="D48EB04C"/>
    <w:lvl w:ilvl="0" w:tentative="0">
      <w:start w:val="1"/>
      <w:numFmt w:val="lowerLetter"/>
      <w:suff w:val="space"/>
      <w:lvlText w:val="(%1)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M1ZjU3NjAzMjEwYzVhMmY1NDM3Y2U0ZjdlMTIxMjAifQ=="/>
  </w:docVars>
  <w:rsids>
    <w:rsidRoot w:val="00000000"/>
    <w:rsid w:val="565C5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autoRedefine/>
    <w:qFormat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2024-01-29T10:24:35Z</dcterms:created>
  <dc:creator>65185</dc:creator>
  <cp:lastModifiedBy>招财</cp:lastModifiedBy>
  <dcterms:modified xsi:type="dcterms:W3CDTF">2024-01-29T10:26:20Z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C65F466580174FE9AE106AE2B8894F3D_12</vt:lpwstr>
  </property>
</Properties>
</file>