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Supplementary Table S1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Baseline Characteristics and Semi-quantitative GS/PD US Scores in 168 Patients by Outcome Group (n=168) 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tbl>
      <w:tblPr>
        <w:tblStyle w:val="3"/>
        <w:tblW w:w="11036" w:type="dxa"/>
        <w:tblInd w:w="-13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35"/>
        <w:gridCol w:w="7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10"/>
                <w:szCs w:val="10"/>
                <w:u w:val="none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18"/>
                <w:szCs w:val="18"/>
                <w:lang w:val="en-US" w:eastAsia="zh-CN"/>
              </w:rPr>
              <w:t>SH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10"/>
                <w:szCs w:val="10"/>
                <w:u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 (n = 168)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(n = 83)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(n = 85)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0"/>
                <w:szCs w:val="1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18"/>
                <w:szCs w:val="18"/>
                <w:lang w:val="en-US" w:eastAsia="zh-CN"/>
              </w:rPr>
              <w:t>PD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 (n = 168)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(n = 83)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(n = 85)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10"/>
                <w:szCs w:val="1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18"/>
                <w:szCs w:val="18"/>
                <w:lang w:val="en-US" w:eastAsia="zh-CN"/>
              </w:rPr>
              <w:t>SH+PD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Total (n = 168)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(n = 83)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(n = 85)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MCP1,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0.313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MCP1,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MCP1,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93 (55.4)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50 (60.2)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 (50.6)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95 (56.5)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52 (62.7)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 (50.6)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94 (56.0)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51 (61.4)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 (50.6)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(11.3)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38 (22.6)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(28.9)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(16.5)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(4.7)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(18.5)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(22.4)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 (16.7)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(25.9)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 (19.0)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(23.5)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(14.9)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( 4.2)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 (16.7)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(21.2)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MCP2,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0.446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MCP2,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0.294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MCP2,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 (33.9)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(37.3)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 (30.6)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69 (41.1)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 (47)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 (35.3)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 (33.9)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(37.3)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 (30.6)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(13.7)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(16.5)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 (32.7)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 (32.5)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 (32.9)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(13.7)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(16.5)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46 (27.4)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(24.1)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 (30.6)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(19.6)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 (25.0)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(22.9)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(27.1)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 (25.0)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(27.7)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(22.4)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( 6.5)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46 (27.4)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(28.9)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(25.9)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MCP3,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0.534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MCP3,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MCP3,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59 (35.1)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(39.8)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 (30.6)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67 (39.9)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37 (44.6)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 (35.3)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59 (35.1)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(39.8)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 (30.6)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 (20.8)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(19.3)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(22.4)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 (34.5)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 (41)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(28.2)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(18.5)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(19.3)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 (19.0)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(22.4)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 (19.0)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(28.2)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 (20.2)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(24.7)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 (25.0)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( 6.5)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 (26.2)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(27.1)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MCP4,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0.782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MCP4,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MCP4,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103 (61.3)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 (65.1)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49 (57.6)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106 (63.1)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 (66.3)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51 (60)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103 (61.3)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 (65.1)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49 (57.6)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(11.3)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 (20.8)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(30.1)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(10.7)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 (16.1)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(11.9)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(20)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(14.9)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(16.5)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(11.3)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( 4.2)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(13.1)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MCP5,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MCP5,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MCP5,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0.358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90 (53.6)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48 (57.8)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 (49.4)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96 (57.1)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52 (62.7)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 (51.8)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91 (54.2)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49 (59)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 (49.4)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 (16.1)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 (23.2)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(26.5)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(20)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(13.7)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 (17.9)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 (17.3)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(23.5)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 (17.9)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(12.5)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( 2.4)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(14.3)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(18.8)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PIP1,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PIP1,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0.427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PIP1,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righ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0.276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122 (72.6)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(75.9)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59 (69.4)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126 (75.0)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(75.9)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(74.1)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123 (73.2)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(75.9)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 (70.6)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(10.7)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(11.9)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( 8.9)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(13.1)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(10.7)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(12.5)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( 3.6)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( 2.4)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( 5.4)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PIP2,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0.743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PIP2,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0.808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PIP2,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88 (52.4)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 (53)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 (51.8)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95 (56.5)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49 (59)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46 (54.1)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88 (52.4)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 (53)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 (51.8)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 (17.9)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(20.5)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 (25.0)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(14.3)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 (21.4)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(19.3)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(23.5)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 (16.7)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(18.8)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41 (24.4)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(21.7)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(27.1)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3( 1.8)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( 8.9)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PIP3,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0.247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PIP3,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PIP3,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86 (51.2)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 (51.8)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 (50.6)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91 (54.2)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46 (55.4)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45 (52.9)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86 (51.2)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 (51.8)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 (50.6)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 (16.7)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(21.7)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49 (29.2)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(37.3)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(21.2)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(14.3)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(20.5)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 (20.8)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(16.9)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(12.5)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(18.8)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(19.6)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(21.2)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(11.3)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( 4.2)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(14.9)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(20)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PIP4,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PIP4,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0.315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PIP4,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118 (70.2)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 (68.7)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61 (71.8)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122 (72.6)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60 (72.3)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62 (72.9)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115 (68.5)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 (65.1)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61 (71.8)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(11.9)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 (20.8)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(24.1)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(10.7)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(11.3)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( 6.0)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(11.9)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( 6.5)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( 0.6)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( 8.9)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PIP5,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0.402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PIP5,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0.213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PIP5,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133 (79.2)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70 (84.3)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(74.1)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136 (81.0)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 (86.7)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64 (75.3)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133 (79.2)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70 (84.3)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(74.1)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( 5.4)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(14.3)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( 4.2)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(4.7)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(10.7)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7( 4.2)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(11.3)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1( 0.6)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9( 5.4)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APL/EPB,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0.326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APL/EPB,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0.212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APL/EPB,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141 (83.9)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73 (88)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68 (80)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141 (83.9)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73 (88)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68 (80)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141 (83.9)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73 (88)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68 (80)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(10.7)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( 7.1)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(10.7)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1( 0.6)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1( 0.6)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1( 0.6)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ECRL/ECR,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ECRL/ECR,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ECRL/ECR,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135 (80.4)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 (92.8)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 (68.2)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135 (80.4)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 (92.8)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 (68.2)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135 (80.4)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 (92.8)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 (68.2)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(10.1)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( 6.5)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5( 3.0)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5( 3.0)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5( 3.0)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(5.9)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EPL,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EPL,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0.082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EPL,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140 (83.3)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 (86.7)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68 (80)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140 (83.3)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 (86.7)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68 (80)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140 (83.3)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 (86.7)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68 (80)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( 8.9)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( 9.5)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( 6.5)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( 9.5)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( 2.4)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( 1.2)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( 2.4)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EDC/EIP,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EDC/EIP,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0.182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EDC/EIP,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123 (73.2)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 (78.3)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 (68.2)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123 (73.2)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 (78.3)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 (68.2)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123 (73.2)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 (78.3)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58 (68.2)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(11.9)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 (15.5)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(11.9)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(15.3)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(10.1)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( 7.7)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(10.1)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( 3.6)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(4.7)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EDM,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EDM,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EDM,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147 (87.5)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 (92.8)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70 (82.4)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147 (87.5)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 (92.8)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70 (82.4)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147 (87.5)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 (92.8)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70 (82.4)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( 5.4)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( 6.0)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( 5.4)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( 5.4)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( 2.4)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2( 1.2)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4( 2.4)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ECU,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0.408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ECU,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0.332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ECU,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116 (69.0)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62 (74.7)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 (63.5)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116 (69.0)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62 (74.7)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 (63.5)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116 (69.0)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62 (74.7)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 (63.5)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( 8.9)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 (19.0)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(22.4)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( 8.9)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 (17.9)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(20)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(10.1)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(18.5)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(21.2)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7( 4.2)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3( 1.8)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6( 3.6)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2,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0.886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2,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0.486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2,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127 (75.6)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64 (77.1)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(74.1)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130 (77.4)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 (78.3)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 (76.5)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127 (75.6)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64 (77.1)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(74.1)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(11.3)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(13.7)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(10.7)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(10.1)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(10.7)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( 3.0)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( 0.6)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( 3.0)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3,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0.541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3,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0.187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3,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129 (76.8)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66 (79.5)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(74.1)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134 (79.8)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67 (80.7)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67 (78.8)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129 (76.8)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66 (79.5)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(74.1)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(13.1)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(11.9)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(12.5)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( 7.7)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( 2.4)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0（0）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0（0）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0（0）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( 2.4)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4,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0.115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4,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0.152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4,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148 (88.1)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 (92.8)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 (83.5)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148 (88.1)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 (92.8)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 (83.5)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148 (88.1)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 (92.8)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 (83.5)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( 6.5)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( 7.1)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( 6.0)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(5.9)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( 4.2)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( 3.6)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( 1.2)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( 1.2)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( 1.2)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 (0)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5,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0.95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5,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0.743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DF 5,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142 (84.5)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 (85.5)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 (83.5)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143 (85.1)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 (85.5)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 (84.7)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142 (84.5)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 (85.5)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71 (83.5)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( 7.1)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( 9.5)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( 7.1)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( 6.0)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( 4.2)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( 5.4)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(5.9)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( 2.4)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( 1.2)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 (1.2)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( 3.0)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 (2.4)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RC joint,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0.293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RC joint,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0.707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RC joint,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0.449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 (25.6)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(25.9)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50 (29.8)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 (31.3)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(28.2)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 (25.6)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(25.9)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(11.3)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63 (37.5)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(39.8)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 (35.3)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( 9.5)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84 (50.0)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46 (55.4)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38 (44.7)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41 (24.4)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(20.5)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(28.2)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78 (46.4)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43 (51.8)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 (41.2)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(13.1)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(18.5)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(22.4)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 joint,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0.996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 joint,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0.598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MC joint,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50 (29.8)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(30.1)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(29.4)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 (33.9)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(37.3)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 (30.6)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49 (29.2)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(30.1)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(28.2)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(13.7)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61 (36.3)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 (34.9)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32 (37.6)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(10.1)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(11.8)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72 (42.9)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 (43.4)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 (42.4)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42 (25.0)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(21.7)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(28.2)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77 (45.8)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38 (45.8)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 (45.9)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(13.7)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( 4.8)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(14.9)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UC joint,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UC joint,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UC joint,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66 (39.3)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 (47)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 (31.8)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81 (48.2)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 (56.6)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 (40)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66 (39.3)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 (47)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 (31.8)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( 8.9)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 (23.2)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 (32.5)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( 7.1)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 (9.6)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(4.7)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(19.6)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(23.5)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 (17.3)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(27.1)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 (20.8)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(27.1)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 (32.1)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(27.7)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(36.5)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(11.3)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 (3.6)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(18.8)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 (32.7)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(28.9)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(36.5)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SUP,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0.065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SUP,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0.301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SUP, n (%)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 (32.7)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(39.8)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(25.9)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65 (38.7)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 (43.4)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 (34.1)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 (32.7)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(39.8)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(25.9)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44 (26.2)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(22.9)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(29.4)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 (33.9)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(27.7)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 (40)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38 (22.6)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(27.1)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46 (27.4)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(20.5)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 (34.1)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 (20.2)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(22.9)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48 (28.6)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(24.1)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 (32.9)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(13.7)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(16.9)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( 7.1)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 (16.1)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MED,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0.004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MED,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0.019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MED,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80 (47.6)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 (56.6)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(38.8)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85 (50.6)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52 (62.7)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(38.8)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80 (47.6)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 (56.6)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(38.8)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(18.5)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 (22.9)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 (23.2)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(19.3)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23 (27.1)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 (15.5)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(12.9)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35 (20.8)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11 (13.3)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24 (28.2)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30 (17.9)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10 (12)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(23.5)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(19.6)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 (14.5)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 (24.7)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(13.1)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6 (7.2)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(18.8)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( 8.3)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 (17.3)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20 (23.5)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LAT,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0.008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LAT,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 0.001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LAT, n (%)*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0.003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80 (47.6)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 (56.6)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(38.8)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88 (52.4)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54 (65.1)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34 (40)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80 (47.6)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47 (56.6)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33 (38.8)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31 (18.5)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(21.7)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27 (16.1)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(21.7)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(14.9)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16 (19.3)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9 (10.6)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39 (23.2)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(16.9)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25 (29.4)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36 (21.4)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7 (8.4)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29 (34.1)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41 (24.4)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15 (18.1)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 (30.6)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18 (10.7)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 (16.5)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(10.1)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4 (4.8)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13 (15.3)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22 (13.1)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 (6)</w:t>
            </w: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17 (20)</w:t>
            </w:r>
          </w:p>
        </w:tc>
        <w:tc>
          <w:tcPr>
            <w:tcW w:w="74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*Denotes statistical significance at P&lt;0.05 level.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RC:radiocarpal joint, MC:midcarpal joint, UC:ulnocarpal joint; LAT: lateral compartment, medial, MED: medial compartment, SUP: superior compartment; APL: abductor pollicis longus; EPB: extensor pollicis brevis; ECRL: extensor carpi radialis longus; ECRB: extensor carpi radialis brevis; EPL: extensor pollicis longus; EDC: extensor digitorum communis; EIP: extensor indicis propius; EDM: extensor digit minimi; ECU: extensor carpi ulnaris;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1"/>
          <w:szCs w:val="21"/>
          <w:lang w:val="en-US" w:eastAsia="zh-CN" w:bidi="ar"/>
        </w:rPr>
        <w:t>DF, digit flexors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; GS, Grayscale; SH, synovial hypertrophy; PD, power Doppler.</w:t>
      </w:r>
    </w:p>
    <w:p>
      <w:pPr>
        <w:widowControl/>
        <w:spacing w:line="360" w:lineRule="auto"/>
        <w:jc w:val="center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br w:type="page"/>
      </w:r>
    </w:p>
    <w:p>
      <w:pPr>
        <w:keepNext w:val="0"/>
        <w:keepLines w:val="0"/>
        <w:widowControl/>
        <w:suppressLineNumbers w:val="0"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4"/>
          <w:szCs w:val="24"/>
          <w:lang w:val="en-US" w:eastAsia="zh-CN"/>
        </w:rPr>
      </w:pPr>
      <w:r>
        <w:rPr>
          <w:rFonts w:hint="default" w:ascii="Times New Roman" w:hAnsi="Times New Roman" w:eastAsia="AdvP47DFC8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Supplementary </w:t>
      </w:r>
      <w:r>
        <w:rPr>
          <w:rFonts w:hint="default" w:ascii="Times New Roman" w:hAnsi="Times New Roman" w:eastAsia="宋体" w:cs="Times New Roman"/>
          <w:b/>
          <w:bCs/>
          <w:color w:val="auto"/>
          <w:spacing w:val="15"/>
          <w:sz w:val="24"/>
          <w:szCs w:val="24"/>
          <w:lang w:val="en-US" w:eastAsia="zh-CN"/>
        </w:rPr>
        <w:t>Table S2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4"/>
          <w:szCs w:val="24"/>
          <w:lang w:val="en-US" w:eastAsia="zh-CN"/>
        </w:rPr>
        <w:t xml:space="preserve"> Ultrasound Variable Changes in D2T RA and </w:t>
      </w:r>
      <w:r>
        <w:rPr>
          <w:rFonts w:hint="eastAsia" w:ascii="Times New Roman" w:hAnsi="Times New Roman" w:eastAsia="宋体" w:cs="Times New Roman"/>
          <w:b w:val="0"/>
          <w:bCs w:val="0"/>
          <w:color w:val="auto"/>
          <w:spacing w:val="15"/>
          <w:sz w:val="24"/>
          <w:szCs w:val="24"/>
          <w:lang w:val="en-US" w:eastAsia="zh-CN"/>
        </w:rPr>
        <w:t>n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4"/>
          <w:szCs w:val="24"/>
          <w:lang w:val="en-US" w:eastAsia="zh-CN"/>
        </w:rPr>
        <w:t xml:space="preserve">on-D2T RA Patients with SH/PD ≥1 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†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4"/>
          <w:szCs w:val="24"/>
          <w:lang w:val="en-US" w:eastAsia="zh-CN"/>
        </w:rPr>
        <w:t>and SH/PD＞1</w:t>
      </w:r>
      <w:r>
        <w:rPr>
          <w:rFonts w:hint="default" w:ascii="Times New Roman" w:hAnsi="Times New Roman" w:eastAsia="AdvOT82c4f4c4 + 20" w:cs="Times New Roman"/>
          <w:b w:val="0"/>
          <w:bCs w:val="0"/>
          <w:color w:val="auto"/>
          <w:kern w:val="0"/>
          <w:sz w:val="24"/>
          <w:szCs w:val="24"/>
          <w:lang w:val="en-US" w:eastAsia="zh-CN" w:bidi="ar"/>
        </w:rPr>
        <w:t>‡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tbl>
      <w:tblPr>
        <w:tblStyle w:val="3"/>
        <w:tblW w:w="75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0"/>
        <w:gridCol w:w="1730"/>
        <w:gridCol w:w="1730"/>
        <w:gridCol w:w="12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73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Non-D2T RA 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(n =83)</w:t>
            </w:r>
          </w:p>
        </w:tc>
        <w:tc>
          <w:tcPr>
            <w:tcW w:w="173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D2T RA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(n = 85)</w:t>
            </w:r>
          </w:p>
        </w:tc>
        <w:tc>
          <w:tcPr>
            <w:tcW w:w="1270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Small joint US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variables(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SH ≥1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800" w:firstLineChars="400"/>
              <w:jc w:val="both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33 (39.8)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 (49.4)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MCP2 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 (62.7)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 (69.4)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MCP3,n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 (60.2)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 (69.4)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MCP4,n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 (34.9)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 (42.4)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MCP5,n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 (42.2)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 (50.6)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 (24.1)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 (30.6)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PIP2,n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 (47)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 (48.2)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PIP3,n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 (48.2)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 (49.4)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PIP4,n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26 (31.3)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 (28.2)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PIP5,n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 (15.7)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 (25.9)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Small joint US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variables(PD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≥1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 (37.3)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 (49.4)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MCP2≥1,n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 (53)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 (64.7)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MCP3≥1,n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46 (55.4)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55 (64.7)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MCP4≥1,n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 (33.7)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 (40)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MCP5≥1,n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 (37.3)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 (48.2)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PIP1≥1,n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 (24.1)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 (25.9)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PIP2≥1,n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 (41)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 (45.9)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PIP3≥1,n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37 (44.6)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 (47.1)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PIP4≥1,n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 (27.7)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 (27.1)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PIP5≥1,n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 (13.3)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 (24.7)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Medium amd large US variables(SH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≥1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300"/>
              <w:jc w:val="both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RC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joint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62 (74.7)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63 (74.1)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MC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joint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 (69.9)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60 (70.6)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UC join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44 (53)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58 (68.2)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SUP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50 (60.2)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63 (74.1)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MED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 (43.4)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 (61.2)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LAT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 (43.4)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 (61.2)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left="462" w:hanging="460" w:hangingChars="200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Medium a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d large US variables(PD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≥1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300"/>
              <w:jc w:val="both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RC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joint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57 (68.7)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61 (71.8)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MC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joint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 (62.7)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59 (69.4)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UC join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 (43.4)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 (60)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SUP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 (56.6)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56 (65.9)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MED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 (37.3)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52 (61.2)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LAT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 (34.9)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 (60)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Tendon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US variables(GS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≥1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APL/EPB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 (12)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 (20)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ECRL/ECRB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 (31.8)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EPL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 (13.3)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 (20)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EDC/EIP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 (21.7)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 (31.8)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EDM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 (17.6)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ECU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 (25.3)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 (36.5)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DF 2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19 (22.9)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 (25.9)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 (20.5)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 (25.9)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 (16.5)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 (14.5)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 (16.5)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Tendon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US variables(PD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≥1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†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APL/EPB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 (12)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 (20)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ECRL/ECRB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 (31.8)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EPL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 (13.3)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 (20)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EDC/EIP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 (21.7)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 (31.8)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EDM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 (17.6)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ECU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 (25.3)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 (36.5)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DF 2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 (21.7)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 (23.5)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 (19.3)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 (21.2)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4,n (%)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(7.2)</w:t>
            </w:r>
          </w:p>
        </w:tc>
        <w:tc>
          <w:tcPr>
            <w:tcW w:w="1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 (16.5)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8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left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5,n (%)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 (14.5)</w:t>
            </w:r>
          </w:p>
        </w:tc>
        <w:tc>
          <w:tcPr>
            <w:tcW w:w="173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 (15.3)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0.879</w:t>
            </w:r>
          </w:p>
        </w:tc>
      </w:tr>
    </w:tbl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sz w:val="28"/>
          <w:szCs w:val="28"/>
          <w:u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p>
      <w:pPr>
        <w:keepNext w:val="0"/>
        <w:keepLines w:val="0"/>
        <w:widowControl/>
        <w:suppressLineNumbers w:val="0"/>
        <w:spacing w:line="360" w:lineRule="auto"/>
        <w:jc w:val="both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  <w:t>TABLE 2 Continued</w:t>
      </w:r>
    </w:p>
    <w:tbl>
      <w:tblPr>
        <w:tblStyle w:val="3"/>
        <w:tblW w:w="729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4"/>
        <w:gridCol w:w="1665"/>
        <w:gridCol w:w="1665"/>
        <w:gridCol w:w="1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</w:p>
        </w:tc>
        <w:tc>
          <w:tcPr>
            <w:tcW w:w="166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Non-D2T RA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(n = 83)</w:t>
            </w:r>
          </w:p>
        </w:tc>
        <w:tc>
          <w:tcPr>
            <w:tcW w:w="166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D2T RA </w:t>
            </w:r>
          </w:p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(n =85)</w:t>
            </w:r>
          </w:p>
        </w:tc>
        <w:tc>
          <w:tcPr>
            <w:tcW w:w="122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/>
                <w:iCs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Small joint US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variables(SH＞1)</w:t>
            </w:r>
            <w:r>
              <w:rPr>
                <w:rFonts w:hint="default" w:ascii="Times New Roman" w:hAnsi="Times New Roman" w:eastAsia="AdvOT82c4f4c4 + 20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 w:bidi="ar"/>
              </w:rPr>
              <w:t>‡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800" w:firstLineChars="400"/>
              <w:jc w:val="both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MCP1,n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 (26.5)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 (40)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MCP2 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43 (51.8)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45 (52.9)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MCP3,n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34 (41)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41 (48.2)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MCP4,n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20 (24.1)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26 (30.6)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0.345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MCP5,n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23 (27.7)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28 (32.9)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0.461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PIP1,n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9 (10.8)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19 (22.4)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0.045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PIP2,n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22 (26.5)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28 (32.9)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0.362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PIP3,n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22 (26.5)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32 (37.6)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PIP4,n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18 (21.7)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12 (14.1)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PIP5,n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9 (10.8)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17 (20)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0.101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Small joint US variables(PD＞1)</w:t>
            </w:r>
            <w:r>
              <w:rPr>
                <w:rFonts w:hint="default" w:ascii="Times New Roman" w:hAnsi="Times New Roman" w:eastAsia="AdvOT82c4f4c4 + 20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 w:bidi="ar"/>
              </w:rPr>
              <w:t>‡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800" w:firstLineChars="400"/>
              <w:jc w:val="both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MCP1,n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 (8.4)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28 (32.9)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MCP2 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 (20.5)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 (31.8)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MCP3,n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 (14.5)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 (36.5)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MCP4,n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 (3.6)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 (28.2)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MCP5,n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 (10.8)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 (28.2)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PIP1,n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 (9.6)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 (16.5)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PIP2,n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 (15.7)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 (21.2)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PIP3,n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(7.2)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 (25.9)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PIP4,n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 (3.6)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 (9.4)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PIP5,n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 (2.4)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(7.1)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Medium amd large US variables(SH＞1)</w:t>
            </w:r>
            <w:r>
              <w:rPr>
                <w:rFonts w:hint="default" w:ascii="Times New Roman" w:hAnsi="Times New Roman" w:eastAsia="AdvOT82c4f4c4 + 20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 w:bidi="ar"/>
              </w:rPr>
              <w:t>‡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300"/>
              <w:jc w:val="both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RC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joint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 (63.9)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53 (62.4)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MC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joint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47 (56.6)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48 (56.5)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UC join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36 (43.4)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51 (60)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SUP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 (37.3)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38 (44.7)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MED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17 (20.5)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40 (47.1)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LAT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18 (21.7)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 (45.9)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left="462" w:hanging="460" w:hangingChars="200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Medium amd large US variables(PD＞1)</w:t>
            </w:r>
            <w:r>
              <w:rPr>
                <w:rFonts w:hint="default" w:ascii="Times New Roman" w:hAnsi="Times New Roman" w:eastAsia="AdvOT82c4f4c4 + 20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 w:bidi="ar"/>
              </w:rPr>
              <w:t>‡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300"/>
              <w:jc w:val="both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RC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/>
              </w:rPr>
              <w:t>joint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 (28.9)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31 (36.5)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MC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joint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23 (27.7)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27 (31.8)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UC join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 (10.8)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39 (45.9)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SUP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24 (28.9)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 (25.9)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MED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 (18.1)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29 (34.1)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LAT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 (13.3)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42 (49.4)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Tendon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US variables(SH＞1)</w:t>
            </w:r>
            <w:r>
              <w:rPr>
                <w:rFonts w:hint="default" w:ascii="Times New Roman" w:hAnsi="Times New Roman" w:eastAsia="AdvOT82c4f4c4 + 20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 w:bidi="ar"/>
              </w:rPr>
              <w:t>‡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APL/EPB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 (9.6)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 (12.9)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ECRL/ECRB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 (3.6)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 (18.8)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EPL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 (10.8)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 (12.9)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EDC/EIP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 (13.3)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 (16.5)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EDM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 (4.8)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 (9.4)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ECU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16 (19.3)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21 (24.7)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DF 2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 (10.8)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13 (15.3)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(7.2)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11 (12.9)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 (1.2)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 (9.4)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(7.2)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 (9.4)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Tendon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pacing w:val="15"/>
                <w:sz w:val="20"/>
                <w:szCs w:val="20"/>
                <w:lang w:val="en-US" w:eastAsia="zh-CN"/>
              </w:rPr>
              <w:t>US variables(PD＞1)</w:t>
            </w:r>
            <w:r>
              <w:rPr>
                <w:rFonts w:hint="default" w:ascii="Times New Roman" w:hAnsi="Times New Roman" w:eastAsia="AdvOT82c4f4c4 + 20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 w:bidi="ar"/>
              </w:rPr>
              <w:t>‡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APL/EPB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 (3.6)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 (11.8)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ECRL/ECRB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 (1.2)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15 (17.6)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 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EPL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 (4.8)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9 (10.6)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EDC/EIP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 (6)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14 (16.5)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EDM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 (4.8)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 (8.2)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ECU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8 (9.6)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12 (14.1)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>DF 2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 (6)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 (11.8)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3,n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 (4.8)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10 (11.8)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4,n (%)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 (1.2)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7 (8.2)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2744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</w:rPr>
              <w:t xml:space="preserve">DF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0"/>
                <w:szCs w:val="20"/>
                <w:u w:val="none"/>
                <w:lang w:val="en-US" w:eastAsia="zh-CN"/>
              </w:rPr>
              <w:t>5,n (%)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 (3.6)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6 (7.1)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0.496</w:t>
            </w:r>
          </w:p>
        </w:tc>
      </w:tr>
    </w:tbl>
    <w:p>
      <w:pPr>
        <w:keepNext w:val="0"/>
        <w:keepLines w:val="0"/>
        <w:widowControl/>
        <w:suppressLineNumbers w:val="0"/>
        <w:spacing w:line="360" w:lineRule="auto"/>
        <w:jc w:val="both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  <w:br w:type="page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†SH/PD≥1 indicates the presence of synovial hypertrophy or synovitis.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AdvOT82c4f4c4 + 20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>‡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SH/PD＞1 indicates moderate to severe synovial hypertrophy/ synovitis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*Denotes statistical significance at P&lt;0.05 level.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RC:radiocarpal joint, MC:midcarpal joint, UC:ulnocarpal joint; LAT: lateral compartment, medial, MED: medial compartment, SUP: superior compartment; APL: abductor pollicis longus; EPB: extensor pollicis brevis; ECRL: extensor carpi radialis longus; ECRB: extensor carpi radialis brevis; EPL: extensor pollicis longus; EDC: extensor digitorum communis; EIP: extensor indicis propius; EDM: extensor digit minimi; ECU: extensor carpi ulnaris;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1"/>
          <w:szCs w:val="21"/>
          <w:lang w:val="en-US" w:eastAsia="zh-CN" w:bidi="ar"/>
        </w:rPr>
        <w:t>DF, digit flexors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; GS, Grayscale; SH, synovial hypertrophy; PD, power Doppler.</w:t>
      </w:r>
    </w:p>
    <w:p>
      <w:pPr>
        <w:spacing w:line="360" w:lineRule="auto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0"/>
          <w:szCs w:val="20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jc w:val="left"/>
        <w:textAlignment w:val="center"/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4"/>
          <w:szCs w:val="24"/>
          <w:lang w:val="en-US" w:eastAsia="zh-CN"/>
        </w:rPr>
      </w:pPr>
      <w:r>
        <w:rPr>
          <w:rFonts w:hint="default" w:ascii="Times New Roman" w:hAnsi="Times New Roman" w:eastAsia="AdvP47DFC8" w:cs="Times New Roman"/>
          <w:b/>
          <w:bCs/>
          <w:color w:val="auto"/>
          <w:kern w:val="0"/>
          <w:sz w:val="24"/>
          <w:szCs w:val="24"/>
          <w:lang w:val="en-US" w:eastAsia="zh-CN" w:bidi="ar"/>
        </w:rPr>
        <w:t xml:space="preserve">Supplementary </w:t>
      </w:r>
      <w:r>
        <w:rPr>
          <w:rFonts w:hint="default" w:ascii="Times New Roman" w:hAnsi="Times New Roman" w:eastAsia="宋体" w:cs="Times New Roman"/>
          <w:b/>
          <w:bCs/>
          <w:color w:val="auto"/>
          <w:spacing w:val="15"/>
          <w:sz w:val="24"/>
          <w:szCs w:val="24"/>
          <w:lang w:val="en-US" w:eastAsia="zh-CN"/>
        </w:rPr>
        <w:t>Table S3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4"/>
          <w:szCs w:val="24"/>
          <w:lang w:val="en-US" w:eastAsia="zh-CN"/>
        </w:rPr>
        <w:t xml:space="preserve"> Univariate analyses of US variables in the prediction of D2T RA with SH/PD≥1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4"/>
          <w:szCs w:val="24"/>
          <w:u w:val="none"/>
          <w:lang w:val="en-US" w:eastAsia="zh-CN" w:bidi="ar"/>
        </w:rPr>
        <w:t>†</w:t>
      </w:r>
      <w:r>
        <w:rPr>
          <w:rFonts w:hint="default" w:ascii="Times New Roman" w:hAnsi="Times New Roman" w:eastAsia="宋体" w:cs="Times New Roman"/>
          <w:b w:val="0"/>
          <w:bCs w:val="0"/>
          <w:color w:val="auto"/>
          <w:spacing w:val="15"/>
          <w:sz w:val="24"/>
          <w:szCs w:val="24"/>
          <w:lang w:val="en-US" w:eastAsia="zh-CN"/>
        </w:rPr>
        <w:t>and SH/PD＞1</w:t>
      </w:r>
      <w:r>
        <w:rPr>
          <w:rFonts w:hint="default" w:ascii="Times New Roman" w:hAnsi="Times New Roman" w:eastAsia="AdvOT82c4f4c4 + 20" w:cs="Times New Roman"/>
          <w:b w:val="0"/>
          <w:bCs w:val="0"/>
          <w:color w:val="auto"/>
          <w:kern w:val="0"/>
          <w:sz w:val="24"/>
          <w:szCs w:val="24"/>
          <w:lang w:val="en-US" w:eastAsia="zh-CN" w:bidi="ar"/>
        </w:rPr>
        <w:t>‡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sz w:val="28"/>
          <w:szCs w:val="28"/>
          <w:u w:val="none"/>
          <w:lang w:val="en-US" w:eastAsia="zh-CN"/>
        </w:rPr>
      </w:pPr>
    </w:p>
    <w:tbl>
      <w:tblPr>
        <w:tblStyle w:val="3"/>
        <w:tblpPr w:leftFromText="180" w:rightFromText="180" w:vertAnchor="text" w:horzAnchor="page" w:tblpXSpec="center" w:tblpY="209"/>
        <w:tblOverlap w:val="never"/>
        <w:tblW w:w="77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6"/>
        <w:gridCol w:w="1692"/>
        <w:gridCol w:w="1625"/>
        <w:gridCol w:w="15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Variables SH≥1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†</w:t>
            </w:r>
          </w:p>
        </w:tc>
        <w:tc>
          <w:tcPr>
            <w:tcW w:w="4833" w:type="dxa"/>
            <w:gridSpan w:val="3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US variables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9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162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OR score</w:t>
            </w:r>
          </w:p>
        </w:tc>
        <w:tc>
          <w:tcPr>
            <w:tcW w:w="151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等线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95%CI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MCP1 </w:t>
            </w:r>
          </w:p>
        </w:tc>
        <w:tc>
          <w:tcPr>
            <w:tcW w:w="169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0.209</w:t>
            </w:r>
          </w:p>
        </w:tc>
        <w:tc>
          <w:tcPr>
            <w:tcW w:w="162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1.48 </w:t>
            </w:r>
          </w:p>
        </w:tc>
        <w:tc>
          <w:tcPr>
            <w:tcW w:w="151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0.8~2.73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MCP2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0.355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1.35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0.71~2.57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MCP3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0.214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0.79~2.83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MCP4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0.325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1.37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0.73~2.55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MCP5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0.275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0.76~2.58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PIP1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0.346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1.39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0.7~2.75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PIP2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0.871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0.57~1.93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PIP3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0.874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0.57~1.92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PIP4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0.662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0.86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0.44~1.67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PIP5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0.106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1.88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0.87~4.04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RC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0.931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0.48~1.94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0.53~2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UC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1.9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1.02~3.57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SUP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0.057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1.89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0.98~3.64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MED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1.11~3.81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LAT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2.06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1.11~3.81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APL/EPB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1.82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0.78~4.26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ECRL/ECRB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2.32~15.42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EPL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0.244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0.72~3.74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EDC/EIP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0.142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0.84~3.36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EDM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1.01~7.48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ECU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0.119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1.69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0.87~3.29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DF 2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0.652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0.58~2.38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DF 3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0.408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1.36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0.66~2.79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DF 4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0.071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2.53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0.92~6.94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DF 5 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0.719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1.17 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0.5~2.7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Variables PD≥1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†</w:t>
            </w:r>
          </w:p>
        </w:tc>
        <w:tc>
          <w:tcPr>
            <w:tcW w:w="4833" w:type="dxa"/>
            <w:gridSpan w:val="3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US variables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9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162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OR score</w:t>
            </w:r>
          </w:p>
        </w:tc>
        <w:tc>
          <w:tcPr>
            <w:tcW w:w="151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等线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95%CI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MCP1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0.116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0.89~3.03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MCP2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0.124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0.87~3.02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MCP3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1.47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0.79~2.74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MCP4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1.31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0.7~2.46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MCP5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0.155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1.56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0.84~2.89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PIP1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0.789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0.55~2.21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PIP2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1.22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0.66~2.25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PIP3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0.747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1.11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0.6~2.03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PIP4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0.925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0.49~1.91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PIP5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2.15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0.96~4.8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RC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0.662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0.6~2.25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0.355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1.35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0.71~2.57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UC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1.96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1.06~3.62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SUP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0.219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1.48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0.79~2.76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MED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2.64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1.42~4.93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LAT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2.79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1.49~5.22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APL/EPB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1.82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0.78~4.26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ECRL/ECRB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5.97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2.32~15.42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EPL PD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0.244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0.72~3.74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EDC/EIP PD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0.142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0.84~3.36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EDM PD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2.75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1.01~7.48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ECU PD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0.119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1.69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0.87~3.29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DF 2PD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0.775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0.54~2.29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DF 3 PD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0.759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0.53~2.39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DF 4 PD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0.071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2.53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0.92~6.94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DF 5 PD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0.879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1.07 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0.46~2.5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ind w:firstLine="600" w:firstLineChars="30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Variables SH＞1</w:t>
            </w:r>
            <w:r>
              <w:rPr>
                <w:rFonts w:hint="default" w:ascii="Times New Roman" w:hAnsi="Times New Roman" w:eastAsia="AdvOT82c4f4c4 + 20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 w:bidi="ar"/>
              </w:rPr>
              <w:t>‡</w:t>
            </w:r>
          </w:p>
        </w:tc>
        <w:tc>
          <w:tcPr>
            <w:tcW w:w="4833" w:type="dxa"/>
            <w:gridSpan w:val="3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USl variables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  <w:jc w:val="center"/>
        </w:trPr>
        <w:tc>
          <w:tcPr>
            <w:tcW w:w="2896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9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162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OR score</w:t>
            </w:r>
          </w:p>
        </w:tc>
        <w:tc>
          <w:tcPr>
            <w:tcW w:w="151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等线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95%CI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MCP1 </w:t>
            </w:r>
          </w:p>
        </w:tc>
        <w:tc>
          <w:tcPr>
            <w:tcW w:w="1692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0.065</w:t>
            </w:r>
          </w:p>
        </w:tc>
        <w:tc>
          <w:tcPr>
            <w:tcW w:w="1625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1516" w:type="dxa"/>
            <w:tcBorders>
              <w:top w:val="single" w:color="000000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0.28~1.04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MCP2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0.883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0.52~1.75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MCP3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0.344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0.4~1.37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MCP4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0.346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0.36~1.43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MCP5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0.461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0.4~1.51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PIP1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0.18~1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PIP2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0.362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0.38~1.43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PIP3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0.124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0.31~1.15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PIP4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0.203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1.68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0.75~3.76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PIP5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0.106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0.2~1.16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RC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0.57~2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0.984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1.01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0.55~1.85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UC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0.28~0.94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SUP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0.333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0.74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0.4~1.37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MED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0.15~0.57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LAT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0.17~0.64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APL/EPB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0.27~1.88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ECRL/ECRB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0.05~0.58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EPL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0.675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0.32~2.09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EDC/EIP SH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0.559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0.33~1.82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EDM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0.256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0.14~1.69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ECU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0.397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0.35~1.52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DF 2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0.395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0.67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0.27~1.67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DF 3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0.226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0.18~1.49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DF 4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0.01~0.96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DF 5 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0.61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0.75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0.25~2.26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vMerge w:val="restart"/>
            <w:tcBorders>
              <w:top w:val="single" w:color="000000" w:sz="12" w:space="0"/>
              <w:left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Variables PD＞1</w:t>
            </w:r>
            <w:r>
              <w:rPr>
                <w:rFonts w:hint="default" w:ascii="Times New Roman" w:hAnsi="Times New Roman" w:eastAsia="AdvOT82c4f4c4 + 20" w:cs="Times New Roman"/>
                <w:b w:val="0"/>
                <w:bCs w:val="0"/>
                <w:color w:val="auto"/>
                <w:kern w:val="0"/>
                <w:sz w:val="16"/>
                <w:szCs w:val="16"/>
                <w:lang w:val="en-US" w:eastAsia="zh-CN" w:bidi="ar"/>
              </w:rPr>
              <w:t>‡</w:t>
            </w:r>
          </w:p>
        </w:tc>
        <w:tc>
          <w:tcPr>
            <w:tcW w:w="4833" w:type="dxa"/>
            <w:gridSpan w:val="3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US variables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vMerge w:val="continue"/>
            <w:tcBorders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692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</w:p>
        </w:tc>
        <w:tc>
          <w:tcPr>
            <w:tcW w:w="1625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OR score</w:t>
            </w:r>
          </w:p>
        </w:tc>
        <w:tc>
          <w:tcPr>
            <w:tcW w:w="1516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spacing w:line="360" w:lineRule="auto"/>
              <w:jc w:val="both"/>
              <w:rPr>
                <w:rFonts w:hint="default" w:ascii="Times New Roman" w:hAnsi="Times New Roman" w:eastAsia="等线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等线" w:cs="Times New Roman"/>
                <w:b w:val="0"/>
                <w:bCs w:val="0"/>
                <w:color w:val="auto"/>
                <w:kern w:val="0"/>
                <w:sz w:val="20"/>
                <w:szCs w:val="20"/>
                <w:lang w:val="en-US" w:eastAsia="zh-CN"/>
              </w:rPr>
              <w:t>95%CI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MCP1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0.08~0.46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MCP2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0.098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0.27~1.12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MCP3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0.29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0.14~0.63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MCP4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0.03~0.33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MCP5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0.13~0.71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PIP1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0.194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0.21~1.37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PIP2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0.358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0.69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0.31~1.52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PIP3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0.09~0.58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PIP4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0.143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0.09~1.41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PIP5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0.177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0.06~1.66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RC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0.298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0.71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0.37~1.35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MC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0.566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0.82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0.42~1.6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UC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0.14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0.06~0.32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SUP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0.659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1.16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0.59~2.3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MED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0.21~0.87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LAT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0.07~0.34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APL/EPB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0.061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0.28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0.07~1.06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ECRL/ECRB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0.006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(0.01~0.44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EPL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0.172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0.13~1.45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EDC/EIP 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  <w:vertAlign w:val="superscript"/>
                <w:lang w:val="en-US" w:eastAsia="zh-CN"/>
              </w:rPr>
              <w:t>*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0.33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0.11~0.95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EDM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0.376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0.56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0.16~2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ECU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0.373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0.65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0.25~1.68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DF 2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0.16~1.47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DF 3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0.114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0.38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0.11~1.26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DF 4 </w:t>
            </w:r>
          </w:p>
        </w:tc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0.065</w:t>
            </w:r>
          </w:p>
        </w:tc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0.14 </w:t>
            </w:r>
          </w:p>
        </w:tc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0.02~1.13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289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DF 5</w:t>
            </w:r>
          </w:p>
        </w:tc>
        <w:tc>
          <w:tcPr>
            <w:tcW w:w="169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0.33</w:t>
            </w:r>
          </w:p>
        </w:tc>
        <w:tc>
          <w:tcPr>
            <w:tcW w:w="162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0.49</w:t>
            </w:r>
          </w:p>
        </w:tc>
        <w:tc>
          <w:tcPr>
            <w:tcW w:w="1516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0.12~2.04</w:t>
            </w:r>
          </w:p>
        </w:tc>
      </w:tr>
    </w:tbl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†SH/PD≥1 indicates the presence of synovial hypertrophy or synovitis.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</w:pPr>
      <w:r>
        <w:rPr>
          <w:rFonts w:hint="default" w:ascii="Times New Roman" w:hAnsi="Times New Roman" w:eastAsia="AdvOT82c4f4c4 + 20" w:cs="Times New Roman"/>
          <w:b w:val="0"/>
          <w:bCs w:val="0"/>
          <w:color w:val="auto"/>
          <w:kern w:val="0"/>
          <w:sz w:val="21"/>
          <w:szCs w:val="21"/>
          <w:lang w:val="en-US" w:eastAsia="zh-CN" w:bidi="ar"/>
        </w:rPr>
        <w:t>‡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1"/>
          <w:szCs w:val="21"/>
          <w:u w:val="none"/>
          <w:lang w:val="en-US" w:eastAsia="zh-CN" w:bidi="ar"/>
        </w:rPr>
        <w:t>SH/PD＞1 indicates moderate to severe synovial hypertrophy/ synovitis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*Denotes statistical significance at P&lt;0.05 level.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RC:radiocarpal joint, MC:midcarpal joint, UC:ulnocarpal joint; LAT: lateral compartment, medial, MED: medial compartment, SUP: superior compartment; APL: abductor pollicis longus; EPB: extensor pollicis brevis; ECRL: extensor carpi radialis longus; ECRB: extensor carpi radialis brevis; EPL: extensor pollicis longus; EDC: extensor digitorum communis; EIP: extensor indicis propius; EDM: extensor digit minimi; ECU: extensor carpi ulnaris; </w:t>
      </w:r>
      <w:r>
        <w:rPr>
          <w:rFonts w:hint="default" w:ascii="Times New Roman" w:hAnsi="Times New Roman" w:eastAsia="宋体" w:cs="Times New Roman"/>
          <w:b w:val="0"/>
          <w:bCs w:val="0"/>
          <w:kern w:val="0"/>
          <w:sz w:val="21"/>
          <w:szCs w:val="21"/>
          <w:lang w:val="en-US" w:eastAsia="zh-CN" w:bidi="ar"/>
        </w:rPr>
        <w:t>DF, digit flexors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; GS, Grayscale; SH, synovial hypertrophy; PD, power Doppler.</w:t>
      </w:r>
    </w:p>
    <w:p>
      <w:pPr>
        <w:keepNext w:val="0"/>
        <w:keepLines w:val="0"/>
        <w:widowControl/>
        <w:suppressLineNumbers w:val="0"/>
        <w:spacing w:line="360" w:lineRule="auto"/>
        <w:jc w:val="left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olor w:val="auto"/>
          <w:kern w:val="0"/>
          <w:sz w:val="20"/>
          <w:szCs w:val="20"/>
          <w:u w:val="none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Supplementary Figure S1</w:t>
      </w:r>
      <w:r>
        <w:rPr>
          <w:rStyle w:val="5"/>
          <w:rFonts w:hint="default" w:ascii="Times New Roman" w:hAnsi="Times New Roman" w:cs="Times New Roman"/>
          <w:b w:val="0"/>
          <w:bCs w:val="0"/>
        </w:rPr>
        <w:t>: Confusion Matrices for D2T-RA Models: Decision Tree, SVM, and Random Forest.</w:t>
      </w:r>
    </w:p>
    <w:p>
      <w:pPr>
        <w:spacing w:line="360" w:lineRule="auto"/>
        <w:rPr>
          <w:rFonts w:hint="default" w:ascii="Times New Roman" w:hAnsi="Times New Roman" w:eastAsia="宋体" w:cs="Times New Roman"/>
          <w:b w:val="0"/>
          <w:bCs w:val="0"/>
          <w:lang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2628900"/>
            <wp:effectExtent l="0" t="0" r="0" b="0"/>
            <wp:docPr id="19" name="图片 9" descr="附表1混淆矩阵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9" descr="附表1混淆矩阵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A-C: Confusion Matrix for Model 1 Clinical + Serology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D-F: </w:t>
      </w:r>
      <w:r>
        <w:rPr>
          <w:rFonts w:hint="default" w:ascii="Times New Roman" w:hAnsi="Times New Roman" w:eastAsia="宋体" w:cs="Times New Roman"/>
          <w:b w:val="0"/>
          <w:bCs w:val="0"/>
          <w:sz w:val="21"/>
          <w:szCs w:val="21"/>
        </w:rPr>
        <w:t>Confusion Matrices for Model 2: Clinical + Serology + Ultrasound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</w:rPr>
      </w:pPr>
      <w:bookmarkStart w:id="0" w:name="_GoBack"/>
      <w:r>
        <w:rPr>
          <w:rFonts w:hint="default" w:ascii="Times New Roman" w:hAnsi="Times New Roman" w:cs="Times New Roman"/>
          <w:b w:val="0"/>
          <w:bCs w:val="0"/>
        </w:rPr>
        <w:t> 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cs="Times New Roman"/>
          <w:b w:val="0"/>
          <w:bCs w:val="0"/>
          <w:sz w:val="24"/>
          <w:szCs w:val="24"/>
        </w:rPr>
        <w:t>Supplementary Figure S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</w:t>
      </w:r>
      <w:r>
        <w:rPr>
          <w:rStyle w:val="5"/>
          <w:rFonts w:hint="default" w:ascii="Times New Roman" w:hAnsi="Times New Roman" w:cs="Times New Roman"/>
          <w:b w:val="0"/>
          <w:bCs w:val="0"/>
        </w:rPr>
        <w:t>: Feature Weights in Logistic Regression and SVM for D2T-RA Prediction</w:t>
      </w:r>
    </w:p>
    <w:bookmarkEnd w:id="0"/>
    <w:p>
      <w:pPr>
        <w:spacing w:line="360" w:lineRule="auto"/>
        <w:rPr>
          <w:rFonts w:hint="default" w:ascii="Times New Roman" w:hAnsi="Times New Roman" w:cs="Times New Roman"/>
          <w:b w:val="0"/>
          <w:bCs w:val="0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drawing>
          <wp:inline distT="0" distB="0" distL="114300" distR="114300">
            <wp:extent cx="5257800" cy="3505200"/>
            <wp:effectExtent l="0" t="0" r="0" b="0"/>
            <wp:docPr id="20" name="图片 10" descr="文章中使用附图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0" descr="文章中使用附图2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pacing w:before="100" w:beforeAutospacing="1" w:after="100" w:afterAutospacing="1"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  <w:lang w:val="en-US" w:eastAsia="zh-CN"/>
        </w:rPr>
        <w:t>A-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B: </w:t>
      </w:r>
      <w:r>
        <w:rPr>
          <w:rStyle w:val="5"/>
          <w:rFonts w:hint="default" w:ascii="Times New Roman" w:hAnsi="Times New Roman" w:cs="Times New Roman"/>
          <w:b w:val="0"/>
          <w:bCs w:val="0"/>
          <w:sz w:val="21"/>
          <w:szCs w:val="21"/>
        </w:rPr>
        <w:t>Logistic Regression and SVM for 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Model 1: (Clinical + Serology)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C-D: </w:t>
      </w:r>
      <w:r>
        <w:rPr>
          <w:rStyle w:val="5"/>
          <w:rFonts w:hint="default" w:ascii="Times New Roman" w:hAnsi="Times New Roman" w:cs="Times New Roman"/>
          <w:b w:val="0"/>
          <w:bCs w:val="0"/>
          <w:sz w:val="21"/>
          <w:szCs w:val="21"/>
        </w:rPr>
        <w:t xml:space="preserve">Logistic Regression and SVM for </w:t>
      </w: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Model 2 (Clinical + Serology + Ultrasound).</w:t>
      </w:r>
    </w:p>
    <w:p>
      <w:pPr>
        <w:pStyle w:val="2"/>
        <w:keepNext w:val="0"/>
        <w:keepLines w:val="0"/>
        <w:widowControl/>
        <w:suppressLineNumbers w:val="0"/>
        <w:spacing w:line="360" w:lineRule="auto"/>
        <w:rPr>
          <w:rFonts w:hint="default" w:ascii="Times New Roman" w:hAnsi="Times New Roman" w:cs="Times New Roman"/>
          <w:b w:val="0"/>
          <w:bCs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sz w:val="21"/>
          <w:szCs w:val="21"/>
        </w:rPr>
        <w:t>（SH+PD）＞1 indicates moderate to severe synovitis; UC: ulnocarpal joint; LAT: lateral compartment; MED: medial compartment; ECRL/ECRB: extensor carpi radialis longus/extensor carpi radialis brevis; DF: digit flexors.</w:t>
      </w: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color w:val="FF0000"/>
          <w:sz w:val="24"/>
          <w:szCs w:val="24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color w:val="FF0000"/>
          <w:sz w:val="24"/>
          <w:szCs w:val="24"/>
        </w:rPr>
      </w:pPr>
    </w:p>
    <w:p/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dvP47DFC8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dvOT82c4f4c4 + 2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7AB97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kern w:val="2"/>
      <w:sz w:val="22"/>
      <w:szCs w:val="22"/>
      <w:lang w:val="en-GB" w:eastAsia="en-US" w:bidi="ar-SA"/>
      <w14:ligatures w14:val="standardContextual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2024-08-02T09:52:11Z</dcterms:created>
  <dc:creator>wangt</dc:creator>
  <cp:lastModifiedBy>挺</cp:lastModifiedBy>
  <dcterms:modified xsi:type="dcterms:W3CDTF">2024-08-02T09:54:41Z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230A4F4C8DC04DF88BEE0F834D2D361A_12</vt:lpwstr>
  </property>
</Properties>
</file>