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30F97786" w14:textId="77777777" w:rsidR="001C4A9C" w:rsidRPr="001C3853" w:rsidRDefault="001C4A9C" w:rsidP="001C4A9C">
      <w:pPr>
        <w:widowControl/>
        <w:spacing w:line="24pt" w:lineRule="auto"/>
        <w:jc w:val="start"/>
        <w:rPr>
          <w:rFonts w:ascii="Times New Roman" w:eastAsia="MS PMincho" w:hAnsi="Times New Roman" w:cs="Times New Roman"/>
          <w:sz w:val="24"/>
          <w:szCs w:val="24"/>
        </w:rPr>
      </w:pPr>
      <w:r>
        <w:rPr>
          <w:rFonts w:ascii="Times New Roman" w:eastAsia="MS PMincho" w:hAnsi="Times New Roman" w:cs="Times New Roman" w:hint="eastAsia"/>
          <w:bCs/>
          <w:sz w:val="24"/>
          <w:szCs w:val="24"/>
          <w:lang w:val="en-US"/>
        </w:rPr>
        <w:t>S</w:t>
      </w:r>
      <w:r w:rsidRPr="0031462F">
        <w:rPr>
          <w:rFonts w:ascii="Times New Roman" w:eastAsia="MS PMincho" w:hAnsi="Times New Roman" w:cs="Times New Roman"/>
          <w:bCs/>
          <w:sz w:val="24"/>
          <w:szCs w:val="24"/>
        </w:rPr>
        <w:t>upplementary</w:t>
      </w:r>
      <w:r>
        <w:rPr>
          <w:rFonts w:ascii="Times New Roman" w:eastAsia="MS PMincho" w:hAnsi="Times New Roman" w:cs="Times New Roman" w:hint="eastAsia"/>
          <w:sz w:val="24"/>
          <w:szCs w:val="24"/>
          <w:lang w:val="en-US"/>
        </w:rPr>
        <w:t xml:space="preserve"> f</w:t>
      </w:r>
      <w:r w:rsidRPr="001C3853">
        <w:rPr>
          <w:rFonts w:ascii="Times New Roman" w:eastAsia="MS PMincho" w:hAnsi="Times New Roman" w:cs="Times New Roman" w:hint="eastAsia"/>
          <w:sz w:val="24"/>
          <w:szCs w:val="24"/>
          <w:lang w:val="en-US"/>
        </w:rPr>
        <w:t xml:space="preserve">igure S1 </w:t>
      </w:r>
      <w:r w:rsidRPr="001C3853">
        <w:rPr>
          <w:rFonts w:ascii="Times New Roman" w:eastAsia="MS PMincho" w:hAnsi="Times New Roman" w:cs="Times New Roman"/>
          <w:sz w:val="24"/>
          <w:szCs w:val="24"/>
        </w:rPr>
        <w:t xml:space="preserve">Comparison of </w:t>
      </w:r>
      <w:r w:rsidRPr="001C3853">
        <w:rPr>
          <w:rFonts w:ascii="Times New Roman" w:eastAsia="MS PMincho" w:hAnsi="Times New Roman" w:cs="Times New Roman" w:hint="eastAsia"/>
          <w:sz w:val="24"/>
          <w:szCs w:val="24"/>
        </w:rPr>
        <w:t xml:space="preserve">efficacy </w:t>
      </w:r>
      <w:r w:rsidRPr="001C3853">
        <w:rPr>
          <w:rFonts w:ascii="Times New Roman" w:eastAsia="MS PMincho" w:hAnsi="Times New Roman" w:cs="Times New Roman"/>
          <w:sz w:val="24"/>
          <w:szCs w:val="24"/>
        </w:rPr>
        <w:t>of second-line b/tsDMARDs</w:t>
      </w:r>
      <w:r w:rsidRPr="001C3853">
        <w:rPr>
          <w:rFonts w:ascii="Times New Roman" w:eastAsia="MS PMincho" w:hAnsi="Times New Roman" w:cs="Times New Roman" w:hint="eastAsia"/>
          <w:sz w:val="24"/>
          <w:szCs w:val="24"/>
        </w:rPr>
        <w:t xml:space="preserve"> </w:t>
      </w:r>
      <w:r w:rsidRPr="001C3853">
        <w:rPr>
          <w:rFonts w:ascii="Times New Roman" w:hAnsi="Times New Roman" w:cs="Times New Roman" w:hint="eastAsia"/>
          <w:sz w:val="24"/>
          <w:szCs w:val="24"/>
          <w:lang w:bidi="en-GB"/>
        </w:rPr>
        <w:t>before</w:t>
      </w:r>
      <w:r w:rsidRPr="001C3853">
        <w:rPr>
          <w:rFonts w:ascii="Times New Roman" w:hAnsi="Times New Roman" w:cs="Times New Roman"/>
          <w:sz w:val="24"/>
          <w:szCs w:val="24"/>
          <w:lang w:bidi="en-GB"/>
        </w:rPr>
        <w:t xml:space="preserve"> PS-IPTW adjustment</w:t>
      </w:r>
      <w:r w:rsidRPr="001C3853">
        <w:rPr>
          <w:rFonts w:ascii="Times New Roman" w:eastAsia="MS PMincho" w:hAnsi="Times New Roman" w:cs="Times New Roman" w:hint="eastAsia"/>
          <w:sz w:val="24"/>
          <w:szCs w:val="24"/>
        </w:rPr>
        <w:t>.</w:t>
      </w:r>
    </w:p>
    <w:p w14:paraId="6D6B0AB9" w14:textId="77777777" w:rsidR="001C4A9C" w:rsidRPr="0031462F" w:rsidRDefault="001C4A9C" w:rsidP="001C4A9C">
      <w:pPr>
        <w:widowControl/>
        <w:spacing w:line="24pt" w:lineRule="auto"/>
        <w:jc w:val="start"/>
        <w:rPr>
          <w:rFonts w:ascii="Times New Roman" w:eastAsia="MS PMincho" w:hAnsi="Times New Roman" w:cs="Times New Roman"/>
          <w:sz w:val="24"/>
          <w:szCs w:val="24"/>
        </w:rPr>
      </w:pP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>(A</w:t>
      </w:r>
      <w:r w:rsidRPr="0031462F">
        <w:rPr>
          <w:rFonts w:ascii="Times New Roman" w:eastAsia="MS PMincho" w:hAnsi="Times New Roman" w:cs="Times New Roman"/>
          <w:sz w:val="24"/>
          <w:szCs w:val="24"/>
        </w:rPr>
        <w:t xml:space="preserve">) Persistence rate at 24 weeks after b/tsDMARDs introduction </w:t>
      </w: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>(</w:t>
      </w:r>
      <w:r w:rsidRPr="0031462F">
        <w:rPr>
          <w:rFonts w:ascii="Times New Roman" w:eastAsia="MS PMincho" w:hAnsi="Times New Roman" w:cs="Times New Roman"/>
          <w:sz w:val="24"/>
          <w:szCs w:val="24"/>
        </w:rPr>
        <w:t xml:space="preserve">Kaplan-Meier </w:t>
      </w: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 xml:space="preserve">curves). (B) </w:t>
      </w:r>
      <w:bookmarkStart w:id="0" w:name="_Hlk171288734"/>
      <w:r w:rsidRPr="0031462F">
        <w:rPr>
          <w:rFonts w:ascii="Times New Roman" w:eastAsia="MS PMincho" w:hAnsi="Times New Roman" w:cs="Times New Roman"/>
          <w:sz w:val="24"/>
          <w:szCs w:val="24"/>
        </w:rPr>
        <w:t>Reasons for discontinuation within 24 weeks of b/tsDMARDs introduction (person-years)</w:t>
      </w: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>.</w:t>
      </w:r>
      <w:bookmarkEnd w:id="0"/>
      <w:r w:rsidRPr="0031462F">
        <w:rPr>
          <w:rFonts w:ascii="Times New Roman" w:eastAsia="MS PMincho" w:hAnsi="Times New Roman" w:cs="Times New Roman" w:hint="eastAsia"/>
          <w:sz w:val="24"/>
          <w:szCs w:val="24"/>
        </w:rPr>
        <w:t xml:space="preserve"> </w:t>
      </w:r>
      <w:r w:rsidRPr="0031462F">
        <w:rPr>
          <w:rFonts w:ascii="Times New Roman" w:eastAsia="MS PMincho" w:hAnsi="Times New Roman" w:cs="Times New Roman"/>
          <w:sz w:val="24"/>
          <w:szCs w:val="24"/>
        </w:rPr>
        <w:t>(</w:t>
      </w: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 xml:space="preserve">C) </w:t>
      </w:r>
      <w:r w:rsidRPr="0031462F">
        <w:rPr>
          <w:rFonts w:ascii="Times New Roman" w:eastAsia="MS PMincho" w:hAnsi="Times New Roman" w:cs="Times New Roman"/>
          <w:sz w:val="24"/>
          <w:szCs w:val="24"/>
        </w:rPr>
        <w:t>Change in CDAI after introduction of b/tsDMARDs with mean±SD</w:t>
      </w: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>.</w:t>
      </w:r>
    </w:p>
    <w:p w14:paraId="3E873A24" w14:textId="77777777" w:rsidR="001C4A9C" w:rsidRPr="0031462F" w:rsidRDefault="001C4A9C" w:rsidP="001C4A9C">
      <w:pPr>
        <w:widowControl/>
        <w:spacing w:line="24pt" w:lineRule="auto"/>
        <w:jc w:val="start"/>
        <w:rPr>
          <w:rFonts w:ascii="Times New Roman" w:eastAsia="MS PMincho" w:hAnsi="Times New Roman" w:cs="Times New Roman"/>
          <w:sz w:val="24"/>
          <w:szCs w:val="24"/>
        </w:rPr>
      </w:pPr>
      <w:r w:rsidRPr="0031462F">
        <w:rPr>
          <w:rFonts w:ascii="Times New Roman" w:eastAsia="MS PMincho" w:hAnsi="Times New Roman" w:cs="Times New Roman"/>
          <w:sz w:val="24"/>
          <w:szCs w:val="24"/>
        </w:rPr>
        <w:t>b/tsDMARDs; biologic/targeted synthetic disease-modifying antirheumatic drugs, TNFi; tumour necrosis factor inhibitor, IL-6Ri; anti-Interleukin-6 receptor antibody, CTLA4Ig; cytotoxic T lymphocyte associated protein 4 - immunoglobulin, JAKi; janus kinase inhibitor, CDAI; clinical disease activity index</w:t>
      </w:r>
    </w:p>
    <w:p w14:paraId="64CE564F" w14:textId="77777777" w:rsidR="001C4A9C" w:rsidRDefault="001C4A9C" w:rsidP="001C4A9C">
      <w:pPr>
        <w:widowControl/>
        <w:jc w:val="start"/>
        <w:rPr>
          <w:rFonts w:ascii="Times New Roman" w:eastAsia="MS PMincho" w:hAnsi="Times New Roman" w:cs="Times New Roman"/>
          <w:sz w:val="24"/>
          <w:szCs w:val="24"/>
          <w:lang w:val="en-US"/>
        </w:rPr>
      </w:pPr>
    </w:p>
    <w:p w14:paraId="5AD20FBB" w14:textId="77777777" w:rsidR="001C4A9C" w:rsidRPr="0031462F" w:rsidRDefault="001C4A9C" w:rsidP="001C4A9C">
      <w:pPr>
        <w:widowControl/>
        <w:spacing w:line="24pt" w:lineRule="auto"/>
        <w:jc w:val="start"/>
        <w:rPr>
          <w:rFonts w:ascii="Times New Roman" w:eastAsia="MS PMincho" w:hAnsi="Times New Roman" w:cs="Times New Roman"/>
          <w:sz w:val="24"/>
          <w:szCs w:val="24"/>
          <w:lang w:val="en-US"/>
        </w:rPr>
      </w:pPr>
      <w:r>
        <w:rPr>
          <w:rFonts w:ascii="Times New Roman" w:eastAsia="MS PMincho" w:hAnsi="Times New Roman" w:cs="Times New Roman" w:hint="eastAsia"/>
          <w:bCs/>
          <w:sz w:val="24"/>
          <w:szCs w:val="24"/>
          <w:lang w:val="en-US"/>
        </w:rPr>
        <w:t>S</w:t>
      </w:r>
      <w:r w:rsidRPr="0031462F">
        <w:rPr>
          <w:rFonts w:ascii="Times New Roman" w:eastAsia="MS PMincho" w:hAnsi="Times New Roman" w:cs="Times New Roman"/>
          <w:bCs/>
          <w:sz w:val="24"/>
          <w:szCs w:val="24"/>
        </w:rPr>
        <w:t>upplementary</w:t>
      </w:r>
      <w:r>
        <w:rPr>
          <w:rFonts w:ascii="Times New Roman" w:eastAsia="MS PMincho" w:hAnsi="Times New Roman" w:cs="Times New Roman" w:hint="eastAsia"/>
          <w:sz w:val="24"/>
          <w:szCs w:val="24"/>
          <w:lang w:val="en-US"/>
        </w:rPr>
        <w:t xml:space="preserve"> f</w:t>
      </w:r>
      <w:r w:rsidRPr="001C3853">
        <w:rPr>
          <w:rFonts w:ascii="Times New Roman" w:eastAsia="MS PMincho" w:hAnsi="Times New Roman" w:cs="Times New Roman" w:hint="eastAsia"/>
          <w:sz w:val="24"/>
          <w:szCs w:val="24"/>
          <w:lang w:val="en-US"/>
        </w:rPr>
        <w:t>igure</w:t>
      </w:r>
      <w:r w:rsidRPr="008F26E2">
        <w:rPr>
          <w:rFonts w:ascii="Times New Roman" w:eastAsia="MS PMincho" w:hAnsi="Times New Roman" w:cs="Times New Roman" w:hint="eastAsia"/>
          <w:sz w:val="24"/>
          <w:szCs w:val="24"/>
          <w:lang w:val="en-US"/>
        </w:rPr>
        <w:t xml:space="preserve"> S2 </w:t>
      </w:r>
      <w:r w:rsidRPr="0031462F">
        <w:rPr>
          <w:rFonts w:ascii="Times New Roman" w:eastAsia="MS PMincho" w:hAnsi="Times New Roman" w:cs="Times New Roman"/>
          <w:sz w:val="24"/>
          <w:szCs w:val="24"/>
        </w:rPr>
        <w:t xml:space="preserve">Reasons for discontinuation within 24 weeks of </w:t>
      </w: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 xml:space="preserve">second-line </w:t>
      </w:r>
      <w:r w:rsidRPr="0031462F">
        <w:rPr>
          <w:rFonts w:ascii="Times New Roman" w:eastAsia="MS PMincho" w:hAnsi="Times New Roman" w:cs="Times New Roman"/>
          <w:sz w:val="24"/>
          <w:szCs w:val="24"/>
        </w:rPr>
        <w:t>b/tsDMARDs introduction (person-years)</w:t>
      </w: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>.</w:t>
      </w:r>
    </w:p>
    <w:p w14:paraId="47B25C83" w14:textId="77777777" w:rsidR="001C4A9C" w:rsidRPr="0031462F" w:rsidRDefault="001C4A9C" w:rsidP="001C4A9C">
      <w:pPr>
        <w:widowControl/>
        <w:spacing w:line="24pt" w:lineRule="auto"/>
        <w:jc w:val="start"/>
        <w:rPr>
          <w:rFonts w:ascii="Times New Roman" w:eastAsia="MS PMincho" w:hAnsi="Times New Roman" w:cs="Times New Roman"/>
          <w:sz w:val="24"/>
          <w:szCs w:val="24"/>
        </w:rPr>
      </w:pPr>
      <w:r w:rsidRPr="0031462F">
        <w:rPr>
          <w:rFonts w:ascii="Times New Roman" w:eastAsia="MS PMincho" w:hAnsi="Times New Roman" w:cs="Times New Roman"/>
          <w:sz w:val="24"/>
          <w:szCs w:val="24"/>
        </w:rPr>
        <w:t>b/tsDMARDs; biologic/targeted synthetic disease-modifying antirheumatic drugs, TNFi; tumour necrosis factor inhibitor, IL-6Ri; anti-Interleukin-6 receptor antibody, CTLA4Ig; cytotoxic T lymphocyte associated protein 4 - immunoglobulin, JAKi; janus kinase inhibitor</w:t>
      </w:r>
    </w:p>
    <w:p w14:paraId="2093F6CB" w14:textId="77777777" w:rsidR="001C4A9C" w:rsidRDefault="001C4A9C" w:rsidP="001C4A9C">
      <w:pPr>
        <w:widowControl/>
        <w:jc w:val="start"/>
        <w:rPr>
          <w:rFonts w:ascii="Times New Roman" w:eastAsia="MS PMincho" w:hAnsi="Times New Roman" w:cs="Times New Roman"/>
          <w:sz w:val="24"/>
          <w:szCs w:val="24"/>
          <w:lang w:val="en-US"/>
        </w:rPr>
      </w:pPr>
    </w:p>
    <w:p w14:paraId="676F7E1E" w14:textId="77777777" w:rsidR="001C4A9C" w:rsidRPr="008F26E2" w:rsidRDefault="001C4A9C" w:rsidP="001C4A9C">
      <w:pPr>
        <w:widowControl/>
        <w:spacing w:line="24pt" w:lineRule="auto"/>
        <w:jc w:val="start"/>
        <w:rPr>
          <w:rFonts w:ascii="Times New Roman" w:eastAsia="MS PMincho" w:hAnsi="Times New Roman" w:cs="Times New Roman"/>
          <w:sz w:val="24"/>
          <w:szCs w:val="24"/>
        </w:rPr>
      </w:pPr>
      <w:r>
        <w:rPr>
          <w:rFonts w:ascii="Times New Roman" w:eastAsia="MS PMincho" w:hAnsi="Times New Roman" w:cs="Times New Roman" w:hint="eastAsia"/>
          <w:bCs/>
          <w:sz w:val="24"/>
          <w:szCs w:val="24"/>
          <w:lang w:val="en-US"/>
        </w:rPr>
        <w:t>S</w:t>
      </w:r>
      <w:r w:rsidRPr="0031462F">
        <w:rPr>
          <w:rFonts w:ascii="Times New Roman" w:eastAsia="MS PMincho" w:hAnsi="Times New Roman" w:cs="Times New Roman"/>
          <w:bCs/>
          <w:sz w:val="24"/>
          <w:szCs w:val="24"/>
        </w:rPr>
        <w:t>upplementary</w:t>
      </w:r>
      <w:r>
        <w:rPr>
          <w:rFonts w:ascii="Times New Roman" w:eastAsia="MS PMincho" w:hAnsi="Times New Roman" w:cs="Times New Roman" w:hint="eastAsia"/>
          <w:sz w:val="24"/>
          <w:szCs w:val="24"/>
          <w:lang w:val="en-US"/>
        </w:rPr>
        <w:t xml:space="preserve"> f</w:t>
      </w:r>
      <w:r w:rsidRPr="001C3853">
        <w:rPr>
          <w:rFonts w:ascii="Times New Roman" w:eastAsia="MS PMincho" w:hAnsi="Times New Roman" w:cs="Times New Roman" w:hint="eastAsia"/>
          <w:sz w:val="24"/>
          <w:szCs w:val="24"/>
          <w:lang w:val="en-US"/>
        </w:rPr>
        <w:t>igure</w:t>
      </w:r>
      <w:r w:rsidRPr="008F26E2">
        <w:rPr>
          <w:rFonts w:ascii="Times New Roman" w:eastAsia="MS PMincho" w:hAnsi="Times New Roman" w:cs="Times New Roman" w:hint="eastAsia"/>
          <w:sz w:val="24"/>
          <w:szCs w:val="24"/>
          <w:lang w:val="en-US"/>
        </w:rPr>
        <w:t xml:space="preserve"> S3 </w:t>
      </w:r>
      <w:r w:rsidRPr="008F26E2">
        <w:rPr>
          <w:rFonts w:ascii="Times New Roman" w:eastAsia="MS PMincho" w:hAnsi="Times New Roman" w:cs="Times New Roman"/>
          <w:sz w:val="24"/>
          <w:szCs w:val="24"/>
        </w:rPr>
        <w:t xml:space="preserve">Comparison of </w:t>
      </w:r>
      <w:r w:rsidRPr="008F26E2">
        <w:rPr>
          <w:rFonts w:ascii="Times New Roman" w:eastAsia="MS PMincho" w:hAnsi="Times New Roman" w:cs="Times New Roman" w:hint="eastAsia"/>
          <w:sz w:val="24"/>
          <w:szCs w:val="24"/>
        </w:rPr>
        <w:t xml:space="preserve">efficacy between UPA and Non-UPA JAKi as </w:t>
      </w:r>
      <w:r w:rsidRPr="008F26E2">
        <w:rPr>
          <w:rFonts w:ascii="Times New Roman" w:eastAsia="MS PMincho" w:hAnsi="Times New Roman" w:cs="Times New Roman"/>
          <w:sz w:val="24"/>
          <w:szCs w:val="24"/>
        </w:rPr>
        <w:t>second-line b/tsDMARDs</w:t>
      </w:r>
      <w:r w:rsidRPr="008F26E2">
        <w:rPr>
          <w:rFonts w:ascii="Times New Roman" w:eastAsia="MS PMincho" w:hAnsi="Times New Roman" w:cs="Times New Roman" w:hint="eastAsia"/>
          <w:sz w:val="24"/>
          <w:szCs w:val="24"/>
        </w:rPr>
        <w:t xml:space="preserve"> </w:t>
      </w:r>
      <w:r w:rsidRPr="008F26E2">
        <w:rPr>
          <w:rFonts w:ascii="Times New Roman" w:hAnsi="Times New Roman" w:cs="Times New Roman" w:hint="eastAsia"/>
          <w:sz w:val="24"/>
          <w:szCs w:val="24"/>
          <w:lang w:bidi="en-GB"/>
        </w:rPr>
        <w:t>before</w:t>
      </w:r>
      <w:r w:rsidRPr="008F26E2">
        <w:rPr>
          <w:rFonts w:ascii="Times New Roman" w:hAnsi="Times New Roman" w:cs="Times New Roman"/>
          <w:sz w:val="24"/>
          <w:szCs w:val="24"/>
          <w:lang w:bidi="en-GB"/>
        </w:rPr>
        <w:t xml:space="preserve"> PS-IPTW adjustment</w:t>
      </w:r>
      <w:r w:rsidRPr="008F26E2">
        <w:rPr>
          <w:rFonts w:ascii="Times New Roman" w:eastAsia="MS PMincho" w:hAnsi="Times New Roman" w:cs="Times New Roman" w:hint="eastAsia"/>
          <w:sz w:val="24"/>
          <w:szCs w:val="24"/>
        </w:rPr>
        <w:t>.</w:t>
      </w:r>
    </w:p>
    <w:p w14:paraId="3B4643D4" w14:textId="77777777" w:rsidR="001C4A9C" w:rsidRPr="0031462F" w:rsidRDefault="001C4A9C" w:rsidP="001C4A9C">
      <w:pPr>
        <w:widowControl/>
        <w:spacing w:line="24pt" w:lineRule="auto"/>
        <w:jc w:val="start"/>
        <w:rPr>
          <w:rFonts w:ascii="Times New Roman" w:eastAsia="MS PMincho" w:hAnsi="Times New Roman" w:cs="Times New Roman"/>
          <w:sz w:val="24"/>
          <w:szCs w:val="24"/>
        </w:rPr>
      </w:pP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>(A</w:t>
      </w:r>
      <w:r w:rsidRPr="0031462F">
        <w:rPr>
          <w:rFonts w:ascii="Times New Roman" w:eastAsia="MS PMincho" w:hAnsi="Times New Roman" w:cs="Times New Roman"/>
          <w:sz w:val="24"/>
          <w:szCs w:val="24"/>
        </w:rPr>
        <w:t xml:space="preserve">) Persistence rate at 24 weeks after </w:t>
      </w: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>JAKi</w:t>
      </w:r>
      <w:r w:rsidRPr="0031462F">
        <w:rPr>
          <w:rFonts w:ascii="Times New Roman" w:eastAsia="MS PMincho" w:hAnsi="Times New Roman" w:cs="Times New Roman"/>
          <w:sz w:val="24"/>
          <w:szCs w:val="24"/>
        </w:rPr>
        <w:t xml:space="preserve"> introduction </w:t>
      </w: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>(</w:t>
      </w:r>
      <w:r w:rsidRPr="0031462F">
        <w:rPr>
          <w:rFonts w:ascii="Times New Roman" w:eastAsia="MS PMincho" w:hAnsi="Times New Roman" w:cs="Times New Roman"/>
          <w:sz w:val="24"/>
          <w:szCs w:val="24"/>
        </w:rPr>
        <w:t xml:space="preserve">Kaplan-Meier </w:t>
      </w: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>curves). (B)</w:t>
      </w:r>
      <w:r w:rsidRPr="0031462F">
        <w:rPr>
          <w:rFonts w:ascii="Times New Roman" w:eastAsia="MS PMincho" w:hAnsi="Times New Roman" w:cs="Times New Roman"/>
          <w:sz w:val="24"/>
          <w:szCs w:val="24"/>
        </w:rPr>
        <w:t xml:space="preserve"> Reasons for discontinuation within 24 weeks of </w:t>
      </w: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>JAKi</w:t>
      </w:r>
      <w:r w:rsidRPr="0031462F">
        <w:rPr>
          <w:rFonts w:ascii="Times New Roman" w:eastAsia="MS PMincho" w:hAnsi="Times New Roman" w:cs="Times New Roman"/>
          <w:sz w:val="24"/>
          <w:szCs w:val="24"/>
        </w:rPr>
        <w:t xml:space="preserve"> introduction (person-years).</w:t>
      </w: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 xml:space="preserve"> (C) </w:t>
      </w:r>
      <w:r w:rsidRPr="0031462F">
        <w:rPr>
          <w:rFonts w:ascii="Times New Roman" w:eastAsia="MS PMincho" w:hAnsi="Times New Roman" w:cs="Times New Roman"/>
          <w:sz w:val="24"/>
          <w:szCs w:val="24"/>
        </w:rPr>
        <w:t xml:space="preserve">Change in </w:t>
      </w:r>
      <w:r w:rsidRPr="0031462F">
        <w:rPr>
          <w:rFonts w:ascii="Times New Roman" w:eastAsia="MS PMincho" w:hAnsi="Times New Roman" w:cs="Times New Roman"/>
          <w:sz w:val="24"/>
          <w:szCs w:val="24"/>
        </w:rPr>
        <w:lastRenderedPageBreak/>
        <w:t xml:space="preserve">CDAI after introduction of </w:t>
      </w: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>JAKi</w:t>
      </w:r>
      <w:r w:rsidRPr="0031462F">
        <w:rPr>
          <w:rFonts w:ascii="Times New Roman" w:eastAsia="MS PMincho" w:hAnsi="Times New Roman" w:cs="Times New Roman"/>
          <w:sz w:val="24"/>
          <w:szCs w:val="24"/>
        </w:rPr>
        <w:t xml:space="preserve"> with mean±SD.</w:t>
      </w: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 xml:space="preserve"> (D) </w:t>
      </w:r>
      <w:r w:rsidRPr="0031462F">
        <w:rPr>
          <w:rFonts w:ascii="Times New Roman" w:eastAsia="MS PMincho" w:hAnsi="Times New Roman" w:cs="Times New Roman"/>
          <w:sz w:val="24"/>
          <w:szCs w:val="24"/>
        </w:rPr>
        <w:t>Sankey diagram of CDAI after introduction of JAKi</w:t>
      </w:r>
      <w:r w:rsidRPr="0031462F">
        <w:rPr>
          <w:rFonts w:ascii="Times New Roman" w:eastAsia="MS PMincho" w:hAnsi="Times New Roman" w:cs="Times New Roman" w:hint="eastAsia"/>
          <w:sz w:val="24"/>
          <w:szCs w:val="24"/>
        </w:rPr>
        <w:t xml:space="preserve">. </w:t>
      </w:r>
    </w:p>
    <w:p w14:paraId="11A4EA52" w14:textId="77777777" w:rsidR="001C4A9C" w:rsidRPr="0031462F" w:rsidRDefault="001C4A9C" w:rsidP="001C4A9C">
      <w:pPr>
        <w:widowControl/>
        <w:spacing w:line="24pt" w:lineRule="auto"/>
        <w:jc w:val="start"/>
        <w:rPr>
          <w:rFonts w:ascii="Times New Roman" w:hAnsi="Times New Roman" w:cs="Times New Roman"/>
          <w:sz w:val="24"/>
          <w:szCs w:val="24"/>
          <w:lang w:bidi="en-GB"/>
        </w:rPr>
      </w:pPr>
      <w:r w:rsidRPr="0031462F">
        <w:rPr>
          <w:rFonts w:ascii="Times New Roman" w:eastAsia="MS PMincho" w:hAnsi="Times New Roman" w:cs="Times New Roman"/>
          <w:sz w:val="24"/>
          <w:szCs w:val="24"/>
        </w:rPr>
        <w:t xml:space="preserve">b/tsDMARDs; biologic/targeted synthetic disease-modifying antirheumatic drugs, </w:t>
      </w:r>
      <w:r w:rsidRPr="0031462F">
        <w:rPr>
          <w:rFonts w:ascii="Times New Roman" w:hAnsi="Times New Roman" w:cs="Times New Roman"/>
          <w:sz w:val="24"/>
          <w:szCs w:val="24"/>
          <w:lang w:bidi="en-GB"/>
        </w:rPr>
        <w:t>UPA; upadacitinib, JAKi; janus kinase inhibitor, CDAI; clinical disease activity index, HDA; high disease activity, MDA; moderate disease activity, LDA; low disease activity, REM; remission</w:t>
      </w:r>
    </w:p>
    <w:p w14:paraId="7EBDF825" w14:textId="77777777" w:rsidR="001C4A9C" w:rsidRPr="0031462F" w:rsidRDefault="001C4A9C" w:rsidP="001C4A9C">
      <w:pPr>
        <w:widowControl/>
        <w:spacing w:line="24pt" w:lineRule="auto"/>
        <w:jc w:val="start"/>
        <w:rPr>
          <w:rFonts w:ascii="Times New Roman" w:eastAsia="MS PMincho" w:hAnsi="Times New Roman" w:cs="Times New Roman"/>
          <w:sz w:val="24"/>
          <w:szCs w:val="24"/>
          <w:lang w:val="en-US"/>
        </w:rPr>
      </w:pPr>
    </w:p>
    <w:p w14:paraId="58E591A9" w14:textId="77777777" w:rsidR="001C4A9C" w:rsidRPr="008F26E2" w:rsidRDefault="001C4A9C" w:rsidP="001C4A9C">
      <w:pPr>
        <w:widowControl/>
        <w:spacing w:line="24pt" w:lineRule="auto"/>
        <w:jc w:val="start"/>
        <w:rPr>
          <w:rFonts w:ascii="Times New Roman" w:eastAsia="MS PMincho" w:hAnsi="Times New Roman" w:cs="Times New Roman"/>
          <w:sz w:val="24"/>
          <w:szCs w:val="24"/>
          <w:lang w:val="en-US"/>
        </w:rPr>
      </w:pPr>
      <w:r>
        <w:rPr>
          <w:rFonts w:ascii="Times New Roman" w:eastAsia="MS PMincho" w:hAnsi="Times New Roman" w:cs="Times New Roman" w:hint="eastAsia"/>
          <w:bCs/>
          <w:sz w:val="24"/>
          <w:szCs w:val="24"/>
          <w:lang w:val="en-US"/>
        </w:rPr>
        <w:t>S</w:t>
      </w:r>
      <w:r w:rsidRPr="0031462F">
        <w:rPr>
          <w:rFonts w:ascii="Times New Roman" w:eastAsia="MS PMincho" w:hAnsi="Times New Roman" w:cs="Times New Roman"/>
          <w:bCs/>
          <w:sz w:val="24"/>
          <w:szCs w:val="24"/>
        </w:rPr>
        <w:t>upplementary</w:t>
      </w:r>
      <w:r>
        <w:rPr>
          <w:rFonts w:ascii="Times New Roman" w:eastAsia="MS PMincho" w:hAnsi="Times New Roman" w:cs="Times New Roman" w:hint="eastAsia"/>
          <w:sz w:val="24"/>
          <w:szCs w:val="24"/>
          <w:lang w:val="en-US"/>
        </w:rPr>
        <w:t xml:space="preserve"> f</w:t>
      </w:r>
      <w:r w:rsidRPr="001C3853">
        <w:rPr>
          <w:rFonts w:ascii="Times New Roman" w:eastAsia="MS PMincho" w:hAnsi="Times New Roman" w:cs="Times New Roman" w:hint="eastAsia"/>
          <w:sz w:val="24"/>
          <w:szCs w:val="24"/>
          <w:lang w:val="en-US"/>
        </w:rPr>
        <w:t>igure</w:t>
      </w:r>
      <w:r w:rsidRPr="008F26E2">
        <w:rPr>
          <w:rFonts w:ascii="Times New Roman" w:eastAsia="MS PMincho" w:hAnsi="Times New Roman" w:cs="Times New Roman" w:hint="eastAsia"/>
          <w:sz w:val="24"/>
          <w:szCs w:val="24"/>
          <w:lang w:val="en-US"/>
        </w:rPr>
        <w:t xml:space="preserve"> S4 </w:t>
      </w:r>
      <w:bookmarkStart w:id="1" w:name="_Hlk174105396"/>
      <w:bookmarkStart w:id="2" w:name="_Hlk171289148"/>
      <w:r w:rsidRPr="008F26E2">
        <w:rPr>
          <w:rFonts w:ascii="Times New Roman" w:eastAsia="MS PMincho" w:hAnsi="Times New Roman" w:cs="Times New Roman" w:hint="eastAsia"/>
          <w:sz w:val="24"/>
          <w:szCs w:val="24"/>
          <w:lang w:val="en-US"/>
        </w:rPr>
        <w:t>A</w:t>
      </w:r>
      <w:r w:rsidRPr="008F26E2">
        <w:rPr>
          <w:rFonts w:ascii="Times New Roman" w:eastAsia="MS PMincho" w:hAnsi="Times New Roman" w:cs="Times New Roman"/>
          <w:sz w:val="24"/>
          <w:szCs w:val="24"/>
          <w:lang w:val="en-US"/>
        </w:rPr>
        <w:t>dverse events</w:t>
      </w:r>
      <w:bookmarkEnd w:id="1"/>
      <w:r w:rsidRPr="008F26E2">
        <w:rPr>
          <w:rFonts w:ascii="Times New Roman" w:eastAsia="MS PMincho" w:hAnsi="Times New Roman" w:cs="Times New Roman"/>
          <w:sz w:val="24"/>
          <w:szCs w:val="24"/>
          <w:lang w:val="en-US"/>
        </w:rPr>
        <w:t xml:space="preserve"> in UPA </w:t>
      </w:r>
      <w:r w:rsidRPr="008F26E2">
        <w:rPr>
          <w:rFonts w:ascii="Times New Roman" w:eastAsia="MS PMincho" w:hAnsi="Times New Roman" w:cs="Times New Roman" w:hint="eastAsia"/>
          <w:sz w:val="24"/>
          <w:szCs w:val="24"/>
          <w:lang w:val="en-US"/>
        </w:rPr>
        <w:t>and</w:t>
      </w:r>
      <w:r w:rsidRPr="008F26E2">
        <w:rPr>
          <w:rFonts w:ascii="Times New Roman" w:eastAsia="MS PMincho" w:hAnsi="Times New Roman" w:cs="Times New Roman"/>
          <w:sz w:val="24"/>
          <w:szCs w:val="24"/>
          <w:lang w:val="en-US"/>
        </w:rPr>
        <w:t xml:space="preserve"> Non-UPA JAKi </w:t>
      </w:r>
      <w:r w:rsidRPr="008F26E2">
        <w:rPr>
          <w:rFonts w:ascii="Times New Roman" w:eastAsia="MS PMincho" w:hAnsi="Times New Roman" w:cs="Times New Roman" w:hint="eastAsia"/>
          <w:sz w:val="24"/>
          <w:szCs w:val="24"/>
          <w:lang w:val="en-US"/>
        </w:rPr>
        <w:t xml:space="preserve">groups </w:t>
      </w:r>
      <w:r w:rsidRPr="008F26E2">
        <w:rPr>
          <w:rFonts w:ascii="Times New Roman" w:eastAsia="MS PMincho" w:hAnsi="Times New Roman" w:cs="Times New Roman"/>
          <w:sz w:val="24"/>
          <w:szCs w:val="24"/>
          <w:lang w:val="en-US"/>
        </w:rPr>
        <w:t>within 24 weeks of induction (person-years)</w:t>
      </w:r>
    </w:p>
    <w:bookmarkEnd w:id="2"/>
    <w:p w14:paraId="7A11E1B9" w14:textId="77777777" w:rsidR="001C4A9C" w:rsidRPr="0031462F" w:rsidRDefault="001C4A9C" w:rsidP="001C4A9C">
      <w:pPr>
        <w:widowControl/>
        <w:spacing w:line="24pt" w:lineRule="auto"/>
        <w:jc w:val="start"/>
        <w:rPr>
          <w:rFonts w:ascii="Times New Roman" w:eastAsia="MS PMincho" w:hAnsi="Times New Roman" w:cs="Times New Roman"/>
          <w:sz w:val="24"/>
          <w:szCs w:val="24"/>
          <w:lang w:val="en-US"/>
        </w:rPr>
      </w:pPr>
      <w:r w:rsidRPr="0031462F">
        <w:rPr>
          <w:rFonts w:ascii="Times New Roman" w:eastAsia="MS PMincho" w:hAnsi="Times New Roman" w:cs="Times New Roman"/>
          <w:sz w:val="24"/>
          <w:szCs w:val="24"/>
        </w:rPr>
        <w:t xml:space="preserve">b/tsDMARDs; biologic/targeted synthetic disease-modifying antirheumatic drugs, </w:t>
      </w:r>
      <w:r w:rsidRPr="0031462F">
        <w:rPr>
          <w:rFonts w:ascii="Times New Roman" w:eastAsia="MS PMincho" w:hAnsi="Times New Roman" w:cs="Times New Roman"/>
          <w:sz w:val="24"/>
          <w:szCs w:val="24"/>
          <w:lang w:val="en-US"/>
        </w:rPr>
        <w:t>UPA; upadacitinib, JAKi; janus kinase inhibitor</w:t>
      </w:r>
    </w:p>
    <w:p w14:paraId="7719D7C7" w14:textId="77777777" w:rsidR="008C374B" w:rsidRDefault="008C374B"/>
    <w:sectPr w:rsidR="008C374B" w:rsidSect="001C4A9C">
      <w:footerReference w:type="default" r:id="rId4"/>
      <w:pgSz w:w="595.30pt" w:h="841.90pt" w:code="9"/>
      <w:pgMar w:top="72pt" w:right="72pt" w:bottom="72pt" w:left="72pt" w:header="42.55pt" w:footer="49.60pt" w:gutter="0pt"/>
      <w:lnNumType w:countBy="1" w:restart="continuous"/>
      <w:cols w:space="21.25pt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MS PMincho">
    <w:altName w:val="ＭＳ Ｐ明朝"/>
    <w:charset w:characterSet="shift_jis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sdt>
    <w:sdtPr>
      <w:id w:val="-1165626147"/>
      <w:docPartObj>
        <w:docPartGallery w:val="Page Numbers (Bottom of Page)"/>
        <w:docPartUnique/>
      </w:docPartObj>
    </w:sdtPr>
    <w:sdtContent>
      <w:p w14:paraId="1B0D748A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E3C8F32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9C"/>
    <w:rsid w:val="001C4A9C"/>
    <w:rsid w:val="002267EB"/>
    <w:rsid w:val="002A5090"/>
    <w:rsid w:val="003F36CB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80E998"/>
  <w15:chartTrackingRefBased/>
  <w15:docId w15:val="{F8B2A611-0D7A-4809-B3E9-8B7795BD448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A9C"/>
    <w:pPr>
      <w:widowControl w:val="0"/>
      <w:spacing w:after="0pt" w:line="12pt" w:lineRule="auto"/>
      <w:jc w:val="both"/>
    </w:pPr>
    <w:rPr>
      <w:rFonts w:eastAsiaTheme="minorEastAsia"/>
      <w:sz w:val="21"/>
      <w:lang w:val="en-GB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A9C"/>
    <w:pPr>
      <w:keepNext/>
      <w:keepLines/>
      <w:widowControl/>
      <w:spacing w:before="18pt" w:after="4pt" w:line="12.95pt" w:lineRule="auto"/>
      <w:jc w:val="star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A9C"/>
    <w:pPr>
      <w:keepNext/>
      <w:keepLines/>
      <w:widowControl/>
      <w:spacing w:before="8pt" w:after="4pt" w:line="12.95pt" w:lineRule="auto"/>
      <w:jc w:val="star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A9C"/>
    <w:pPr>
      <w:keepNext/>
      <w:keepLines/>
      <w:widowControl/>
      <w:spacing w:before="8pt" w:after="4pt" w:line="12.95pt" w:lineRule="auto"/>
      <w:jc w:val="star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A9C"/>
    <w:pPr>
      <w:keepNext/>
      <w:keepLines/>
      <w:widowControl/>
      <w:spacing w:before="4pt" w:after="2pt" w:line="12.95pt" w:lineRule="auto"/>
      <w:jc w:val="start"/>
      <w:outlineLvl w:val="3"/>
    </w:pPr>
    <w:rPr>
      <w:rFonts w:eastAsiaTheme="majorEastAsia" w:cstheme="majorBidi"/>
      <w:i/>
      <w:iCs/>
      <w:color w:val="0F4761" w:themeColor="accent1" w:themeShade="BF"/>
      <w:sz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A9C"/>
    <w:pPr>
      <w:keepNext/>
      <w:keepLines/>
      <w:widowControl/>
      <w:spacing w:before="4pt" w:after="2pt" w:line="12.95pt" w:lineRule="auto"/>
      <w:jc w:val="start"/>
      <w:outlineLvl w:val="4"/>
    </w:pPr>
    <w:rPr>
      <w:rFonts w:eastAsiaTheme="majorEastAsia" w:cstheme="majorBidi"/>
      <w:color w:val="0F4761" w:themeColor="accent1" w:themeShade="BF"/>
      <w:sz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A9C"/>
    <w:pPr>
      <w:keepNext/>
      <w:keepLines/>
      <w:widowControl/>
      <w:spacing w:before="2pt" w:line="12.95pt" w:lineRule="auto"/>
      <w:jc w:val="start"/>
      <w:outlineLvl w:val="5"/>
    </w:pPr>
    <w:rPr>
      <w:rFonts w:eastAsiaTheme="majorEastAsia" w:cstheme="majorBidi"/>
      <w:i/>
      <w:iCs/>
      <w:color w:val="595959" w:themeColor="text1" w:themeTint="A6"/>
      <w:sz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A9C"/>
    <w:pPr>
      <w:keepNext/>
      <w:keepLines/>
      <w:widowControl/>
      <w:spacing w:before="2pt" w:line="12.95pt" w:lineRule="auto"/>
      <w:jc w:val="start"/>
      <w:outlineLvl w:val="6"/>
    </w:pPr>
    <w:rPr>
      <w:rFonts w:eastAsiaTheme="majorEastAsia" w:cstheme="majorBidi"/>
      <w:color w:val="595959" w:themeColor="text1" w:themeTint="A6"/>
      <w:sz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A9C"/>
    <w:pPr>
      <w:keepNext/>
      <w:keepLines/>
      <w:widowControl/>
      <w:spacing w:line="12.95pt" w:lineRule="auto"/>
      <w:jc w:val="start"/>
      <w:outlineLvl w:val="7"/>
    </w:pPr>
    <w:rPr>
      <w:rFonts w:eastAsiaTheme="majorEastAsia" w:cstheme="majorBidi"/>
      <w:i/>
      <w:iCs/>
      <w:color w:val="272727" w:themeColor="text1" w:themeTint="D8"/>
      <w:sz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A9C"/>
    <w:pPr>
      <w:keepNext/>
      <w:keepLines/>
      <w:widowControl/>
      <w:spacing w:line="12.95pt" w:lineRule="auto"/>
      <w:jc w:val="start"/>
      <w:outlineLvl w:val="8"/>
    </w:pPr>
    <w:rPr>
      <w:rFonts w:eastAsiaTheme="majorEastAsia" w:cstheme="majorBidi"/>
      <w:color w:val="272727" w:themeColor="text1" w:themeTint="D8"/>
      <w:sz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A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A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A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A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A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A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A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A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A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A9C"/>
    <w:pPr>
      <w:widowControl/>
      <w:spacing w:after="4pt"/>
      <w:contextualSpacing/>
      <w:jc w:val="star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4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A9C"/>
    <w:pPr>
      <w:widowControl/>
      <w:numPr>
        <w:ilvl w:val="1"/>
      </w:numPr>
      <w:spacing w:after="8pt" w:line="12.95pt" w:lineRule="auto"/>
      <w:jc w:val="start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4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A9C"/>
    <w:pPr>
      <w:widowControl/>
      <w:spacing w:before="8pt" w:after="8pt" w:line="12.95pt" w:lineRule="auto"/>
      <w:jc w:val="center"/>
    </w:pPr>
    <w:rPr>
      <w:rFonts w:eastAsiaTheme="minorHAnsi"/>
      <w:i/>
      <w:iCs/>
      <w:color w:val="404040" w:themeColor="text1" w:themeTint="BF"/>
      <w:sz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4A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A9C"/>
    <w:pPr>
      <w:widowControl/>
      <w:spacing w:after="8pt" w:line="12.95pt" w:lineRule="auto"/>
      <w:ind w:start="36pt"/>
      <w:contextualSpacing/>
      <w:jc w:val="start"/>
    </w:pPr>
    <w:rPr>
      <w:rFonts w:eastAsiaTheme="minorHAnsi"/>
      <w:sz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4A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A9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2.95pt" w:lineRule="auto"/>
      <w:ind w:start="43.20pt" w:end="43.20pt"/>
      <w:jc w:val="center"/>
    </w:pPr>
    <w:rPr>
      <w:rFonts w:eastAsiaTheme="minorHAnsi"/>
      <w:i/>
      <w:iCs/>
      <w:color w:val="0F4761" w:themeColor="accent1" w:themeShade="BF"/>
      <w:sz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A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A9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C4A9C"/>
    <w:pPr>
      <w:tabs>
        <w:tab w:val="center" w:pos="212.60pt"/>
        <w:tab w:val="end" w:pos="425.20pt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4A9C"/>
    <w:rPr>
      <w:rFonts w:eastAsiaTheme="minorEastAsia"/>
      <w:sz w:val="21"/>
      <w:lang w:val="en-GB" w:eastAsia="ja-JP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1C4A9C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footer" Target="footer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292</Words>
  <Characters>1667</Characters>
  <Application>Microsoft Office Word</Application>
  <DocSecurity>0</DocSecurity>
  <Lines>13</Lines>
  <Paragraphs>3</Paragraphs>
  <ScaleCrop>false</ScaleCrop>
  <Company>Springer Nature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2024-09-12T06:18:00Z</dcterms:created>
  <dcterms:modified xsi:type="dcterms:W3CDTF">2024-09-12T06:18:00Z</dcterms:modified>
</cp:coreProperties>
</file>