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F13A9F" w14:textId="77777777" w:rsidR="00FD61BA" w:rsidRPr="00240609" w:rsidRDefault="00FD61BA" w:rsidP="00FD61BA">
      <w:pPr>
        <w:spacing w:after="0" w:line="240" w:lineRule="auto"/>
        <w:ind w:firstLine="680"/>
        <w:rPr>
          <w:rFonts w:ascii="Times New Roman" w:hAnsi="Times New Roman"/>
          <w:b/>
          <w:bCs/>
          <w:sz w:val="24"/>
          <w:szCs w:val="24"/>
        </w:rPr>
      </w:pPr>
      <w:r w:rsidRPr="00240609">
        <w:rPr>
          <w:rFonts w:ascii="Times New Roman" w:hAnsi="Times New Roman"/>
          <w:b/>
          <w:bCs/>
          <w:sz w:val="24"/>
          <w:szCs w:val="24"/>
        </w:rPr>
        <w:t>Autobiographical Notes</w:t>
      </w:r>
    </w:p>
    <w:p w14:paraId="4F62D10F"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Assistant Professor Bahar Çiftçi,</w:t>
      </w:r>
    </w:p>
    <w:p w14:paraId="1CFB0A7D"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Bahar Çiftçi is a lecturer at Atatürk University Faculty of Nursing, Department of Nursing Principles. She graduated from Atatürk University’s Nursing Faculty in 2010. After graduation, she worked as a newborn, child, and emergency nurse. She has worked as a research assistant at Atatürk University Faculty of Nursing between 2013-218 and as an assistant professor in the Department of Nursing Principles since 2018. She received his master's degree in 2013 and his doctorate in 2018.</w:t>
      </w:r>
    </w:p>
    <w:p w14:paraId="65CE0F4F"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She teaches "basic nursing,” “nursing models," "health assessment and physical examination," "nursing ethics," "nursing process," "technology in nursing," "rational drug practices," and "Nursing values.” She also teaches postgraduate (master's) courses in the Department of Principles of Nursing. She is the author and co-author of articles, books, and other publications on the basics of nursing and has led legal research projects. She is a member of the Turkish Nurses Association.</w:t>
      </w:r>
    </w:p>
    <w:p w14:paraId="2D2E48DB" w14:textId="77777777" w:rsidR="00FD61BA" w:rsidRPr="00240609" w:rsidRDefault="00FD61BA" w:rsidP="00FD61BA">
      <w:pPr>
        <w:spacing w:after="0" w:line="240" w:lineRule="auto"/>
        <w:ind w:firstLine="680"/>
        <w:rPr>
          <w:rFonts w:ascii="Times New Roman" w:hAnsi="Times New Roman"/>
          <w:sz w:val="24"/>
          <w:szCs w:val="24"/>
        </w:rPr>
      </w:pPr>
    </w:p>
    <w:p w14:paraId="63ADB666"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1. B Çiftçi, GN Aras, Ö Yıldız (2021) Examining the correlation between intercultural sensitivity and individualized care perception of nursing students, Nurse Education Today 102, 104937</w:t>
      </w:r>
    </w:p>
    <w:p w14:paraId="1A3B53C7"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2. B Çiftçi, GN Aras (2021) Adaptation of the compassion competence scale to Turkish Perspectives in Psychiatric Care</w:t>
      </w:r>
    </w:p>
    <w:p w14:paraId="7109C245"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3. GN Aras, B Çiftçi (2021) Comparison of the effect of reinforcement with question-answer and Kahoot method on the success and motivation levels of nursing students: A quasi-experimental review Nurse Education Today 102, 104930</w:t>
      </w:r>
    </w:p>
    <w:p w14:paraId="1E6ECE20"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4. G Bahçecioğlu Turan, Z Özer, B Çiftçi (2021) Analysis of anxiety levels and attitudes of nursing students toward the nursing profession during the COVID-19 pandemic Perspectives in Psychiatric Care</w:t>
      </w:r>
    </w:p>
    <w:p w14:paraId="1BE65B3F"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5. B Çiftçi, AA Oktay, Y Erden, M Kaşıkçı (2021) Comparison of Critical Thinking Levels of Nursing Students at Two Universities and the Influencing Factors International Journal of Caring Sciences | | Page 664 14 (1), 664</w:t>
      </w:r>
    </w:p>
    <w:p w14:paraId="6F474D83"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6. Çiftçi, B., Noyan, E. N., &amp; Yıldız, G. N. (2021). How vital is altruism to nursing students? Perspectives in Psychiatric Care.</w:t>
      </w:r>
    </w:p>
    <w:p w14:paraId="1D757B53"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7. Sarıalioğlu, A., Çiftçi, B., &amp; Yıldırım, N. (2022). The transformative power of pain and posttraumatic growth in nurses with COVID-19 PCR positive. Perspectives in Psychiatric Care.</w:t>
      </w:r>
    </w:p>
    <w:p w14:paraId="3F08E5CF"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8. B Çiftçi, N Yıldırım, ÖŞ Altun, G Avşar. (2015). What level of self-care agency in mental illness? The factors affecting self-care agency and self-care agency in patients with mental illness Archives of Psychiatric Nursing 29 (6), 372-376</w:t>
      </w:r>
    </w:p>
    <w:p w14:paraId="53651B0D"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9. Çiftçi, B., &amp; Avşar, G. (2022). Impact of Continued Planned Education Provided by Clinical Nurses on Patients with Chronic Heart Failure. Iranian Red Crescent Medical Journal, 24(1).</w:t>
      </w:r>
    </w:p>
    <w:p w14:paraId="68CBAE4B"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10. Sarıalioğlu, A., Özcan, S., &amp; Çiftçi, B. (2022). The Turkish version of the Nurses' Occupational Stressor Scale: A validity and reliability study. Perspectives in Psychiatric Care, 58(4), 2927-2934.</w:t>
      </w:r>
    </w:p>
    <w:p w14:paraId="68EA54A7"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11. Çiftçi, B., Avşar, G., &amp; Sarıalioğlu, A. (2022). A psychometric assessment on patient education: Developing a satisfaction scale. Perspectives in Psychiatric Care, 58(4), 2237-2245.</w:t>
      </w:r>
    </w:p>
    <w:p w14:paraId="00BE699B"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lastRenderedPageBreak/>
        <w:t>12. M Şirin Gök, B Ciftçi (2023). Relationship between perceived social support and post-traumatic growth in coronavirus disease 2019 patients discharged from the hospital World Journal of Psychiatry 13 (4), 22-30</w:t>
      </w:r>
    </w:p>
    <w:p w14:paraId="23E6181B" w14:textId="77777777" w:rsidR="00FD61BA" w:rsidRPr="00240609" w:rsidRDefault="00FD61BA" w:rsidP="00FD61BA">
      <w:pPr>
        <w:spacing w:after="0" w:line="240" w:lineRule="auto"/>
        <w:ind w:firstLine="680"/>
        <w:rPr>
          <w:rFonts w:ascii="Times New Roman" w:hAnsi="Times New Roman"/>
          <w:sz w:val="24"/>
          <w:szCs w:val="24"/>
        </w:rPr>
      </w:pPr>
      <w:r w:rsidRPr="00240609">
        <w:rPr>
          <w:rFonts w:ascii="Times New Roman" w:hAnsi="Times New Roman"/>
          <w:sz w:val="24"/>
          <w:szCs w:val="24"/>
        </w:rPr>
        <w:t>13. A Dincer, B Çiftçi (2023). The Relatıonshıp Between Nursıng Students’ Compassıon Competencıes And Perceptıons Of Spırıtualıty And Spırıtual Care Palliative &amp; Supportive Care 21 (2), 156-164</w:t>
      </w:r>
      <w:r w:rsidRPr="00240609">
        <w:rPr>
          <w:rFonts w:ascii="Times New Roman" w:hAnsi="Times New Roman"/>
          <w:sz w:val="24"/>
          <w:szCs w:val="24"/>
        </w:rPr>
        <w:tab/>
      </w:r>
    </w:p>
    <w:p w14:paraId="4D379183" w14:textId="77777777" w:rsidR="00FD61BA" w:rsidRPr="00240609" w:rsidRDefault="00FD61BA" w:rsidP="00FD61BA">
      <w:pPr>
        <w:spacing w:after="0" w:line="240" w:lineRule="auto"/>
        <w:ind w:firstLine="680"/>
        <w:rPr>
          <w:rFonts w:asciiTheme="majorBidi" w:hAnsiTheme="majorBidi" w:cstheme="majorBidi"/>
          <w:sz w:val="24"/>
          <w:szCs w:val="24"/>
        </w:rPr>
      </w:pPr>
      <w:r w:rsidRPr="00240609">
        <w:rPr>
          <w:rFonts w:ascii="Times New Roman" w:hAnsi="Times New Roman"/>
          <w:sz w:val="24"/>
          <w:szCs w:val="24"/>
        </w:rPr>
        <w:t xml:space="preserve">14. B Çiftçi, GN Yıldız, Y Özgür. Hospital-acquired insomnia scale: A validity and </w:t>
      </w:r>
      <w:r w:rsidRPr="00240609">
        <w:rPr>
          <w:rFonts w:asciiTheme="majorBidi" w:hAnsiTheme="majorBidi" w:cstheme="majorBidi"/>
          <w:sz w:val="24"/>
          <w:szCs w:val="24"/>
        </w:rPr>
        <w:t>reliability study World Journal of Psychiatry 13 (3), 113-125.</w:t>
      </w:r>
    </w:p>
    <w:p w14:paraId="67D61B6D" w14:textId="77777777" w:rsidR="00FD61BA" w:rsidRPr="00240609" w:rsidRDefault="00FD61BA" w:rsidP="00FD61BA">
      <w:pPr>
        <w:spacing w:after="0" w:line="240" w:lineRule="auto"/>
        <w:ind w:firstLine="680"/>
        <w:rPr>
          <w:rFonts w:asciiTheme="majorBidi" w:hAnsiTheme="majorBidi" w:cstheme="majorBidi"/>
          <w:sz w:val="24"/>
          <w:szCs w:val="24"/>
        </w:rPr>
      </w:pPr>
      <w:r w:rsidRPr="00240609">
        <w:rPr>
          <w:rFonts w:asciiTheme="majorBidi" w:hAnsiTheme="majorBidi" w:cstheme="majorBidi"/>
          <w:sz w:val="24"/>
          <w:szCs w:val="24"/>
        </w:rPr>
        <w:t>15. B Çiftçi, GN Yıldız, G Avşar, S Köse, E Aydın, S Doğan, ŞN Çelik  (2023). Development Of The Thırst Dıscomfort Scale: A Valıdıty And Relıabılıty Study American Journal of Critical Care 32 (3), 156-160.</w:t>
      </w:r>
    </w:p>
    <w:p w14:paraId="1BE71C09" w14:textId="77777777" w:rsidR="00FD61BA" w:rsidRPr="00240609" w:rsidRDefault="00FD61BA" w:rsidP="00FD61BA">
      <w:pPr>
        <w:spacing w:after="0" w:line="240" w:lineRule="auto"/>
        <w:ind w:firstLine="680"/>
        <w:rPr>
          <w:rFonts w:asciiTheme="majorBidi" w:hAnsiTheme="majorBidi" w:cstheme="majorBidi"/>
          <w:color w:val="222222"/>
          <w:sz w:val="24"/>
          <w:szCs w:val="24"/>
          <w:shd w:val="clear" w:color="auto" w:fill="FFFFFF"/>
        </w:rPr>
      </w:pPr>
      <w:r w:rsidRPr="00240609">
        <w:rPr>
          <w:rFonts w:asciiTheme="majorBidi" w:hAnsiTheme="majorBidi" w:cstheme="majorBidi"/>
          <w:color w:val="222222"/>
          <w:sz w:val="24"/>
          <w:szCs w:val="24"/>
          <w:shd w:val="clear" w:color="auto" w:fill="FFFFFF"/>
        </w:rPr>
        <w:t>16. Dursun Ergezen, F., Çiftçi, B., Yalın, H., Geçkil, E., Korkmaz Doğdu, A., İlter, S. M., ... &amp; Ecevit Alpar, Ş. (2023). Missed nursing care: A cross‐sectional and multi‐centric study from Turkey. </w:t>
      </w:r>
      <w:r w:rsidRPr="00240609">
        <w:rPr>
          <w:rFonts w:asciiTheme="majorBidi" w:hAnsiTheme="majorBidi" w:cstheme="majorBidi"/>
          <w:i/>
          <w:iCs/>
          <w:color w:val="222222"/>
          <w:sz w:val="24"/>
          <w:szCs w:val="24"/>
          <w:shd w:val="clear" w:color="auto" w:fill="FFFFFF"/>
        </w:rPr>
        <w:t>International Journal of Nursing Practice</w:t>
      </w:r>
      <w:r w:rsidRPr="00240609">
        <w:rPr>
          <w:rFonts w:asciiTheme="majorBidi" w:hAnsiTheme="majorBidi" w:cstheme="majorBidi"/>
          <w:color w:val="222222"/>
          <w:sz w:val="24"/>
          <w:szCs w:val="24"/>
          <w:shd w:val="clear" w:color="auto" w:fill="FFFFFF"/>
        </w:rPr>
        <w:t>, e13187.</w:t>
      </w:r>
    </w:p>
    <w:p w14:paraId="0C2B4D47" w14:textId="77777777" w:rsidR="00FD61BA" w:rsidRPr="00240609" w:rsidRDefault="00FD61BA" w:rsidP="00FD61BA">
      <w:pPr>
        <w:spacing w:after="0" w:line="240" w:lineRule="auto"/>
        <w:ind w:firstLine="680"/>
        <w:rPr>
          <w:rFonts w:asciiTheme="majorBidi" w:hAnsiTheme="majorBidi" w:cstheme="majorBidi"/>
          <w:color w:val="222222"/>
          <w:sz w:val="24"/>
          <w:szCs w:val="24"/>
          <w:shd w:val="clear" w:color="auto" w:fill="FFFFFF"/>
        </w:rPr>
      </w:pPr>
      <w:r w:rsidRPr="00240609">
        <w:rPr>
          <w:rFonts w:asciiTheme="majorBidi" w:hAnsiTheme="majorBidi" w:cstheme="majorBidi"/>
          <w:color w:val="222222"/>
          <w:sz w:val="24"/>
          <w:szCs w:val="24"/>
          <w:shd w:val="clear" w:color="auto" w:fill="FFFFFF"/>
        </w:rPr>
        <w:t>17. Yildiz, G. N., Kaya, A., Çiftçi, B., Yildiz, Ö., &amp; Körkoca, H. (2023). A Study of Health Literacy and Social Media Use of the Students on Vaccine Preferences during COVID-19 Pandemic in Turkey. </w:t>
      </w:r>
      <w:r w:rsidRPr="00240609">
        <w:rPr>
          <w:rFonts w:asciiTheme="majorBidi" w:hAnsiTheme="majorBidi" w:cstheme="majorBidi"/>
          <w:i/>
          <w:iCs/>
          <w:color w:val="222222"/>
          <w:sz w:val="24"/>
          <w:szCs w:val="24"/>
          <w:shd w:val="clear" w:color="auto" w:fill="FFFFFF"/>
        </w:rPr>
        <w:t>Indian Journal of Public Health</w:t>
      </w:r>
      <w:r w:rsidRPr="00240609">
        <w:rPr>
          <w:rFonts w:asciiTheme="majorBidi" w:hAnsiTheme="majorBidi" w:cstheme="majorBidi"/>
          <w:color w:val="222222"/>
          <w:sz w:val="24"/>
          <w:szCs w:val="24"/>
          <w:shd w:val="clear" w:color="auto" w:fill="FFFFFF"/>
        </w:rPr>
        <w:t>, </w:t>
      </w:r>
      <w:r w:rsidRPr="00240609">
        <w:rPr>
          <w:rFonts w:asciiTheme="majorBidi" w:hAnsiTheme="majorBidi" w:cstheme="majorBidi"/>
          <w:i/>
          <w:iCs/>
          <w:color w:val="222222"/>
          <w:sz w:val="24"/>
          <w:szCs w:val="24"/>
          <w:shd w:val="clear" w:color="auto" w:fill="FFFFFF"/>
        </w:rPr>
        <w:t>67</w:t>
      </w:r>
      <w:r w:rsidRPr="00240609">
        <w:rPr>
          <w:rFonts w:asciiTheme="majorBidi" w:hAnsiTheme="majorBidi" w:cstheme="majorBidi"/>
          <w:color w:val="222222"/>
          <w:sz w:val="24"/>
          <w:szCs w:val="24"/>
          <w:shd w:val="clear" w:color="auto" w:fill="FFFFFF"/>
        </w:rPr>
        <w:t xml:space="preserve">(3), 387-392. </w:t>
      </w:r>
    </w:p>
    <w:p w14:paraId="7440659F" w14:textId="77777777" w:rsidR="00FD61BA" w:rsidRPr="00240609" w:rsidRDefault="00FD61BA" w:rsidP="00FD61BA">
      <w:pPr>
        <w:spacing w:after="0" w:line="240" w:lineRule="auto"/>
        <w:ind w:firstLine="680"/>
        <w:rPr>
          <w:rFonts w:asciiTheme="majorBidi" w:hAnsiTheme="majorBidi" w:cstheme="majorBidi"/>
          <w:color w:val="222222"/>
          <w:sz w:val="24"/>
          <w:szCs w:val="24"/>
          <w:shd w:val="clear" w:color="auto" w:fill="FFFFFF"/>
        </w:rPr>
      </w:pPr>
      <w:r w:rsidRPr="00240609">
        <w:rPr>
          <w:rFonts w:asciiTheme="majorBidi" w:hAnsiTheme="majorBidi" w:cstheme="majorBidi"/>
          <w:color w:val="222222"/>
          <w:sz w:val="24"/>
          <w:szCs w:val="24"/>
          <w:shd w:val="clear" w:color="auto" w:fill="FFFFFF"/>
        </w:rPr>
        <w:t>18. Yildirim, N., Çiftçi, B. (2023). Health Perceptıon And Healthy Lıfe Awareness Durıng The Covıd-19 Pandemıc: Turkey Profıle Study. </w:t>
      </w:r>
      <w:r w:rsidRPr="00240609">
        <w:rPr>
          <w:rFonts w:asciiTheme="majorBidi" w:hAnsiTheme="majorBidi" w:cstheme="majorBidi"/>
          <w:i/>
          <w:iCs/>
          <w:color w:val="222222"/>
          <w:sz w:val="24"/>
          <w:szCs w:val="24"/>
          <w:shd w:val="clear" w:color="auto" w:fill="FFFFFF"/>
        </w:rPr>
        <w:t>Indian Journal of Public Health</w:t>
      </w:r>
      <w:r w:rsidRPr="00240609">
        <w:rPr>
          <w:rFonts w:asciiTheme="majorBidi" w:hAnsiTheme="majorBidi" w:cstheme="majorBidi"/>
          <w:color w:val="222222"/>
          <w:sz w:val="24"/>
          <w:szCs w:val="24"/>
          <w:shd w:val="clear" w:color="auto" w:fill="FFFFFF"/>
        </w:rPr>
        <w:t>, </w:t>
      </w:r>
      <w:r w:rsidRPr="00240609">
        <w:rPr>
          <w:rFonts w:asciiTheme="majorBidi" w:hAnsiTheme="majorBidi" w:cstheme="majorBidi"/>
          <w:i/>
          <w:iCs/>
          <w:color w:val="222222"/>
          <w:sz w:val="24"/>
          <w:szCs w:val="24"/>
          <w:shd w:val="clear" w:color="auto" w:fill="FFFFFF"/>
        </w:rPr>
        <w:t>67</w:t>
      </w:r>
      <w:r w:rsidRPr="00240609">
        <w:rPr>
          <w:rFonts w:asciiTheme="majorBidi" w:hAnsiTheme="majorBidi" w:cstheme="majorBidi"/>
          <w:color w:val="222222"/>
          <w:sz w:val="24"/>
          <w:szCs w:val="24"/>
          <w:shd w:val="clear" w:color="auto" w:fill="FFFFFF"/>
        </w:rPr>
        <w:t xml:space="preserve">(4), 392-400. </w:t>
      </w:r>
    </w:p>
    <w:p w14:paraId="658773E1" w14:textId="77777777" w:rsidR="00FD61BA" w:rsidRPr="00240609" w:rsidRDefault="00FD61BA" w:rsidP="00FD61BA">
      <w:pPr>
        <w:spacing w:after="0" w:line="240" w:lineRule="auto"/>
        <w:ind w:firstLine="680"/>
        <w:rPr>
          <w:rFonts w:asciiTheme="majorBidi" w:hAnsiTheme="majorBidi" w:cstheme="majorBidi"/>
          <w:sz w:val="24"/>
          <w:szCs w:val="24"/>
        </w:rPr>
      </w:pPr>
      <w:r w:rsidRPr="00240609">
        <w:rPr>
          <w:rFonts w:asciiTheme="majorBidi" w:hAnsiTheme="majorBidi" w:cstheme="majorBidi"/>
          <w:sz w:val="24"/>
          <w:szCs w:val="24"/>
        </w:rPr>
        <w:t>19. Sirin Gok, M., Aydin, A., Baga, Y., &amp; Ciftci, B. (2024). The relationship between the psychological resilience and general health levels of earthquake survivor nursing students in Kahramanmaras earthquakes, the disaster of the century. Journal of Community Psychology.</w:t>
      </w:r>
    </w:p>
    <w:p w14:paraId="187566F7" w14:textId="77777777" w:rsidR="00FD61BA" w:rsidRPr="00240609" w:rsidRDefault="00FD61BA" w:rsidP="00FD61BA">
      <w:pPr>
        <w:spacing w:after="0" w:line="240" w:lineRule="auto"/>
        <w:ind w:firstLine="680"/>
        <w:rPr>
          <w:rFonts w:asciiTheme="majorBidi" w:hAnsiTheme="majorBidi" w:cstheme="majorBidi"/>
          <w:sz w:val="24"/>
          <w:szCs w:val="24"/>
        </w:rPr>
      </w:pPr>
      <w:r w:rsidRPr="00240609">
        <w:rPr>
          <w:rFonts w:asciiTheme="majorBidi" w:hAnsiTheme="majorBidi" w:cstheme="majorBidi"/>
          <w:sz w:val="24"/>
          <w:szCs w:val="24"/>
        </w:rPr>
        <w:t xml:space="preserve">20. Özcan, S., Çiftçi, B. (2024) What are the thoughts of postgraduate nursing students regarding the 'Applied Scientific Research' course? A Qualitative Study on Achievements, Benefits, Challenges, and Suggested Solutions To be published in: Nurse Education in Practice. Nurse Education in Practice. </w:t>
      </w:r>
    </w:p>
    <w:p w14:paraId="6AFBDE9B" w14:textId="77777777" w:rsidR="00FD61BA" w:rsidRPr="00E64102" w:rsidRDefault="00FD61BA" w:rsidP="00FD61BA">
      <w:pPr>
        <w:spacing w:after="0" w:line="240" w:lineRule="auto"/>
        <w:ind w:firstLine="680"/>
        <w:rPr>
          <w:rFonts w:asciiTheme="majorBidi" w:hAnsiTheme="majorBidi" w:cstheme="majorBidi"/>
          <w:sz w:val="24"/>
          <w:szCs w:val="24"/>
        </w:rPr>
      </w:pPr>
      <w:r w:rsidRPr="00240609">
        <w:rPr>
          <w:rFonts w:asciiTheme="majorBidi" w:hAnsiTheme="majorBidi" w:cstheme="majorBidi"/>
          <w:sz w:val="24"/>
          <w:szCs w:val="24"/>
        </w:rPr>
        <w:t>Similarly, she continues her health research.</w:t>
      </w:r>
      <w:r w:rsidRPr="00E64102">
        <w:rPr>
          <w:rFonts w:asciiTheme="majorBidi" w:hAnsiTheme="majorBidi" w:cstheme="majorBidi"/>
          <w:sz w:val="24"/>
          <w:szCs w:val="24"/>
        </w:rPr>
        <w:t xml:space="preserve"> </w:t>
      </w:r>
    </w:p>
    <w:p w14:paraId="1AD26C02" w14:textId="77777777" w:rsidR="00E8638D" w:rsidRDefault="00E8638D"/>
    <w:sectPr w:rsidR="00E863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1BA"/>
    <w:rsid w:val="000C76F0"/>
    <w:rsid w:val="00A87E68"/>
    <w:rsid w:val="00E8638D"/>
    <w:rsid w:val="00FD61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68976"/>
  <w15:chartTrackingRefBased/>
  <w15:docId w15:val="{AED7AB2D-8676-439A-9A13-48310D95D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61BA"/>
    <w:pPr>
      <w:spacing w:after="200" w:line="276" w:lineRule="auto"/>
    </w:pPr>
    <w:rPr>
      <w:rFonts w:ascii="Calibri" w:eastAsia="Calibri" w:hAnsi="Calibri" w:cs="Times New Roman"/>
      <w:kern w:val="0"/>
      <w:sz w:val="22"/>
      <w:szCs w:val="22"/>
      <w:lang w:val="tr-TR"/>
      <w14:ligatures w14:val="none"/>
    </w:rPr>
  </w:style>
  <w:style w:type="paragraph" w:styleId="Heading1">
    <w:name w:val="heading 1"/>
    <w:basedOn w:val="Normal"/>
    <w:next w:val="Normal"/>
    <w:link w:val="Heading1Char"/>
    <w:uiPriority w:val="9"/>
    <w:qFormat/>
    <w:rsid w:val="00FD61B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FD61B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FD61B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FD61B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FD61B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FD61BA"/>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FD61BA"/>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FD61BA"/>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FD61BA"/>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61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61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61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61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61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61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61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61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61BA"/>
    <w:rPr>
      <w:rFonts w:eastAsiaTheme="majorEastAsia" w:cstheme="majorBidi"/>
      <w:color w:val="272727" w:themeColor="text1" w:themeTint="D8"/>
    </w:rPr>
  </w:style>
  <w:style w:type="paragraph" w:styleId="Title">
    <w:name w:val="Title"/>
    <w:basedOn w:val="Normal"/>
    <w:next w:val="Normal"/>
    <w:link w:val="TitleChar"/>
    <w:uiPriority w:val="10"/>
    <w:qFormat/>
    <w:rsid w:val="00FD61BA"/>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FD61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61B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FD61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61B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FD61BA"/>
    <w:rPr>
      <w:i/>
      <w:iCs/>
      <w:color w:val="404040" w:themeColor="text1" w:themeTint="BF"/>
    </w:rPr>
  </w:style>
  <w:style w:type="paragraph" w:styleId="ListParagraph">
    <w:name w:val="List Paragraph"/>
    <w:basedOn w:val="Normal"/>
    <w:uiPriority w:val="34"/>
    <w:qFormat/>
    <w:rsid w:val="00FD61BA"/>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FD61BA"/>
    <w:rPr>
      <w:i/>
      <w:iCs/>
      <w:color w:val="0F4761" w:themeColor="accent1" w:themeShade="BF"/>
    </w:rPr>
  </w:style>
  <w:style w:type="paragraph" w:styleId="IntenseQuote">
    <w:name w:val="Intense Quote"/>
    <w:basedOn w:val="Normal"/>
    <w:next w:val="Normal"/>
    <w:link w:val="IntenseQuoteChar"/>
    <w:uiPriority w:val="30"/>
    <w:qFormat/>
    <w:rsid w:val="00FD61B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FD61BA"/>
    <w:rPr>
      <w:i/>
      <w:iCs/>
      <w:color w:val="0F4761" w:themeColor="accent1" w:themeShade="BF"/>
    </w:rPr>
  </w:style>
  <w:style w:type="character" w:styleId="IntenseReference">
    <w:name w:val="Intense Reference"/>
    <w:basedOn w:val="DefaultParagraphFont"/>
    <w:uiPriority w:val="32"/>
    <w:qFormat/>
    <w:rsid w:val="00FD61B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773</Words>
  <Characters>4412</Characters>
  <Application>Microsoft Office Word</Application>
  <DocSecurity>0</DocSecurity>
  <Lines>36</Lines>
  <Paragraphs>10</Paragraphs>
  <ScaleCrop>false</ScaleCrop>
  <Company/>
  <LinksUpToDate>false</LinksUpToDate>
  <CharactersWithSpaces>5175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2024-09-05T03:52:00Z</dcterms:created>
  <dcterms:modified xsi:type="dcterms:W3CDTF">2024-09-05T03:52:00Z</dcterms:modified>
</cp:coreProperties>
</file>