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Times New Roman Regular" w:hAnsi="Times New Roman Regular" w:cs="Times New Roman Regular"/>
          <w:b/>
          <w:bCs/>
          <w:sz w:val="20"/>
          <w:szCs w:val="20"/>
        </w:rPr>
        <w:t>Supplement</w:t>
      </w:r>
      <w:bookmarkEnd w:id="0"/>
      <w:r>
        <w:rPr>
          <w:rFonts w:hint="eastAsia" w:ascii="Times New Roman Regular" w:hAnsi="Times New Roman Regular" w:cs="Times New Roman Regular"/>
          <w:b/>
          <w:bCs/>
          <w:sz w:val="20"/>
          <w:szCs w:val="20"/>
        </w:rPr>
        <w:t xml:space="preserve"> Table 1. </w:t>
      </w:r>
      <w:r>
        <w:rPr>
          <w:rFonts w:ascii="Times New Roman Regular" w:hAnsi="Times New Roman Regular" w:cs="Times New Roman Regular"/>
          <w:b/>
          <w:bCs/>
          <w:sz w:val="20"/>
          <w:szCs w:val="20"/>
        </w:rPr>
        <w:t xml:space="preserve"> </w:t>
      </w:r>
      <w:r>
        <w:rPr>
          <w:rFonts w:hint="eastAsia" w:ascii="Times New Roman Regular" w:hAnsi="Times New Roman Regular" w:cs="Times New Roman Regular"/>
          <w:b/>
          <w:bCs/>
          <w:sz w:val="20"/>
          <w:szCs w:val="20"/>
        </w:rPr>
        <w:t>Demographic and clinical parameters according to OS</w:t>
      </w:r>
      <w:r>
        <w:rPr>
          <w:rFonts w:ascii="Times New Roman Regular" w:hAnsi="Times New Roman Regular" w:cs="Times New Roman Regular"/>
          <w:b/>
          <w:bCs/>
          <w:sz w:val="20"/>
          <w:szCs w:val="20"/>
        </w:rPr>
        <w:t xml:space="preserve">. 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698"/>
        <w:gridCol w:w="1653"/>
        <w:gridCol w:w="1706"/>
        <w:gridCol w:w="1069"/>
      </w:tblGrid>
      <w:tr>
        <w:trPr>
          <w:trHeight w:val="336" w:hRule="atLeast"/>
        </w:trPr>
        <w:tc>
          <w:tcPr>
            <w:tcW w:w="1370" w:type="pct"/>
            <w:tcBorders>
              <w:top w:val="single" w:color="auto" w:sz="12" w:space="0"/>
              <w:bottom w:val="single" w:color="auto" w:sz="6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1005" w:type="pct"/>
            <w:tcBorders>
              <w:top w:val="single" w:color="auto" w:sz="12" w:space="0"/>
              <w:bottom w:val="single" w:color="auto" w:sz="6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Total</w:t>
            </w:r>
          </w:p>
        </w:tc>
        <w:tc>
          <w:tcPr>
            <w:tcW w:w="978" w:type="pct"/>
            <w:tcBorders>
              <w:top w:val="single" w:color="auto" w:sz="12" w:space="0"/>
              <w:bottom w:val="single" w:color="auto" w:sz="6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Alive</w:t>
            </w:r>
          </w:p>
        </w:tc>
        <w:tc>
          <w:tcPr>
            <w:tcW w:w="1009" w:type="pct"/>
            <w:tcBorders>
              <w:top w:val="single" w:color="auto" w:sz="12" w:space="0"/>
              <w:bottom w:val="single" w:color="auto" w:sz="6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Dead</w:t>
            </w:r>
          </w:p>
        </w:tc>
        <w:tc>
          <w:tcPr>
            <w:tcW w:w="635" w:type="pct"/>
            <w:tcBorders>
              <w:top w:val="single" w:color="auto" w:sz="12" w:space="0"/>
              <w:bottom w:val="single" w:color="auto" w:sz="6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single" w:color="auto" w:sz="6" w:space="0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Age(years)</w:t>
            </w:r>
          </w:p>
        </w:tc>
        <w:tc>
          <w:tcPr>
            <w:tcW w:w="1005" w:type="pct"/>
            <w:tcBorders>
              <w:top w:val="single" w:color="auto" w:sz="6" w:space="0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44.71±0.38</w:t>
            </w:r>
          </w:p>
        </w:tc>
        <w:tc>
          <w:tcPr>
            <w:tcW w:w="978" w:type="pct"/>
            <w:tcBorders>
              <w:top w:val="single" w:color="auto" w:sz="6" w:space="0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40.71±0.36</w:t>
            </w:r>
          </w:p>
        </w:tc>
        <w:tc>
          <w:tcPr>
            <w:tcW w:w="1009" w:type="pct"/>
            <w:tcBorders>
              <w:top w:val="single" w:color="auto" w:sz="6" w:space="0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62.11±0.72</w:t>
            </w:r>
          </w:p>
        </w:tc>
        <w:tc>
          <w:tcPr>
            <w:tcW w:w="635" w:type="pct"/>
            <w:tcBorders>
              <w:top w:val="single" w:color="auto" w:sz="6" w:space="0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Age,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&lt;40 years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40.49(0.02)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47.87(1.43)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8.39(1.29)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&gt;=40 years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59.51(0.03)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52.13(1.43)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91.61(1.29)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Race,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Non-Hispanic White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73.71(0.05)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72.55(2.01)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78.73(2.36)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Non-Hispanic Black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9.83(0.01)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9.56(1.15)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11.02(1.20)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Mexican Ameirican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7.84(0.01)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8.78(1.10)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3.75(1.09)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Other Race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8.62(0.01)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9.11(1.27)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6.49(1.55)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Marital status,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0.35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Solitude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30.76(0.01)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30.49(1.26)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32.13(1.87)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Cohabitation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69.13(0.04)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69.51(1.26)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67.87(1.87)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PIR,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＜1.3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16.04(0.01)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16.01(1.15)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20.72(1.53)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1.3~3.5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33.89(0.02)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33.99(1.17)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43.09(1.68)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≥3.5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45.13(0.02)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50.00(1.61)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36.19(2.10)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BMI,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＜25kg/m2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29.19(0.02)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29.95(0.93)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28.08(1.79)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25~30kg/m2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40.54(0.02)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41.40(1.14)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39.83(2.24)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≥30kg/m2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28.87(0.01)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28.65(0.98)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32.09(1.38)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Education level,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Less than or high school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43.84(0.02)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41.40(1.26)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54.63(2.06)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Above high school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56.09(0.02)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58.60(1.26)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45.37(2.06)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Smoking status,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Never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42.93(0.02)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47.21(1.46)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24.36(1.76)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Former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28.75(0.02)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24.57(1.07)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46.99(2.01)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Current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28.30(0.02)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28.23(0.96)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28.66(2.38)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Vigorous activity,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57.63(0.03)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54.25(1.42)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72.34(1.88)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39.49(0.02)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44.37(1.36)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18.26(1.78)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Unable to do activity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2.88(0.00)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1.38(0.27)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9.41(1.41)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Moderate activity,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42.36(0.02)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41.33(1.16)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46.96(2.03)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55.68(0.03)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57.81(1.17)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46.60(1.91)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Unable to do activity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1.91(0.00)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0.87(0.21)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6.43(1.11)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DM,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89.63(0.04)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93.67(0.58)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72.08(1.48)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10.37(0.01)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6.33(0.58)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27.92(1.48)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CVD,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90.98(0.04)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95.67(0.52)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70.67(1.85)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8.99(0.01)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4.33(0.52)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29.33(1.85)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Hypertension,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65.50(0.03)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71.55(1.09)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39.58(1.77)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34.36(0.02)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28.45(1.09)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60.42(1.77)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Anemia,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94.99(0.04)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98.85(0.21)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91.29(0.74)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2.49(0.00)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1.15(0.21)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8.71(0.74)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Cancer, n (%)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93.55(0.04)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96.16(0.41)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82.52(1.38)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6.38(0.01)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3.84(0.41)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17.48(1.38)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MetS, n (%) 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74.72(0.03)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78.18(0.88)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59.63(1.59)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25.28(0.02)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21.82(0.88)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40.37(1.59)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ED, n (%) 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rPr>
                <w:rFonts w:cs="宋体"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81.36(0.03)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88.41(0.67)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50.67(2.34)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cs="宋体"/>
                <w:color w:val="000000"/>
                <w:sz w:val="18"/>
                <w:szCs w:val="18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18.64(0.01)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11.59(0.67)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49.33(2.34)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Magnesium intake(mg)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327.77±4.08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337.74±4.61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284.39±6.41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Albumin (g/L)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43.83±0.08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44.23±0.08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42.08±0.12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Total energy (kcal)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2665.12±24.69</w:t>
            </w: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2774.25±29.03</w:t>
            </w: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2190.19±33.79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Group</w:t>
            </w:r>
          </w:p>
        </w:tc>
        <w:tc>
          <w:tcPr>
            <w:tcW w:w="100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8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9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>
        <w:trPr>
          <w:trHeight w:val="324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698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36.86(0.02)</w:t>
            </w:r>
          </w:p>
        </w:tc>
        <w:tc>
          <w:tcPr>
            <w:tcW w:w="1653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41.94(1.80)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14.76(1.55)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98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44.50(0.02)</w:t>
            </w:r>
          </w:p>
        </w:tc>
        <w:tc>
          <w:tcPr>
            <w:tcW w:w="1653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46.47(1.80)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35.91(2.08)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98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4.17(0.00)</w:t>
            </w:r>
          </w:p>
        </w:tc>
        <w:tc>
          <w:tcPr>
            <w:tcW w:w="1653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3.95(0.42)</w:t>
            </w:r>
          </w:p>
        </w:tc>
        <w:tc>
          <w:tcPr>
            <w:tcW w:w="1706" w:type="dxa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5.12(0.88)</w:t>
            </w:r>
          </w:p>
        </w:tc>
        <w:tc>
          <w:tcPr>
            <w:tcW w:w="635" w:type="pct"/>
            <w:tcBorders>
              <w:top w:val="nil"/>
              <w:bottom w:val="nil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rPr>
          <w:trHeight w:val="336" w:hRule="atLeast"/>
        </w:trPr>
        <w:tc>
          <w:tcPr>
            <w:tcW w:w="1370" w:type="pct"/>
            <w:tcBorders>
              <w:top w:val="nil"/>
              <w:bottom w:val="single" w:color="auto" w:sz="12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98" w:type="dxa"/>
            <w:tcBorders>
              <w:top w:val="nil"/>
              <w:bottom w:val="single" w:color="auto" w:sz="12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14.47(0.01)</w:t>
            </w:r>
          </w:p>
        </w:tc>
        <w:tc>
          <w:tcPr>
            <w:tcW w:w="1653" w:type="dxa"/>
            <w:tcBorders>
              <w:top w:val="nil"/>
              <w:bottom w:val="single" w:color="auto" w:sz="12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7.64(0.57)</w:t>
            </w:r>
          </w:p>
        </w:tc>
        <w:tc>
          <w:tcPr>
            <w:tcW w:w="1706" w:type="dxa"/>
            <w:tcBorders>
              <w:top w:val="nil"/>
              <w:bottom w:val="single" w:color="auto" w:sz="12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44.21(2.29)</w:t>
            </w:r>
          </w:p>
        </w:tc>
        <w:tc>
          <w:tcPr>
            <w:tcW w:w="635" w:type="pct"/>
            <w:tcBorders>
              <w:top w:val="nil"/>
              <w:bottom w:val="single" w:color="auto" w:sz="12" w:space="0"/>
            </w:tcBorders>
            <w:shd w:val="clear" w:color="auto" w:fill="F8F8F0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/>
    <w:p/>
    <w:p>
      <w:pPr>
        <w:pStyle w:val="2"/>
        <w:rPr>
          <w:b/>
          <w:bCs/>
          <w:szCs w:val="20"/>
        </w:rPr>
      </w:pPr>
      <w:r>
        <w:rPr>
          <w:rFonts w:hint="eastAsia" w:ascii="Times New Roman Regular" w:hAnsi="Times New Roman Regular" w:cs="Times New Roman Regular"/>
          <w:b/>
          <w:bCs/>
          <w:szCs w:val="20"/>
        </w:rPr>
        <w:t>Supplement Table 2</w:t>
      </w:r>
      <w:r>
        <w:rPr>
          <w:rFonts w:ascii="Times New Roman Regular" w:hAnsi="Times New Roman Regular" w:cs="Times New Roman Regular"/>
          <w:b/>
          <w:bCs/>
          <w:szCs w:val="20"/>
        </w:rPr>
        <w:t>.</w:t>
      </w:r>
      <w:r>
        <w:rPr>
          <w:rFonts w:hint="eastAsia"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 xml:space="preserve"> </w:t>
      </w:r>
      <w:r>
        <w:rPr>
          <w:rFonts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 xml:space="preserve"> S</w:t>
      </w:r>
      <w:r>
        <w:rPr>
          <w:rFonts w:hint="eastAsia"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>ensitive association between MDS and ED.</w:t>
      </w:r>
    </w:p>
    <w:tbl>
      <w:tblPr>
        <w:tblStyle w:val="3"/>
        <w:tblW w:w="6130" w:type="dxa"/>
        <w:tblInd w:w="88" w:type="dxa"/>
        <w:shd w:val="clear" w:color="auto" w:fill="EEECE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715"/>
        <w:gridCol w:w="1715"/>
      </w:tblGrid>
      <w:tr>
        <w:trPr>
          <w:trHeight w:val="336" w:hRule="atLeast"/>
        </w:trPr>
        <w:tc>
          <w:tcPr>
            <w:tcW w:w="270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Analysis </w:t>
            </w:r>
          </w:p>
        </w:tc>
        <w:tc>
          <w:tcPr>
            <w:tcW w:w="171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OR(95%CI)</w:t>
            </w:r>
          </w:p>
        </w:tc>
        <w:tc>
          <w:tcPr>
            <w:tcW w:w="171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Unmatched.crude</w:t>
            </w:r>
          </w:p>
        </w:tc>
        <w:tc>
          <w:tcPr>
            <w:tcW w:w="171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3.51 (2.93~4.21)</w:t>
            </w:r>
          </w:p>
        </w:tc>
        <w:tc>
          <w:tcPr>
            <w:tcW w:w="171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Multivariable.adjusted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1.61 (1.29~2.01)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PropensityScore.adjusted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1.58 (1.29~1.94)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PropensityScore.Matched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1.47 (1.17~1.85)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Weighted.IPTW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1.67 (1.41~1.97)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Weighted.SMRW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1.84 (1.57~2.15)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Weighted.PA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1.56 (1.23~1.97)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Weighted.Ow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1.56 (1.18~2.08)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</w:tr>
    </w:tbl>
    <w:p/>
    <w:p>
      <w:pPr>
        <w:pStyle w:val="2"/>
        <w:rPr>
          <w:b/>
          <w:bCs/>
          <w:szCs w:val="20"/>
        </w:rPr>
      </w:pPr>
      <w:r>
        <w:rPr>
          <w:rFonts w:hint="eastAsia" w:ascii="Times New Roman Regular" w:hAnsi="Times New Roman Regular" w:cs="Times New Roman Regular"/>
          <w:b/>
          <w:bCs/>
          <w:szCs w:val="20"/>
        </w:rPr>
        <w:t xml:space="preserve">Supplement Table </w:t>
      </w:r>
      <w:r>
        <w:rPr>
          <w:rFonts w:ascii="Times New Roman Regular" w:hAnsi="Times New Roman Regular" w:cs="Times New Roman Regular"/>
          <w:b/>
          <w:bCs/>
          <w:szCs w:val="20"/>
        </w:rPr>
        <w:t>3.</w:t>
      </w:r>
      <w:r>
        <w:rPr>
          <w:rFonts w:hint="eastAsia"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 xml:space="preserve"> </w:t>
      </w:r>
      <w:r>
        <w:rPr>
          <w:rFonts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 xml:space="preserve"> S</w:t>
      </w:r>
      <w:r>
        <w:rPr>
          <w:rFonts w:hint="eastAsia" w:ascii="Times New Roman Regular" w:hAnsi="Times New Roman Regular" w:eastAsia="宋体" w:cs="Times New Roman Regular"/>
          <w:b/>
          <w:bCs/>
          <w:color w:val="000000"/>
          <w:kern w:val="0"/>
          <w:szCs w:val="20"/>
          <w:lang w:bidi="ar"/>
        </w:rPr>
        <w:t>ensitive association between MDS and mortarity.</w:t>
      </w:r>
    </w:p>
    <w:tbl>
      <w:tblPr>
        <w:tblStyle w:val="3"/>
        <w:tblW w:w="6130" w:type="dxa"/>
        <w:tblInd w:w="88" w:type="dxa"/>
        <w:shd w:val="clear" w:color="auto" w:fill="EEECE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715"/>
        <w:gridCol w:w="1715"/>
      </w:tblGrid>
      <w:tr>
        <w:trPr>
          <w:trHeight w:val="336" w:hRule="atLeast"/>
        </w:trPr>
        <w:tc>
          <w:tcPr>
            <w:tcW w:w="270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Analysis </w:t>
            </w:r>
          </w:p>
        </w:tc>
        <w:tc>
          <w:tcPr>
            <w:tcW w:w="171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HR(95%CI)</w:t>
            </w:r>
          </w:p>
        </w:tc>
        <w:tc>
          <w:tcPr>
            <w:tcW w:w="171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P(Wald's test)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Unmatched.crude</w:t>
            </w:r>
          </w:p>
        </w:tc>
        <w:tc>
          <w:tcPr>
            <w:tcW w:w="171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3.57 (2.65,4.82) </w:t>
            </w:r>
          </w:p>
        </w:tc>
        <w:tc>
          <w:tcPr>
            <w:tcW w:w="171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Multivariable.adjusted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1.94 (1.41,2.66)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PropensityScore.adjusted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1.8 (1.31,2.46)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PropensityScore.Matched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1.91 (1.31,2.77)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Weighted.IPTW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2.22 (1.68,2.93)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Weighted.SMRW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2.4 (1.82,3.16)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&lt; 0.001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Weighted.PA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1.67 (1.14,2.46)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</w:tr>
      <w:tr>
        <w:trPr>
          <w:trHeight w:val="336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Weighted.Ow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1.71 (1.1,2.66) 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EECE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FCB17"/>
    <w:rsid w:val="7CFFC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Office_5.3.0.7932_F1E327BC-269C-435d-A152-05C5408002CA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2024-08-21T23:06:00Z</dcterms:created>
  <dc:creator>小豹陈</dc:creator>
  <cp:lastModifiedBy>小豹陈</cp:lastModifiedBy>
  <dcterms:modified xsi:type="dcterms:W3CDTF">2024-08-21T23:07:01Z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2052-5.3.0.7932</vt:lpwstr>
  </property>
</Properties>
</file>