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9FACE" w14:textId="6115D04B" w:rsidR="002F0EB7" w:rsidRDefault="00D35733" w:rsidP="00D357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5733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09742AA2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</w:pPr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>Enzyme</w:t>
      </w:r>
      <w:r w:rsidRPr="00D35733">
        <w:rPr>
          <w:rFonts w:ascii="Times New Roman" w:eastAsia="宋体" w:hAnsi="Times New Roman" w:cs="Times New Roman" w:hint="eastAsia"/>
          <w:b/>
          <w:bCs/>
          <w:sz w:val="28"/>
          <w:szCs w:val="28"/>
          <w14:ligatures w14:val="none"/>
        </w:rPr>
        <w:t>-</w:t>
      </w:r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 xml:space="preserve"> and GSH</w:t>
      </w:r>
      <w:r w:rsidRPr="00D35733">
        <w:rPr>
          <w:rFonts w:ascii="Times New Roman" w:eastAsia="宋体" w:hAnsi="Times New Roman" w:cs="Times New Roman" w:hint="eastAsia"/>
          <w:b/>
          <w:bCs/>
          <w:sz w:val="28"/>
          <w:szCs w:val="28"/>
          <w14:ligatures w14:val="none"/>
        </w:rPr>
        <w:t>-</w:t>
      </w:r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 xml:space="preserve">responsive </w:t>
      </w:r>
      <w:r w:rsidRPr="00D35733">
        <w:rPr>
          <w:rFonts w:ascii="Times New Roman" w:eastAsia="宋体" w:hAnsi="Times New Roman" w:cs="Times New Roman" w:hint="eastAsia"/>
          <w:b/>
          <w:bCs/>
          <w:sz w:val="28"/>
          <w:szCs w:val="28"/>
          <w14:ligatures w14:val="none"/>
        </w:rPr>
        <w:t>g</w:t>
      </w:r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 xml:space="preserve">elatin coated </w:t>
      </w:r>
      <w:bookmarkStart w:id="0" w:name="_Hlk168063280"/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>magnetic multi-shell hollow mesoporous</w:t>
      </w:r>
      <w:bookmarkEnd w:id="0"/>
      <w:r w:rsidRPr="00D35733">
        <w:rPr>
          <w:rFonts w:ascii="Times New Roman" w:eastAsia="宋体" w:hAnsi="Times New Roman" w:cs="Times New Roman"/>
          <w:b/>
          <w:bCs/>
          <w:sz w:val="28"/>
          <w:szCs w:val="28"/>
          <w14:ligatures w14:val="none"/>
        </w:rPr>
        <w:t xml:space="preserve"> organosilicon nanoparticles for avermectin </w:t>
      </w:r>
      <w:r w:rsidRPr="00D35733">
        <w:rPr>
          <w:rFonts w:ascii="Times New Roman" w:eastAsia="宋体" w:hAnsi="Times New Roman" w:cs="Times New Roman" w:hint="eastAsia"/>
          <w:b/>
          <w:bCs/>
          <w:sz w:val="28"/>
          <w:szCs w:val="28"/>
          <w14:ligatures w14:val="none"/>
        </w:rPr>
        <w:t>controlled-release</w:t>
      </w:r>
    </w:p>
    <w:p w14:paraId="489436C8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proofErr w:type="spellStart"/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Jiazhen</w:t>
      </w:r>
      <w:proofErr w:type="spellEnd"/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proofErr w:type="spellStart"/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Gao</w:t>
      </w:r>
      <w:r w:rsidRPr="00D357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a</w:t>
      </w:r>
      <w:proofErr w:type="spellEnd"/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, </w:t>
      </w:r>
      <w:proofErr w:type="spellStart"/>
      <w:r w:rsidRPr="00D35733">
        <w:rPr>
          <w:rFonts w:ascii="Times New Roman" w:eastAsia="宋体" w:hAnsi="Times New Roman" w:cs="Times New Roman"/>
          <w:sz w:val="24"/>
          <w14:ligatures w14:val="none"/>
        </w:rPr>
        <w:t>P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eng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yu</w:t>
      </w:r>
      <w:proofErr w:type="spellEnd"/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proofErr w:type="spellStart"/>
      <w:r w:rsidRPr="00D35733">
        <w:rPr>
          <w:rFonts w:ascii="Times New Roman" w:eastAsia="宋体" w:hAnsi="Times New Roman" w:cs="Times New Roman"/>
          <w:sz w:val="24"/>
          <w14:ligatures w14:val="none"/>
        </w:rPr>
        <w:t>Luo</w:t>
      </w:r>
      <w:r w:rsidRPr="00D357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b</w:t>
      </w:r>
      <w:proofErr w:type="spellEnd"/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, </w:t>
      </w:r>
      <w:proofErr w:type="spellStart"/>
      <w:r w:rsidRPr="00D35733">
        <w:rPr>
          <w:rFonts w:ascii="Times New Roman" w:eastAsia="宋体" w:hAnsi="Times New Roman" w:cs="Times New Roman"/>
          <w:sz w:val="24"/>
          <w14:ligatures w14:val="none"/>
        </w:rPr>
        <w:t>Siqiang</w:t>
      </w:r>
      <w:proofErr w:type="spellEnd"/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proofErr w:type="spellStart"/>
      <w:r w:rsidRPr="00D35733">
        <w:rPr>
          <w:rFonts w:ascii="Times New Roman" w:eastAsia="宋体" w:hAnsi="Times New Roman" w:cs="Times New Roman"/>
          <w:sz w:val="24"/>
          <w14:ligatures w14:val="none"/>
        </w:rPr>
        <w:t>Shen</w:t>
      </w:r>
      <w:r w:rsidRPr="00D357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c</w:t>
      </w:r>
      <w:proofErr w:type="spellEnd"/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,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Ying </w:t>
      </w:r>
      <w:proofErr w:type="spellStart"/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Liu</w:t>
      </w:r>
      <w:r w:rsidRPr="00D357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a</w:t>
      </w:r>
      <w:proofErr w:type="spellEnd"/>
      <w:r w:rsidRPr="00D35733">
        <w:rPr>
          <w:rFonts w:ascii="Times New Roman" w:eastAsia="宋体" w:hAnsi="Times New Roman" w:cs="Times New Roman" w:hint="eastAsia"/>
          <w:sz w:val="24"/>
          <w:vertAlign w:val="superscript"/>
          <w14:ligatures w14:val="none"/>
        </w:rPr>
        <w:t xml:space="preserve">,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*, Xiaoyun Li</w:t>
      </w:r>
      <w:r w:rsidRPr="00D357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a</w:t>
      </w:r>
      <w:r w:rsidRPr="00D35733">
        <w:rPr>
          <w:rFonts w:ascii="Times New Roman" w:eastAsia="宋体" w:hAnsi="Times New Roman" w:cs="Times New Roman" w:hint="eastAsia"/>
          <w:sz w:val="24"/>
          <w:vertAlign w:val="superscript"/>
          <w14:ligatures w14:val="none"/>
        </w:rPr>
        <w:t xml:space="preserve">,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*, Xiaoying Wang</w:t>
      </w:r>
      <w:r w:rsidRPr="00D35733">
        <w:rPr>
          <w:rFonts w:ascii="Times New Roman" w:eastAsia="宋体" w:hAnsi="Times New Roman" w:cs="Times New Roman" w:hint="eastAsia"/>
          <w:sz w:val="24"/>
          <w:vertAlign w:val="superscript"/>
          <w14:ligatures w14:val="none"/>
        </w:rPr>
        <w:t>a</w:t>
      </w:r>
    </w:p>
    <w:p w14:paraId="79067DC1" w14:textId="77777777" w:rsidR="00D35733" w:rsidRPr="00D35733" w:rsidRDefault="00D35733" w:rsidP="00D35733">
      <w:pPr>
        <w:spacing w:line="360" w:lineRule="auto"/>
        <w:rPr>
          <w:rFonts w:ascii="Times New Roman" w:eastAsia="宋体" w:hAnsi="Times New Roman" w:cs="Times New Roman"/>
          <w:sz w:val="24"/>
          <w14:ligatures w14:val="none"/>
        </w:rPr>
      </w:pPr>
    </w:p>
    <w:p w14:paraId="091352EC" w14:textId="77777777" w:rsidR="00D35733" w:rsidRPr="00D35733" w:rsidRDefault="00D35733" w:rsidP="00D35733">
      <w:pPr>
        <w:spacing w:line="360" w:lineRule="auto"/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</w:pPr>
      <w:proofErr w:type="spellStart"/>
      <w:r w:rsidRPr="00D35733">
        <w:rPr>
          <w:rFonts w:ascii="Times New Roman" w:eastAsia="宋体" w:hAnsi="Times New Roman" w:cs="Times New Roman"/>
          <w:bCs/>
          <w:i/>
          <w:iCs/>
          <w:sz w:val="24"/>
          <w:vertAlign w:val="superscript"/>
          <w14:ligatures w14:val="none"/>
        </w:rPr>
        <w:t>a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State</w:t>
      </w:r>
      <w:proofErr w:type="spellEnd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 Key Laboratory of Pulp and Paper Engineering, </w:t>
      </w:r>
      <w:bookmarkStart w:id="1" w:name="OLE_LINK42"/>
      <w:bookmarkStart w:id="2" w:name="OLE_LINK43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South China University of Technology</w:t>
      </w:r>
      <w:bookmarkEnd w:id="1"/>
      <w:bookmarkEnd w:id="2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, </w:t>
      </w:r>
      <w:bookmarkStart w:id="3" w:name="OLE_LINK55"/>
      <w:bookmarkStart w:id="4" w:name="OLE_LINK54"/>
      <w:bookmarkStart w:id="5" w:name="OLE_LINK48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381 Wushan Road, Guangzhou, 510640, China</w:t>
      </w:r>
      <w:bookmarkEnd w:id="3"/>
      <w:bookmarkEnd w:id="4"/>
      <w:bookmarkEnd w:id="5"/>
    </w:p>
    <w:p w14:paraId="4560DA50" w14:textId="77777777" w:rsidR="00D35733" w:rsidRPr="00D35733" w:rsidRDefault="00D35733" w:rsidP="00D35733">
      <w:pPr>
        <w:spacing w:line="360" w:lineRule="auto"/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</w:pPr>
      <w:proofErr w:type="spellStart"/>
      <w:r w:rsidRPr="00D35733">
        <w:rPr>
          <w:rFonts w:ascii="Times New Roman" w:eastAsia="宋体" w:hAnsi="Times New Roman" w:cs="Times New Roman"/>
          <w:bCs/>
          <w:i/>
          <w:iCs/>
          <w:sz w:val="24"/>
          <w:vertAlign w:val="superscript"/>
          <w14:ligatures w14:val="none"/>
        </w:rPr>
        <w:t>b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Guangzhou</w:t>
      </w:r>
      <w:proofErr w:type="spellEnd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 Furui High Energy Technology Co., Ltd., Guangdong Industrial 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:vertAlign w:val="superscript"/>
          <w14:ligatures w14:val="none"/>
        </w:rPr>
        <w:t>60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Co Gamma Ray Application Engineering Technology Research Center,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 xml:space="preserve"> Guangzhou, 511458, China</w:t>
      </w:r>
    </w:p>
    <w:p w14:paraId="2FA3F9D8" w14:textId="77777777" w:rsidR="00D35733" w:rsidRPr="00D35733" w:rsidRDefault="00D35733" w:rsidP="00D35733">
      <w:pPr>
        <w:spacing w:line="360" w:lineRule="auto"/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</w:pPr>
      <w:proofErr w:type="spellStart"/>
      <w:r w:rsidRPr="00D35733">
        <w:rPr>
          <w:rFonts w:ascii="Times New Roman" w:eastAsia="宋体" w:hAnsi="Times New Roman" w:cs="Times New Roman"/>
          <w:bCs/>
          <w:i/>
          <w:iCs/>
          <w:sz w:val="24"/>
          <w:vertAlign w:val="superscript"/>
          <w14:ligatures w14:val="none"/>
        </w:rPr>
        <w:t>c</w:t>
      </w:r>
      <w:bookmarkStart w:id="6" w:name="OLE_LINK14"/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Guangzhou</w:t>
      </w:r>
      <w:proofErr w:type="spellEnd"/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F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ruit Science Research Institute, 4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33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 xml:space="preserve"> </w:t>
      </w:r>
      <w:proofErr w:type="spellStart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B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aiyun</w:t>
      </w:r>
      <w:proofErr w:type="spellEnd"/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 Avenue South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 xml:space="preserve">, Guangzhou, 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510422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, China</w:t>
      </w:r>
      <w:bookmarkEnd w:id="6"/>
    </w:p>
    <w:p w14:paraId="40B49196" w14:textId="77777777" w:rsidR="00D35733" w:rsidRPr="00D35733" w:rsidRDefault="00D35733" w:rsidP="00D35733">
      <w:pPr>
        <w:spacing w:line="360" w:lineRule="auto"/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bCs/>
          <w:i/>
          <w:iCs/>
          <w:sz w:val="24"/>
          <w:vertAlign w:val="superscript"/>
          <w14:ligatures w14:val="none"/>
        </w:rPr>
        <w:t xml:space="preserve">* 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Corresponding author: 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Ying Liu,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 Xiaoyun Li</w:t>
      </w:r>
    </w:p>
    <w:p w14:paraId="03DC78CA" w14:textId="121222D9" w:rsidR="00D35733" w:rsidRPr="00D35733" w:rsidRDefault="00D35733" w:rsidP="00D35733">
      <w:pPr>
        <w:jc w:val="left"/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 xml:space="preserve">E-mail: </w:t>
      </w:r>
      <w:r w:rsidRPr="00D35733">
        <w:rPr>
          <w:rFonts w:ascii="Times New Roman" w:eastAsia="宋体" w:hAnsi="Times New Roman" w:cs="Times New Roman" w:hint="eastAsia"/>
          <w:bCs/>
          <w:i/>
          <w:iCs/>
          <w:sz w:val="24"/>
          <w14:ligatures w14:val="none"/>
        </w:rPr>
        <w:t>amyliu@scut.edu.cn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,</w:t>
      </w:r>
      <w:r w:rsidRPr="00D35733">
        <w:rPr>
          <w:rFonts w:ascii="等线" w:eastAsia="等线" w:hAnsi="等线" w:cs="Times New Roman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t>lxy26@scut.edu.cn</w:t>
      </w:r>
      <w:r>
        <w:rPr>
          <w:rFonts w:ascii="Times New Roman" w:eastAsia="宋体" w:hAnsi="Times New Roman" w:cs="Times New Roman"/>
          <w:bCs/>
          <w:i/>
          <w:iCs/>
          <w:sz w:val="24"/>
          <w14:ligatures w14:val="none"/>
        </w:rPr>
        <w:br w:type="page"/>
      </w:r>
    </w:p>
    <w:p w14:paraId="3C129A9A" w14:textId="230FCA08" w:rsidR="00D35733" w:rsidRPr="00D35733" w:rsidRDefault="00C763D4" w:rsidP="00D3573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 w:rsidRPr="00C763D4">
        <w:rPr>
          <w:rFonts w:ascii="Times New Roman" w:eastAsia="宋体" w:hAnsi="Times New Roman" w:cs="Times New Roman"/>
          <w:b/>
          <w:bCs/>
          <w:noProof/>
          <w:sz w:val="24"/>
          <w14:ligatures w14:val="none"/>
        </w:rPr>
        <w:lastRenderedPageBreak/>
        <w:drawing>
          <wp:inline distT="0" distB="0" distL="0" distR="0" wp14:anchorId="5FE3A5D9" wp14:editId="18A84573">
            <wp:extent cx="6188710" cy="4795520"/>
            <wp:effectExtent l="0" t="0" r="0" b="0"/>
            <wp:docPr id="5647102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1C8C8" w14:textId="0FFACE85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Fig. S</w:t>
      </w:r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>1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r w:rsidRPr="00C763D4">
        <w:rPr>
          <w:rFonts w:ascii="Times New Roman" w:eastAsia="宋体" w:hAnsi="Times New Roman" w:cs="Times New Roman" w:hint="eastAsia"/>
          <w:sz w:val="24"/>
          <w14:ligatures w14:val="none"/>
        </w:rPr>
        <w:t>(a)</w:t>
      </w:r>
      <w:r w:rsidRPr="00D35733">
        <w:rPr>
          <w:rFonts w:ascii="等线" w:eastAsia="等线" w:hAnsi="等线" w:cs="Times New Roman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N</w:t>
      </w:r>
      <w:r w:rsidRPr="00D35733">
        <w:rPr>
          <w:rFonts w:ascii="Times New Roman" w:eastAsia="宋体" w:hAnsi="Times New Roman" w:cs="Times New Roman"/>
          <w:sz w:val="24"/>
          <w:vertAlign w:val="subscript"/>
          <w14:ligatures w14:val="none"/>
        </w:rPr>
        <w:t>2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adsorption desorption curve and </w:t>
      </w:r>
      <w:r w:rsidR="00531DBD">
        <w:rPr>
          <w:rFonts w:ascii="Times New Roman" w:eastAsia="宋体" w:hAnsi="Times New Roman" w:cs="Times New Roman" w:hint="eastAsia"/>
          <w:sz w:val="24"/>
          <w14:ligatures w14:val="none"/>
        </w:rPr>
        <w:t xml:space="preserve">(b)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the pore size distribution of MSN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. (</w:t>
      </w:r>
      <w:r w:rsidR="00C763D4">
        <w:rPr>
          <w:rFonts w:ascii="Times New Roman" w:eastAsia="宋体" w:hAnsi="Times New Roman" w:cs="Times New Roman" w:hint="eastAsia"/>
          <w:sz w:val="24"/>
          <w14:ligatures w14:val="none"/>
        </w:rPr>
        <w:t>c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)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Particle size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of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MSN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and mMSN.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(</w:t>
      </w:r>
      <w:r w:rsidR="00C763D4">
        <w:rPr>
          <w:rFonts w:ascii="Times New Roman" w:eastAsia="宋体" w:hAnsi="Times New Roman" w:cs="Times New Roman" w:hint="eastAsia"/>
          <w:sz w:val="24"/>
          <w14:ligatures w14:val="none"/>
        </w:rPr>
        <w:t>d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) FT-IR spectra of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Fe</w:t>
      </w:r>
      <w:r w:rsidRPr="00D35733">
        <w:rPr>
          <w:rFonts w:ascii="Times New Roman" w:eastAsia="宋体" w:hAnsi="Times New Roman" w:cs="Times New Roman" w:hint="eastAsia"/>
          <w:sz w:val="24"/>
          <w:vertAlign w:val="subscript"/>
          <w14:ligatures w14:val="none"/>
        </w:rPr>
        <w:t>3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O</w:t>
      </w:r>
      <w:r w:rsidRPr="00D35733">
        <w:rPr>
          <w:rFonts w:ascii="Times New Roman" w:eastAsia="宋体" w:hAnsi="Times New Roman" w:cs="Times New Roman" w:hint="eastAsia"/>
          <w:sz w:val="24"/>
          <w:vertAlign w:val="subscript"/>
          <w14:ligatures w14:val="none"/>
        </w:rPr>
        <w:t>4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, MSN, mMSN, AVM and A@mMSN. (</w:t>
      </w:r>
      <w:r w:rsidR="00C763D4">
        <w:rPr>
          <w:rFonts w:ascii="Times New Roman" w:eastAsia="宋体" w:hAnsi="Times New Roman" w:cs="Times New Roman" w:hint="eastAsia"/>
          <w:sz w:val="24"/>
          <w14:ligatures w14:val="none"/>
        </w:rPr>
        <w:t>e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) Z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eta potential of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A@mMSN.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(</w:t>
      </w:r>
      <w:r w:rsidR="00C763D4">
        <w:rPr>
          <w:rFonts w:ascii="Times New Roman" w:eastAsia="宋体" w:hAnsi="Times New Roman" w:cs="Times New Roman" w:hint="eastAsia"/>
          <w:sz w:val="24"/>
          <w14:ligatures w14:val="none"/>
        </w:rPr>
        <w:t>f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)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N</w:t>
      </w:r>
      <w:r w:rsidRPr="00D35733">
        <w:rPr>
          <w:rFonts w:ascii="Times New Roman" w:eastAsia="宋体" w:hAnsi="Times New Roman" w:cs="Times New Roman"/>
          <w:sz w:val="24"/>
          <w:vertAlign w:val="subscript"/>
          <w14:ligatures w14:val="none"/>
        </w:rPr>
        <w:t>2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adsorption desorption curve and </w:t>
      </w:r>
      <w:r w:rsidR="00531DBD">
        <w:rPr>
          <w:rFonts w:ascii="Times New Roman" w:eastAsia="宋体" w:hAnsi="Times New Roman" w:cs="Times New Roman" w:hint="eastAsia"/>
          <w:sz w:val="24"/>
          <w14:ligatures w14:val="none"/>
        </w:rPr>
        <w:t xml:space="preserve">(g)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the pore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size distribution of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mMSN and A@mMSN.</w:t>
      </w:r>
    </w:p>
    <w:p w14:paraId="15407B66" w14:textId="77777777" w:rsidR="00D35733" w:rsidRPr="00531DBD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</w:p>
    <w:p w14:paraId="65CAAA41" w14:textId="0240FC1A" w:rsidR="00D35733" w:rsidRPr="00D35733" w:rsidRDefault="00E94795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E94795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1F4F1E30" wp14:editId="6BE943A3">
            <wp:extent cx="6188710" cy="7675880"/>
            <wp:effectExtent l="0" t="0" r="0" b="1270"/>
            <wp:docPr id="5327872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27447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bookmarkStart w:id="7" w:name="_Hlk168743659"/>
      <w:r w:rsidRPr="00D35733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Fig</w:t>
      </w:r>
      <w:r w:rsidRPr="00D35733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.</w:t>
      </w:r>
      <w:r w:rsidRPr="00D35733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 S2</w:t>
      </w:r>
      <w:r w:rsidRPr="00D35733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</w:t>
      </w:r>
      <w:r w:rsidRPr="00E94795">
        <w:rPr>
          <w:rFonts w:ascii="Times New Roman" w:eastAsia="宋体" w:hAnsi="Times New Roman" w:cs="Times New Roman"/>
          <w:sz w:val="24"/>
          <w:szCs w:val="24"/>
          <w14:ligatures w14:val="none"/>
        </w:rPr>
        <w:t>(a)</w:t>
      </w:r>
      <w:r w:rsidRPr="00D35733">
        <w:rPr>
          <w:rFonts w:ascii="Times New Roman" w:eastAsia="宋体" w:hAnsi="Times New Roman" w:cs="Times New Roman"/>
          <w:sz w:val="24"/>
          <w:szCs w:val="24"/>
          <w14:ligatures w14:val="none"/>
        </w:rPr>
        <w:t xml:space="preserve"> Preparation process of MSN@G microspheres. Microscopy and the size distribution of microspheres with different MSN: gelatin mass r</w:t>
      </w:r>
      <w:r w:rsidRPr="00D35733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atios of (b-c) 1:9, (d-e) 3:7 and (f-g) 5:5.</w:t>
      </w:r>
    </w:p>
    <w:bookmarkEnd w:id="7"/>
    <w:p w14:paraId="32639A84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</w:p>
    <w:p w14:paraId="322B81CF" w14:textId="7B756EEB" w:rsidR="00D35733" w:rsidRPr="00D35733" w:rsidRDefault="00C763D4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C763D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6CBED51D" wp14:editId="3CD37E7D">
            <wp:extent cx="6188710" cy="2454275"/>
            <wp:effectExtent l="0" t="0" r="0" b="3175"/>
            <wp:docPr id="10131717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C375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bookmarkStart w:id="8" w:name="_Hlk170413879"/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>Fig</w:t>
      </w: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.</w:t>
      </w:r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S</w:t>
      </w:r>
      <w:bookmarkEnd w:id="8"/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3</w:t>
      </w:r>
      <w:r w:rsidRPr="00D35733">
        <w:rPr>
          <w:rFonts w:ascii="等线" w:eastAsia="等线" w:hAnsi="等线" w:cs="Times New Roman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(a) The monitor of leaves images during the 24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hours of treatments and </w:t>
      </w:r>
      <w:r w:rsidRPr="00C763D4">
        <w:rPr>
          <w:rFonts w:ascii="Times New Roman" w:eastAsia="宋体" w:hAnsi="Times New Roman" w:cs="Times New Roman"/>
          <w:sz w:val="24"/>
          <w14:ligatures w14:val="none"/>
        </w:rPr>
        <w:t xml:space="preserve">(b) the corresponding insecticidal activity against </w:t>
      </w:r>
      <w:r w:rsidRPr="00C763D4">
        <w:rPr>
          <w:rFonts w:ascii="Times New Roman" w:eastAsia="宋体" w:hAnsi="Times New Roman" w:cs="Times New Roman" w:hint="eastAsia"/>
          <w:sz w:val="24"/>
          <w14:ligatures w14:val="none"/>
        </w:rPr>
        <w:t>d</w:t>
      </w:r>
      <w:r w:rsidRPr="00C763D4">
        <w:rPr>
          <w:rFonts w:ascii="Times New Roman" w:eastAsia="宋体" w:hAnsi="Times New Roman" w:cs="Times New Roman"/>
          <w:sz w:val="24"/>
          <w14:ligatures w14:val="none"/>
        </w:rPr>
        <w:t>iamondback moth</w:t>
      </w:r>
      <w:r w:rsidRPr="00C763D4">
        <w:rPr>
          <w:rFonts w:ascii="Times New Roman" w:eastAsia="宋体" w:hAnsi="Times New Roman" w:cs="Times New Roman" w:hint="eastAsia"/>
          <w:sz w:val="24"/>
          <w14:ligatures w14:val="none"/>
        </w:rPr>
        <w:t>.</w:t>
      </w:r>
    </w:p>
    <w:p w14:paraId="3F9A3080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</w:p>
    <w:p w14:paraId="194385E7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3D5BFC6C" wp14:editId="234F3812">
            <wp:extent cx="5034571" cy="4421393"/>
            <wp:effectExtent l="0" t="0" r="0" b="0"/>
            <wp:docPr id="5842620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6207" name="图片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3635" cy="44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BBDE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>Fig</w:t>
      </w: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>.</w:t>
      </w:r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S</w:t>
      </w: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4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(a)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Hysteresis loop of Fe</w:t>
      </w:r>
      <w:r w:rsidRPr="00D35733">
        <w:rPr>
          <w:rFonts w:ascii="Times New Roman" w:eastAsia="宋体" w:hAnsi="Times New Roman" w:cs="Times New Roman"/>
          <w:sz w:val="24"/>
          <w:vertAlign w:val="subscript"/>
          <w14:ligatures w14:val="none"/>
        </w:rPr>
        <w:t>3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O</w:t>
      </w:r>
      <w:r w:rsidRPr="00D35733">
        <w:rPr>
          <w:rFonts w:ascii="Times New Roman" w:eastAsia="宋体" w:hAnsi="Times New Roman" w:cs="Times New Roman"/>
          <w:sz w:val="24"/>
          <w:vertAlign w:val="subscript"/>
          <w14:ligatures w14:val="none"/>
        </w:rPr>
        <w:t xml:space="preserve">4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nano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particles.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(b)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Magnetic recoverable appearance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 picture. (c)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I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mages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of A@mMSN@G microspheres at the edge of solution under magnetic attraction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.</w:t>
      </w:r>
    </w:p>
    <w:p w14:paraId="232C4201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5DC0F0E0" wp14:editId="4DE5AA46">
            <wp:extent cx="6122035" cy="3368675"/>
            <wp:effectExtent l="0" t="0" r="0" b="0"/>
            <wp:docPr id="107069714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97149" name="图片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8152" cy="33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CD496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Fig. S5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Photos of potted Chinese cabbage at different times after treatment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.</w:t>
      </w:r>
    </w:p>
    <w:p w14:paraId="5FA46F7C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</w:p>
    <w:p w14:paraId="4255BE97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D35733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7EC224A8" wp14:editId="79052A14">
            <wp:extent cx="4311650" cy="2145665"/>
            <wp:effectExtent l="0" t="0" r="0" b="635"/>
            <wp:docPr id="171460415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04154" name="图片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5527" cy="219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D78D3" w14:textId="77777777" w:rsidR="00D35733" w:rsidRP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14:ligatures w14:val="none"/>
        </w:rPr>
      </w:pPr>
      <w:r w:rsidRPr="00D35733">
        <w:rPr>
          <w:rFonts w:ascii="Times New Roman" w:eastAsia="宋体" w:hAnsi="Times New Roman" w:cs="Times New Roman" w:hint="eastAsia"/>
          <w:b/>
          <w:bCs/>
          <w:sz w:val="24"/>
          <w14:ligatures w14:val="none"/>
        </w:rPr>
        <w:t xml:space="preserve">Fig. S6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T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he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 xml:space="preserve"> statistics</w:t>
      </w:r>
      <w:r w:rsidRPr="00D35733">
        <w:rPr>
          <w:rFonts w:ascii="Times New Roman" w:eastAsia="宋体" w:hAnsi="Times New Roman" w:cs="Times New Roman"/>
          <w:b/>
          <w:bCs/>
          <w:sz w:val="24"/>
          <w14:ligatures w14:val="none"/>
        </w:rPr>
        <w:t xml:space="preserve"> 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 xml:space="preserve">of </w:t>
      </w:r>
      <w:r w:rsidRPr="00D35733">
        <w:rPr>
          <w:rFonts w:ascii="Times New Roman" w:eastAsia="宋体" w:hAnsi="Times New Roman" w:cs="Times New Roman"/>
          <w:sz w:val="24"/>
          <w14:ligatures w14:val="none"/>
        </w:rPr>
        <w:t>cabbage pests</w:t>
      </w:r>
      <w:r w:rsidRPr="00D35733">
        <w:rPr>
          <w:rFonts w:ascii="Times New Roman" w:eastAsia="宋体" w:hAnsi="Times New Roman" w:cs="Times New Roman" w:hint="eastAsia"/>
          <w:sz w:val="24"/>
          <w14:ligatures w14:val="none"/>
        </w:rPr>
        <w:t>.</w:t>
      </w:r>
    </w:p>
    <w:p w14:paraId="4A98F98A" w14:textId="77777777" w:rsidR="00D35733" w:rsidRDefault="00D35733" w:rsidP="00D35733">
      <w:pPr>
        <w:jc w:val="left"/>
        <w:rPr>
          <w:rFonts w:ascii="Times New Roman" w:hAnsi="Times New Roman" w:cs="Times New Roman"/>
          <w:b/>
          <w:bCs/>
          <w:sz w:val="32"/>
          <w:szCs w:val="32"/>
        </w:rPr>
        <w:sectPr w:rsidR="00D35733" w:rsidSect="00D35733">
          <w:footerReference w:type="default" r:id="rId12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3F7D347" w14:textId="77777777" w:rsidR="00D35733" w:rsidRDefault="00D35733" w:rsidP="00D35733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Table S1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Representative models used for describing kinetics of AVM release</w:t>
      </w:r>
    </w:p>
    <w:tbl>
      <w:tblPr>
        <w:tblStyle w:val="a7"/>
        <w:tblW w:w="0" w:type="auto"/>
        <w:jc w:val="center"/>
        <w:tblBorders>
          <w:top w:val="single" w:sz="18" w:space="0" w:color="000000"/>
          <w:left w:val="none" w:sz="0" w:space="0" w:color="auto"/>
          <w:bottom w:val="single" w:sz="1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35"/>
        <w:gridCol w:w="4536"/>
        <w:gridCol w:w="1340"/>
      </w:tblGrid>
      <w:tr w:rsidR="00D35733" w:rsidRPr="00D35733" w14:paraId="343FDBB2" w14:textId="77777777" w:rsidTr="00324D4C">
        <w:trPr>
          <w:trHeight w:val="468"/>
          <w:jc w:val="center"/>
        </w:trPr>
        <w:tc>
          <w:tcPr>
            <w:tcW w:w="3969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C108152" w14:textId="77777777" w:rsidR="00D35733" w:rsidRPr="00D35733" w:rsidRDefault="00D35733" w:rsidP="00324D4C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Material type</w:t>
            </w:r>
          </w:p>
        </w:tc>
        <w:tc>
          <w:tcPr>
            <w:tcW w:w="2835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203E2831" w14:textId="77777777" w:rsidR="00D35733" w:rsidRPr="00D35733" w:rsidRDefault="00D35733" w:rsidP="00324D4C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Model</w:t>
            </w:r>
          </w:p>
        </w:tc>
        <w:tc>
          <w:tcPr>
            <w:tcW w:w="4536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0B98ADF4" w14:textId="77777777" w:rsidR="00D35733" w:rsidRPr="00D35733" w:rsidRDefault="00D35733" w:rsidP="00324D4C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Equation</w:t>
            </w:r>
          </w:p>
        </w:tc>
        <w:tc>
          <w:tcPr>
            <w:tcW w:w="134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B562E6C" w14:textId="43723D5D" w:rsidR="00D35733" w:rsidRPr="00D35733" w:rsidRDefault="00D35733" w:rsidP="00324D4C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R</w:t>
            </w:r>
            <w:r w:rsidRPr="00D35733">
              <w:rPr>
                <w:rFonts w:ascii="Times New Roman" w:eastAsia="宋体" w:hAnsi="Times New Roman" w:cs="Times New Roman"/>
                <w:sz w:val="24"/>
                <w:vertAlign w:val="superscript"/>
              </w:rPr>
              <w:t>2</w:t>
            </w:r>
          </w:p>
        </w:tc>
      </w:tr>
      <w:tr w:rsidR="00D35733" w:rsidRPr="00D35733" w14:paraId="4DD47B39" w14:textId="77777777" w:rsidTr="00324D4C">
        <w:trPr>
          <w:trHeight w:val="369"/>
          <w:jc w:val="center"/>
        </w:trPr>
        <w:tc>
          <w:tcPr>
            <w:tcW w:w="3969" w:type="dxa"/>
            <w:vMerge w:val="restart"/>
            <w:tcBorders>
              <w:top w:val="single" w:sz="18" w:space="0" w:color="auto"/>
            </w:tcBorders>
            <w:vAlign w:val="center"/>
          </w:tcPr>
          <w:p w14:paraId="10DC1C4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A@mMSN@G microspheres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14:paraId="67347BE5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Zero-order model</w:t>
            </w:r>
          </w:p>
        </w:tc>
        <w:tc>
          <w:tcPr>
            <w:tcW w:w="4536" w:type="dxa"/>
            <w:tcBorders>
              <w:top w:val="single" w:sz="18" w:space="0" w:color="auto"/>
            </w:tcBorders>
            <w:vAlign w:val="center"/>
          </w:tcPr>
          <w:p w14:paraId="6381E65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y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 = 1.0120x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0.1205</w:t>
            </w:r>
          </w:p>
        </w:tc>
        <w:tc>
          <w:tcPr>
            <w:tcW w:w="1340" w:type="dxa"/>
            <w:tcBorders>
              <w:top w:val="single" w:sz="18" w:space="0" w:color="auto"/>
            </w:tcBorders>
            <w:vAlign w:val="center"/>
          </w:tcPr>
          <w:p w14:paraId="096DA15F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.55972</w:t>
            </w:r>
          </w:p>
        </w:tc>
      </w:tr>
      <w:tr w:rsidR="00D35733" w:rsidRPr="00D35733" w14:paraId="6630B97D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6B881F0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01A7FB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First-order model</w:t>
            </w:r>
          </w:p>
        </w:tc>
        <w:tc>
          <w:tcPr>
            <w:tcW w:w="4536" w:type="dxa"/>
            <w:vAlign w:val="center"/>
          </w:tcPr>
          <w:p w14:paraId="73A38B24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ln(100-Q) = -1.03747t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4.59302</w:t>
            </w:r>
          </w:p>
        </w:tc>
        <w:tc>
          <w:tcPr>
            <w:tcW w:w="1340" w:type="dxa"/>
            <w:vAlign w:val="center"/>
          </w:tcPr>
          <w:p w14:paraId="641DCC3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0.56458</w:t>
            </w:r>
          </w:p>
        </w:tc>
      </w:tr>
      <w:tr w:rsidR="00D35733" w:rsidRPr="00D35733" w14:paraId="5FAED166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7648EA3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64F33B3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Ritger-Peppas equation</w:t>
            </w:r>
          </w:p>
        </w:tc>
        <w:tc>
          <w:tcPr>
            <w:tcW w:w="4536" w:type="dxa"/>
            <w:vAlign w:val="center"/>
          </w:tcPr>
          <w:p w14:paraId="077F3884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 Q = 0.21987lnt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0.0387</w:t>
            </w:r>
          </w:p>
        </w:tc>
        <w:tc>
          <w:tcPr>
            <w:tcW w:w="1340" w:type="dxa"/>
            <w:vAlign w:val="center"/>
          </w:tcPr>
          <w:p w14:paraId="36A7D54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.56172</w:t>
            </w:r>
          </w:p>
        </w:tc>
      </w:tr>
      <w:tr w:rsidR="00D35733" w:rsidRPr="00D35733" w14:paraId="632CD1D9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50A41B8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2C021D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Higuchi equation</w:t>
            </w:r>
          </w:p>
        </w:tc>
        <w:tc>
          <w:tcPr>
            <w:tcW w:w="4536" w:type="dxa"/>
            <w:vAlign w:val="center"/>
          </w:tcPr>
          <w:p w14:paraId="5FDE35B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Q = 0.21876t</w:t>
            </w:r>
            <w:r w:rsidRPr="00D35733">
              <w:rPr>
                <w:rFonts w:ascii="Times New Roman" w:eastAsia="宋体" w:hAnsi="Times New Roman" w:cs="Times New Roman"/>
                <w:sz w:val="24"/>
                <w:vertAlign w:val="superscript"/>
              </w:rPr>
              <w:t>1/2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0.45634</w:t>
            </w:r>
          </w:p>
        </w:tc>
        <w:tc>
          <w:tcPr>
            <w:tcW w:w="1340" w:type="dxa"/>
            <w:vAlign w:val="center"/>
          </w:tcPr>
          <w:p w14:paraId="6AC0028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.71702</w:t>
            </w:r>
          </w:p>
        </w:tc>
      </w:tr>
      <w:tr w:rsidR="00D35733" w:rsidRPr="00D35733" w14:paraId="4555DD2E" w14:textId="77777777" w:rsidTr="00324D4C">
        <w:trPr>
          <w:trHeight w:val="369"/>
          <w:jc w:val="center"/>
        </w:trPr>
        <w:tc>
          <w:tcPr>
            <w:tcW w:w="3969" w:type="dxa"/>
            <w:vMerge/>
            <w:tcBorders>
              <w:bottom w:val="dashed" w:sz="4" w:space="0" w:color="000000"/>
            </w:tcBorders>
            <w:vAlign w:val="center"/>
          </w:tcPr>
          <w:p w14:paraId="497B5A8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bottom w:val="dashed" w:sz="4" w:space="0" w:color="000000"/>
            </w:tcBorders>
            <w:vAlign w:val="center"/>
          </w:tcPr>
          <w:p w14:paraId="1C4BFD8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Weibull equation</w:t>
            </w:r>
          </w:p>
        </w:tc>
        <w:tc>
          <w:tcPr>
            <w:tcW w:w="4536" w:type="dxa"/>
            <w:tcBorders>
              <w:bottom w:val="dashed" w:sz="4" w:space="0" w:color="000000"/>
            </w:tcBorders>
            <w:vAlign w:val="center"/>
          </w:tcPr>
          <w:p w14:paraId="2A4AD94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35733">
              <w:rPr>
                <w:rFonts w:ascii="Times New Roman" w:eastAsia="宋体" w:hAnsi="Times New Roman" w:cs="Times New Roman"/>
                <w:sz w:val="24"/>
              </w:rPr>
              <w:t>lnln</w:t>
            </w:r>
            <w:proofErr w:type="spellEnd"/>
            <w:r w:rsidRPr="00D35733">
              <w:rPr>
                <w:rFonts w:ascii="Times New Roman" w:eastAsia="宋体" w:hAnsi="Times New Roman" w:cs="Times New Roman"/>
                <w:sz w:val="24"/>
              </w:rPr>
              <w:t>[1/(1-Q/100)] = 0.22291lnt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- 4.56524</w:t>
            </w:r>
          </w:p>
        </w:tc>
        <w:tc>
          <w:tcPr>
            <w:tcW w:w="1340" w:type="dxa"/>
            <w:tcBorders>
              <w:bottom w:val="dashed" w:sz="4" w:space="0" w:color="000000"/>
            </w:tcBorders>
            <w:vAlign w:val="center"/>
          </w:tcPr>
          <w:p w14:paraId="147E1E1C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.56185</w:t>
            </w:r>
          </w:p>
        </w:tc>
      </w:tr>
      <w:tr w:rsidR="00D35733" w:rsidRPr="00D35733" w14:paraId="4DA48DCA" w14:textId="77777777" w:rsidTr="00324D4C">
        <w:trPr>
          <w:trHeight w:val="369"/>
          <w:jc w:val="center"/>
        </w:trPr>
        <w:tc>
          <w:tcPr>
            <w:tcW w:w="3969" w:type="dxa"/>
            <w:vMerge w:val="restart"/>
            <w:tcBorders>
              <w:top w:val="dashed" w:sz="4" w:space="0" w:color="000000"/>
            </w:tcBorders>
            <w:vAlign w:val="center"/>
          </w:tcPr>
          <w:p w14:paraId="0A1312B8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A@mMSN@G microspheres 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 neutral protease</w:t>
            </w:r>
          </w:p>
        </w:tc>
        <w:tc>
          <w:tcPr>
            <w:tcW w:w="2835" w:type="dxa"/>
            <w:tcBorders>
              <w:top w:val="dashed" w:sz="4" w:space="0" w:color="000000"/>
            </w:tcBorders>
            <w:vAlign w:val="center"/>
          </w:tcPr>
          <w:p w14:paraId="18C1CAA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Zero-order model</w:t>
            </w:r>
          </w:p>
        </w:tc>
        <w:tc>
          <w:tcPr>
            <w:tcW w:w="4536" w:type="dxa"/>
            <w:tcBorders>
              <w:top w:val="dashed" w:sz="4" w:space="0" w:color="000000"/>
            </w:tcBorders>
            <w:vAlign w:val="center"/>
          </w:tcPr>
          <w:p w14:paraId="5D87354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y = 3.71879x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0.04455</w:t>
            </w:r>
          </w:p>
        </w:tc>
        <w:tc>
          <w:tcPr>
            <w:tcW w:w="1340" w:type="dxa"/>
            <w:tcBorders>
              <w:top w:val="dashed" w:sz="4" w:space="0" w:color="000000"/>
            </w:tcBorders>
            <w:vAlign w:val="center"/>
          </w:tcPr>
          <w:p w14:paraId="2714379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.61111</w:t>
            </w:r>
          </w:p>
        </w:tc>
      </w:tr>
      <w:tr w:rsidR="00D35733" w:rsidRPr="00D35733" w14:paraId="26A1BF5D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3CE06F9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9262C08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First-order model</w:t>
            </w:r>
          </w:p>
        </w:tc>
        <w:tc>
          <w:tcPr>
            <w:tcW w:w="4536" w:type="dxa"/>
            <w:vAlign w:val="center"/>
          </w:tcPr>
          <w:p w14:paraId="1873F484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ln(100-Q) = -4.05918t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4.55899</w:t>
            </w:r>
          </w:p>
        </w:tc>
        <w:tc>
          <w:tcPr>
            <w:tcW w:w="1340" w:type="dxa"/>
            <w:vAlign w:val="center"/>
          </w:tcPr>
          <w:p w14:paraId="33783BF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.63176</w:t>
            </w:r>
          </w:p>
        </w:tc>
      </w:tr>
      <w:tr w:rsidR="00D35733" w:rsidRPr="00D35733" w14:paraId="761F74D5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2637089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851260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Ritger-Peppas equation</w:t>
            </w:r>
          </w:p>
        </w:tc>
        <w:tc>
          <w:tcPr>
            <w:tcW w:w="4536" w:type="dxa"/>
            <w:vAlign w:val="center"/>
          </w:tcPr>
          <w:p w14:paraId="4C2BC117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 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0.23909lnt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1.2775</w:t>
            </w:r>
          </w:p>
        </w:tc>
        <w:tc>
          <w:tcPr>
            <w:tcW w:w="1340" w:type="dxa"/>
            <w:vAlign w:val="center"/>
          </w:tcPr>
          <w:p w14:paraId="459B693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.86176</w:t>
            </w:r>
          </w:p>
        </w:tc>
      </w:tr>
      <w:tr w:rsidR="00D35733" w:rsidRPr="00D35733" w14:paraId="3FBF3E68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2FD20F2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89B59A7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Higuchi equation</w:t>
            </w:r>
          </w:p>
        </w:tc>
        <w:tc>
          <w:tcPr>
            <w:tcW w:w="4536" w:type="dxa"/>
            <w:vAlign w:val="center"/>
          </w:tcPr>
          <w:p w14:paraId="6ACB2E63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20.81906t</w:t>
            </w:r>
            <w:r w:rsidRPr="00D35733">
              <w:rPr>
                <w:rFonts w:ascii="Times New Roman" w:eastAsia="宋体" w:hAnsi="Times New Roman" w:cs="Times New Roman"/>
                <w:sz w:val="24"/>
                <w:vertAlign w:val="superscript"/>
              </w:rPr>
              <w:t>1/2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1.59357</w:t>
            </w:r>
          </w:p>
        </w:tc>
        <w:tc>
          <w:tcPr>
            <w:tcW w:w="1340" w:type="dxa"/>
            <w:vAlign w:val="center"/>
          </w:tcPr>
          <w:p w14:paraId="0FBF7A3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.8127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</w:p>
        </w:tc>
      </w:tr>
      <w:tr w:rsidR="00D35733" w:rsidRPr="00D35733" w14:paraId="52B3C65B" w14:textId="77777777" w:rsidTr="00324D4C">
        <w:trPr>
          <w:trHeight w:val="369"/>
          <w:jc w:val="center"/>
        </w:trPr>
        <w:tc>
          <w:tcPr>
            <w:tcW w:w="3969" w:type="dxa"/>
            <w:vMerge/>
            <w:tcBorders>
              <w:bottom w:val="dashed" w:sz="4" w:space="0" w:color="000000"/>
            </w:tcBorders>
            <w:vAlign w:val="center"/>
          </w:tcPr>
          <w:p w14:paraId="26C9F3C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bottom w:val="dashed" w:sz="4" w:space="0" w:color="000000"/>
            </w:tcBorders>
            <w:vAlign w:val="center"/>
          </w:tcPr>
          <w:p w14:paraId="2C98C9A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Weibull equation</w:t>
            </w:r>
          </w:p>
        </w:tc>
        <w:tc>
          <w:tcPr>
            <w:tcW w:w="4536" w:type="dxa"/>
            <w:tcBorders>
              <w:bottom w:val="dashed" w:sz="4" w:space="0" w:color="000000"/>
            </w:tcBorders>
            <w:vAlign w:val="center"/>
          </w:tcPr>
          <w:p w14:paraId="7C7D727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35733">
              <w:rPr>
                <w:rFonts w:ascii="Times New Roman" w:eastAsia="宋体" w:hAnsi="Times New Roman" w:cs="Times New Roman"/>
                <w:sz w:val="24"/>
              </w:rPr>
              <w:t>lnln</w:t>
            </w:r>
            <w:proofErr w:type="spellEnd"/>
            <w:r w:rsidRPr="00D35733">
              <w:rPr>
                <w:rFonts w:ascii="Times New Roman" w:eastAsia="宋体" w:hAnsi="Times New Roman" w:cs="Times New Roman"/>
                <w:sz w:val="24"/>
              </w:rPr>
              <w:t>[1/(1-Q/100)] 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0.25169lnt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- 3.32699</w:t>
            </w:r>
          </w:p>
        </w:tc>
        <w:tc>
          <w:tcPr>
            <w:tcW w:w="1340" w:type="dxa"/>
            <w:tcBorders>
              <w:bottom w:val="dashed" w:sz="4" w:space="0" w:color="000000"/>
            </w:tcBorders>
            <w:vAlign w:val="center"/>
          </w:tcPr>
          <w:p w14:paraId="739C6AA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.86223</w:t>
            </w:r>
          </w:p>
        </w:tc>
      </w:tr>
      <w:tr w:rsidR="00D35733" w:rsidRPr="00D35733" w14:paraId="0336CDB5" w14:textId="77777777" w:rsidTr="00324D4C">
        <w:trPr>
          <w:trHeight w:val="369"/>
          <w:jc w:val="center"/>
        </w:trPr>
        <w:tc>
          <w:tcPr>
            <w:tcW w:w="3969" w:type="dxa"/>
            <w:vMerge w:val="restart"/>
            <w:tcBorders>
              <w:top w:val="dashed" w:sz="4" w:space="0" w:color="000000"/>
            </w:tcBorders>
            <w:vAlign w:val="center"/>
          </w:tcPr>
          <w:p w14:paraId="55CD747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A@mMSN@G microspheres 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 GSH</w:t>
            </w:r>
          </w:p>
        </w:tc>
        <w:tc>
          <w:tcPr>
            <w:tcW w:w="2835" w:type="dxa"/>
            <w:tcBorders>
              <w:top w:val="dashed" w:sz="4" w:space="0" w:color="000000"/>
            </w:tcBorders>
            <w:vAlign w:val="center"/>
          </w:tcPr>
          <w:p w14:paraId="45FABAAC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Zero-order model</w:t>
            </w:r>
          </w:p>
        </w:tc>
        <w:tc>
          <w:tcPr>
            <w:tcW w:w="4536" w:type="dxa"/>
            <w:tcBorders>
              <w:top w:val="dashed" w:sz="4" w:space="0" w:color="000000"/>
            </w:tcBorders>
            <w:vAlign w:val="center"/>
          </w:tcPr>
          <w:p w14:paraId="3ED83B77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y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0.00195x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0.02655</w:t>
            </w:r>
          </w:p>
        </w:tc>
        <w:tc>
          <w:tcPr>
            <w:tcW w:w="1340" w:type="dxa"/>
            <w:tcBorders>
              <w:top w:val="dashed" w:sz="4" w:space="0" w:color="000000"/>
            </w:tcBorders>
            <w:vAlign w:val="center"/>
          </w:tcPr>
          <w:p w14:paraId="086E1C0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.98649</w:t>
            </w:r>
          </w:p>
        </w:tc>
      </w:tr>
      <w:tr w:rsidR="00D35733" w:rsidRPr="00D35733" w14:paraId="319D5045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687E47F5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F9B6C7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First-order model</w:t>
            </w:r>
          </w:p>
        </w:tc>
        <w:tc>
          <w:tcPr>
            <w:tcW w:w="4536" w:type="dxa"/>
            <w:vAlign w:val="center"/>
          </w:tcPr>
          <w:p w14:paraId="189D797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ln(100-Q)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-0.00304t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4.66945</w:t>
            </w:r>
          </w:p>
        </w:tc>
        <w:tc>
          <w:tcPr>
            <w:tcW w:w="1340" w:type="dxa"/>
            <w:vAlign w:val="center"/>
          </w:tcPr>
          <w:p w14:paraId="6C486D7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.95381</w:t>
            </w:r>
          </w:p>
        </w:tc>
      </w:tr>
      <w:tr w:rsidR="00D35733" w:rsidRPr="00D35733" w14:paraId="55524526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7B1D2448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805C75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Ritger-Peppas equation</w:t>
            </w:r>
          </w:p>
        </w:tc>
        <w:tc>
          <w:tcPr>
            <w:tcW w:w="4536" w:type="dxa"/>
            <w:vAlign w:val="center"/>
          </w:tcPr>
          <w:p w14:paraId="00BDC8C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 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1.52804lnt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4.53092</w:t>
            </w:r>
          </w:p>
        </w:tc>
        <w:tc>
          <w:tcPr>
            <w:tcW w:w="1340" w:type="dxa"/>
            <w:vAlign w:val="center"/>
          </w:tcPr>
          <w:p w14:paraId="0BCD12A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.96373</w:t>
            </w:r>
          </w:p>
        </w:tc>
      </w:tr>
      <w:tr w:rsidR="00D35733" w:rsidRPr="00D35733" w14:paraId="7FB8A363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5033A107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7B5600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Higuchi equation</w:t>
            </w:r>
          </w:p>
        </w:tc>
        <w:tc>
          <w:tcPr>
            <w:tcW w:w="4536" w:type="dxa"/>
            <w:vAlign w:val="center"/>
          </w:tcPr>
          <w:p w14:paraId="34311E18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3.48998t</w:t>
            </w:r>
            <w:r w:rsidRPr="00D35733">
              <w:rPr>
                <w:rFonts w:ascii="Times New Roman" w:eastAsia="宋体" w:hAnsi="Times New Roman" w:cs="Times New Roman"/>
                <w:sz w:val="24"/>
                <w:vertAlign w:val="superscript"/>
              </w:rPr>
              <w:t>1/2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11.76662</w:t>
            </w:r>
          </w:p>
        </w:tc>
        <w:tc>
          <w:tcPr>
            <w:tcW w:w="1340" w:type="dxa"/>
            <w:vAlign w:val="center"/>
          </w:tcPr>
          <w:p w14:paraId="5B5C51BD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.86611</w:t>
            </w:r>
          </w:p>
        </w:tc>
      </w:tr>
      <w:tr w:rsidR="00D35733" w:rsidRPr="00D35733" w14:paraId="5C4F308F" w14:textId="77777777" w:rsidTr="00324D4C">
        <w:trPr>
          <w:trHeight w:val="369"/>
          <w:jc w:val="center"/>
        </w:trPr>
        <w:tc>
          <w:tcPr>
            <w:tcW w:w="3969" w:type="dxa"/>
            <w:vMerge/>
            <w:tcBorders>
              <w:bottom w:val="dashed" w:sz="4" w:space="0" w:color="000000"/>
            </w:tcBorders>
            <w:vAlign w:val="center"/>
          </w:tcPr>
          <w:p w14:paraId="69610419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bottom w:val="dashed" w:sz="4" w:space="0" w:color="000000"/>
            </w:tcBorders>
            <w:vAlign w:val="center"/>
          </w:tcPr>
          <w:p w14:paraId="49E72C17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Weibull equation</w:t>
            </w:r>
          </w:p>
        </w:tc>
        <w:tc>
          <w:tcPr>
            <w:tcW w:w="4536" w:type="dxa"/>
            <w:tcBorders>
              <w:bottom w:val="dashed" w:sz="4" w:space="0" w:color="000000"/>
            </w:tcBorders>
            <w:vAlign w:val="center"/>
          </w:tcPr>
          <w:p w14:paraId="4493559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35733">
              <w:rPr>
                <w:rFonts w:ascii="Times New Roman" w:eastAsia="宋体" w:hAnsi="Times New Roman" w:cs="Times New Roman"/>
                <w:sz w:val="24"/>
              </w:rPr>
              <w:t>lnln</w:t>
            </w:r>
            <w:proofErr w:type="spellEnd"/>
            <w:r w:rsidRPr="00D35733">
              <w:rPr>
                <w:rFonts w:ascii="Times New Roman" w:eastAsia="宋体" w:hAnsi="Times New Roman" w:cs="Times New Roman"/>
                <w:sz w:val="24"/>
              </w:rPr>
              <w:t>[1/(1-Q/100)] 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1.70504lnt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- 9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.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79474</w:t>
            </w:r>
          </w:p>
        </w:tc>
        <w:tc>
          <w:tcPr>
            <w:tcW w:w="1340" w:type="dxa"/>
            <w:tcBorders>
              <w:bottom w:val="dashed" w:sz="4" w:space="0" w:color="000000"/>
            </w:tcBorders>
            <w:vAlign w:val="center"/>
          </w:tcPr>
          <w:p w14:paraId="634800AF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.97722</w:t>
            </w:r>
          </w:p>
        </w:tc>
      </w:tr>
      <w:tr w:rsidR="00D35733" w:rsidRPr="00D35733" w14:paraId="044270BF" w14:textId="77777777" w:rsidTr="00324D4C">
        <w:trPr>
          <w:trHeight w:val="369"/>
          <w:jc w:val="center"/>
        </w:trPr>
        <w:tc>
          <w:tcPr>
            <w:tcW w:w="3969" w:type="dxa"/>
            <w:vMerge w:val="restart"/>
            <w:tcBorders>
              <w:top w:val="dashed" w:sz="4" w:space="0" w:color="000000"/>
            </w:tcBorders>
            <w:vAlign w:val="center"/>
          </w:tcPr>
          <w:p w14:paraId="6506C8DF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A@mMSN@G microspheres 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 xml:space="preserve"> neutral protease + GSH</w:t>
            </w:r>
          </w:p>
        </w:tc>
        <w:tc>
          <w:tcPr>
            <w:tcW w:w="2835" w:type="dxa"/>
            <w:tcBorders>
              <w:top w:val="dashed" w:sz="4" w:space="0" w:color="000000"/>
            </w:tcBorders>
            <w:vAlign w:val="center"/>
          </w:tcPr>
          <w:p w14:paraId="5054F49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Zero-order model</w:t>
            </w:r>
          </w:p>
        </w:tc>
        <w:tc>
          <w:tcPr>
            <w:tcW w:w="4536" w:type="dxa"/>
            <w:tcBorders>
              <w:top w:val="dashed" w:sz="4" w:space="0" w:color="000000"/>
            </w:tcBorders>
            <w:vAlign w:val="center"/>
          </w:tcPr>
          <w:p w14:paraId="66374B8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y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0.00256x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0.00338</w:t>
            </w:r>
          </w:p>
        </w:tc>
        <w:tc>
          <w:tcPr>
            <w:tcW w:w="1340" w:type="dxa"/>
            <w:tcBorders>
              <w:top w:val="dashed" w:sz="4" w:space="0" w:color="000000"/>
            </w:tcBorders>
            <w:vAlign w:val="center"/>
          </w:tcPr>
          <w:p w14:paraId="725A10C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.98851</w:t>
            </w:r>
          </w:p>
        </w:tc>
      </w:tr>
      <w:tr w:rsidR="00D35733" w:rsidRPr="00D35733" w14:paraId="2D16F613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03EC09C3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13F1E10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First-order model</w:t>
            </w:r>
          </w:p>
        </w:tc>
        <w:tc>
          <w:tcPr>
            <w:tcW w:w="4536" w:type="dxa"/>
            <w:vAlign w:val="center"/>
          </w:tcPr>
          <w:p w14:paraId="3D71035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ln(100-Q) 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-0.00542t</w:t>
            </w:r>
            <w:bookmarkStart w:id="9" w:name="OLE_LINK16"/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+</w:t>
            </w:r>
            <w:bookmarkEnd w:id="9"/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4.7047</w:t>
            </w:r>
          </w:p>
        </w:tc>
        <w:tc>
          <w:tcPr>
            <w:tcW w:w="1340" w:type="dxa"/>
            <w:vAlign w:val="center"/>
          </w:tcPr>
          <w:p w14:paraId="3399C49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.94581</w:t>
            </w:r>
          </w:p>
        </w:tc>
      </w:tr>
      <w:tr w:rsidR="00D35733" w:rsidRPr="00D35733" w14:paraId="174B6E54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64EAF2F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478EE0A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Ritger-Peppas equation</w:t>
            </w:r>
          </w:p>
        </w:tc>
        <w:tc>
          <w:tcPr>
            <w:tcW w:w="4536" w:type="dxa"/>
            <w:vAlign w:val="center"/>
          </w:tcPr>
          <w:p w14:paraId="4E50C17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ln 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0.96804lnt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1.25064</w:t>
            </w:r>
          </w:p>
        </w:tc>
        <w:tc>
          <w:tcPr>
            <w:tcW w:w="1340" w:type="dxa"/>
            <w:vAlign w:val="center"/>
          </w:tcPr>
          <w:p w14:paraId="0B1A9ED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.97583</w:t>
            </w:r>
          </w:p>
        </w:tc>
      </w:tr>
      <w:tr w:rsidR="00D35733" w:rsidRPr="00D35733" w14:paraId="7FA438B5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43D43B0C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FEA0D7B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Higuchi equation</w:t>
            </w:r>
          </w:p>
        </w:tc>
        <w:tc>
          <w:tcPr>
            <w:tcW w:w="4536" w:type="dxa"/>
            <w:vAlign w:val="center"/>
          </w:tcPr>
          <w:p w14:paraId="11140486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Q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4.70163t</w:t>
            </w:r>
            <w:r w:rsidRPr="00D35733">
              <w:rPr>
                <w:rFonts w:ascii="Times New Roman" w:eastAsia="宋体" w:hAnsi="Times New Roman" w:cs="Times New Roman"/>
                <w:sz w:val="24"/>
                <w:vertAlign w:val="superscript"/>
              </w:rPr>
              <w:t>1/2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13.21601</w:t>
            </w:r>
          </w:p>
        </w:tc>
        <w:tc>
          <w:tcPr>
            <w:tcW w:w="1340" w:type="dxa"/>
            <w:vAlign w:val="center"/>
          </w:tcPr>
          <w:p w14:paraId="47FE3E2E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.91124</w:t>
            </w:r>
          </w:p>
        </w:tc>
      </w:tr>
      <w:tr w:rsidR="00D35733" w:rsidRPr="00D35733" w14:paraId="607FAC52" w14:textId="77777777" w:rsidTr="00324D4C">
        <w:trPr>
          <w:trHeight w:val="369"/>
          <w:jc w:val="center"/>
        </w:trPr>
        <w:tc>
          <w:tcPr>
            <w:tcW w:w="3969" w:type="dxa"/>
            <w:vMerge/>
            <w:vAlign w:val="center"/>
          </w:tcPr>
          <w:p w14:paraId="5A207B54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B281DDC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/>
                <w:sz w:val="24"/>
              </w:rPr>
              <w:t>Weibull equation</w:t>
            </w:r>
          </w:p>
        </w:tc>
        <w:tc>
          <w:tcPr>
            <w:tcW w:w="4536" w:type="dxa"/>
            <w:vAlign w:val="center"/>
          </w:tcPr>
          <w:p w14:paraId="3D0E3A51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D35733">
              <w:rPr>
                <w:rFonts w:ascii="Times New Roman" w:eastAsia="宋体" w:hAnsi="Times New Roman" w:cs="Times New Roman"/>
                <w:sz w:val="24"/>
              </w:rPr>
              <w:t>lnln</w:t>
            </w:r>
            <w:proofErr w:type="spellEnd"/>
            <w:r w:rsidRPr="00D35733">
              <w:rPr>
                <w:rFonts w:ascii="Times New Roman" w:eastAsia="宋体" w:hAnsi="Times New Roman" w:cs="Times New Roman"/>
                <w:sz w:val="24"/>
              </w:rPr>
              <w:t>[1/(1-Q/100)] =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1.15642lnt</w:t>
            </w: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- 6.4271</w:t>
            </w:r>
          </w:p>
        </w:tc>
        <w:tc>
          <w:tcPr>
            <w:tcW w:w="1340" w:type="dxa"/>
            <w:vAlign w:val="center"/>
          </w:tcPr>
          <w:p w14:paraId="65E01482" w14:textId="77777777" w:rsidR="00D35733" w:rsidRPr="00D35733" w:rsidRDefault="00D35733" w:rsidP="00D35733">
            <w:pPr>
              <w:rPr>
                <w:rFonts w:ascii="Times New Roman" w:eastAsia="宋体" w:hAnsi="Times New Roman" w:cs="Times New Roman"/>
                <w:sz w:val="24"/>
              </w:rPr>
            </w:pPr>
            <w:r w:rsidRPr="00D35733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35733">
              <w:rPr>
                <w:rFonts w:ascii="Times New Roman" w:eastAsia="宋体" w:hAnsi="Times New Roman" w:cs="Times New Roman"/>
                <w:sz w:val="24"/>
              </w:rPr>
              <w:t>.95755</w:t>
            </w:r>
          </w:p>
        </w:tc>
      </w:tr>
    </w:tbl>
    <w:p w14:paraId="0C68985E" w14:textId="33ED8BB6" w:rsidR="00D35733" w:rsidRDefault="00D35733" w:rsidP="00D35733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35733" w:rsidSect="00D35733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B3691" w14:textId="77777777" w:rsidR="009268B2" w:rsidRDefault="009268B2" w:rsidP="00D35733">
      <w:pPr>
        <w:rPr>
          <w:rFonts w:hint="eastAsia"/>
        </w:rPr>
      </w:pPr>
      <w:r>
        <w:separator/>
      </w:r>
    </w:p>
  </w:endnote>
  <w:endnote w:type="continuationSeparator" w:id="0">
    <w:p w14:paraId="2410C8CD" w14:textId="77777777" w:rsidR="009268B2" w:rsidRDefault="009268B2" w:rsidP="00D357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7599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EB3231" w14:textId="70FF63A3" w:rsidR="00D35733" w:rsidRPr="00D35733" w:rsidRDefault="00D357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57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57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57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5733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D357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01C5F11" w14:textId="77777777" w:rsidR="00D35733" w:rsidRDefault="00D3573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30FFC" w14:textId="77777777" w:rsidR="009268B2" w:rsidRDefault="009268B2" w:rsidP="00D35733">
      <w:pPr>
        <w:rPr>
          <w:rFonts w:hint="eastAsia"/>
        </w:rPr>
      </w:pPr>
      <w:r>
        <w:separator/>
      </w:r>
    </w:p>
  </w:footnote>
  <w:footnote w:type="continuationSeparator" w:id="0">
    <w:p w14:paraId="2B27ECC6" w14:textId="77777777" w:rsidR="009268B2" w:rsidRDefault="009268B2" w:rsidP="00D357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B7"/>
    <w:rsid w:val="0028307C"/>
    <w:rsid w:val="002F0EB7"/>
    <w:rsid w:val="00324D4C"/>
    <w:rsid w:val="004F1899"/>
    <w:rsid w:val="00523EB1"/>
    <w:rsid w:val="00531DBD"/>
    <w:rsid w:val="007F5257"/>
    <w:rsid w:val="009268B2"/>
    <w:rsid w:val="00B4008B"/>
    <w:rsid w:val="00C763D4"/>
    <w:rsid w:val="00C839CB"/>
    <w:rsid w:val="00D35733"/>
    <w:rsid w:val="00E94795"/>
    <w:rsid w:val="00F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DAF51"/>
  <w15:chartTrackingRefBased/>
  <w15:docId w15:val="{263B334A-684F-4E92-ACA7-FBD614F8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7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7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733"/>
    <w:rPr>
      <w:sz w:val="18"/>
      <w:szCs w:val="18"/>
    </w:rPr>
  </w:style>
  <w:style w:type="table" w:styleId="a7">
    <w:name w:val="Table Grid"/>
    <w:basedOn w:val="a1"/>
    <w:uiPriority w:val="39"/>
    <w:qFormat/>
    <w:rsid w:val="00D35733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小龙 高</dc:creator>
  <cp:keywords/>
  <dc:description/>
  <cp:lastModifiedBy>小龙 高</cp:lastModifiedBy>
  <cp:revision>6</cp:revision>
  <dcterms:created xsi:type="dcterms:W3CDTF">2024-08-08T12:30:00Z</dcterms:created>
  <dcterms:modified xsi:type="dcterms:W3CDTF">2024-08-09T12:34:00Z</dcterms:modified>
</cp:coreProperties>
</file>