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A9F4A" w14:textId="77777777" w:rsidR="00D87925" w:rsidRPr="00F11B06" w:rsidRDefault="00D87925" w:rsidP="00D87925">
      <w:pPr>
        <w:pStyle w:val="ListParagraph"/>
        <w:tabs>
          <w:tab w:val="left" w:pos="851"/>
        </w:tabs>
        <w:spacing w:line="480" w:lineRule="auto"/>
        <w:ind w:left="0"/>
        <w:contextualSpacing w:val="0"/>
        <w:jc w:val="center"/>
        <w:rPr>
          <w:sz w:val="22"/>
          <w:szCs w:val="22"/>
        </w:rPr>
      </w:pPr>
      <w:r>
        <w:rPr>
          <w:sz w:val="22"/>
          <w:szCs w:val="22"/>
        </w:rPr>
        <w:t>APPENDIX</w:t>
      </w:r>
    </w:p>
    <w:p w14:paraId="51ADBF8F" w14:textId="77777777" w:rsidR="00D87925" w:rsidRDefault="00D87925" w:rsidP="00D87925">
      <w:pPr>
        <w:pStyle w:val="Caption"/>
        <w:keepNext/>
        <w:spacing w:after="0"/>
        <w:rPr>
          <w:i w:val="0"/>
          <w:iCs w:val="0"/>
          <w:color w:val="000000" w:themeColor="text1"/>
          <w:sz w:val="24"/>
          <w:szCs w:val="24"/>
        </w:rPr>
        <w:sectPr w:rsidR="00D87925" w:rsidSect="00D87925">
          <w:footerReference w:type="even" r:id="rId5"/>
          <w:footerReference w:type="default" r:id="rId6"/>
          <w:pgSz w:w="12240" w:h="15840"/>
          <w:pgMar w:top="1440" w:right="1440" w:bottom="1440" w:left="1440" w:header="706" w:footer="706" w:gutter="0"/>
          <w:pgNumType w:start="0"/>
          <w:cols w:space="708"/>
          <w:titlePg/>
          <w:docGrid w:linePitch="360"/>
        </w:sectPr>
      </w:pPr>
      <w:bookmarkStart w:id="0" w:name="_Toc94559801"/>
    </w:p>
    <w:p w14:paraId="119ABD73" w14:textId="77777777" w:rsidR="00D87925" w:rsidRPr="00137214" w:rsidRDefault="00D87925" w:rsidP="00D87925">
      <w:pPr>
        <w:pStyle w:val="Caption"/>
        <w:keepNext/>
        <w:spacing w:after="0"/>
        <w:rPr>
          <w:i w:val="0"/>
          <w:iCs w:val="0"/>
          <w:color w:val="000000" w:themeColor="text1"/>
          <w:sz w:val="22"/>
          <w:szCs w:val="22"/>
        </w:rPr>
      </w:pPr>
      <w:r w:rsidRPr="00137214">
        <w:rPr>
          <w:i w:val="0"/>
          <w:iCs w:val="0"/>
          <w:color w:val="000000" w:themeColor="text1"/>
          <w:sz w:val="22"/>
          <w:szCs w:val="22"/>
        </w:rPr>
        <w:lastRenderedPageBreak/>
        <w:t xml:space="preserve">Figure 1: Literature retrieval outlined by the PRISMA tool. </w:t>
      </w:r>
    </w:p>
    <w:p w14:paraId="786298D9" w14:textId="77777777" w:rsidR="00D87925" w:rsidRPr="009A40AC" w:rsidRDefault="00D87925" w:rsidP="00D87925">
      <w:pPr>
        <w:pStyle w:val="Heading2"/>
        <w:spacing w:before="0" w:line="480" w:lineRule="auto"/>
        <w:rPr>
          <w:rFonts w:ascii="Times New Roman" w:hAnsi="Times New Roman" w:cs="Times New Roman"/>
          <w:b/>
          <w:bCs/>
          <w:color w:val="000000" w:themeColor="text1"/>
          <w:sz w:val="24"/>
          <w:szCs w:val="24"/>
        </w:rPr>
      </w:pPr>
    </w:p>
    <w:p w14:paraId="798EC63F" w14:textId="77777777" w:rsidR="00D87925" w:rsidRPr="008608DF" w:rsidRDefault="00D87925" w:rsidP="00D87925">
      <w:pPr>
        <w:pStyle w:val="ListParagraph"/>
        <w:keepNext/>
        <w:spacing w:line="480" w:lineRule="auto"/>
        <w:ind w:left="-567"/>
        <w:contextualSpacing w:val="0"/>
      </w:pPr>
      <w:r w:rsidRPr="00591926">
        <w:rPr>
          <w:noProof/>
        </w:rPr>
        <w:drawing>
          <wp:inline distT="0" distB="0" distL="0" distR="0" wp14:anchorId="6EB4F738" wp14:editId="2F7D09AB">
            <wp:extent cx="9310251" cy="4107051"/>
            <wp:effectExtent l="0" t="0" r="0" b="0"/>
            <wp:docPr id="334088644" name="Picture 334088644"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a flowchart&#10;&#10;Description automatically generated"/>
                    <pic:cNvPicPr/>
                  </pic:nvPicPr>
                  <pic:blipFill>
                    <a:blip r:embed="rId7"/>
                    <a:stretch>
                      <a:fillRect/>
                    </a:stretch>
                  </pic:blipFill>
                  <pic:spPr>
                    <a:xfrm>
                      <a:off x="0" y="0"/>
                      <a:ext cx="9328867" cy="4115263"/>
                    </a:xfrm>
                    <a:prstGeom prst="rect">
                      <a:avLst/>
                    </a:prstGeom>
                  </pic:spPr>
                </pic:pic>
              </a:graphicData>
            </a:graphic>
          </wp:inline>
        </w:drawing>
      </w:r>
    </w:p>
    <w:p w14:paraId="5B027E91" w14:textId="77777777" w:rsidR="00D87925" w:rsidRDefault="00D87925" w:rsidP="00D87925"/>
    <w:p w14:paraId="09BE5DAA" w14:textId="77777777" w:rsidR="00D87925" w:rsidRDefault="00D87925" w:rsidP="00D87925">
      <w:pPr>
        <w:sectPr w:rsidR="00D87925" w:rsidSect="00D87925">
          <w:pgSz w:w="15840" w:h="12240" w:orient="landscape"/>
          <w:pgMar w:top="1440" w:right="1440" w:bottom="1440" w:left="1440" w:header="706" w:footer="706" w:gutter="0"/>
          <w:cols w:space="708"/>
          <w:docGrid w:linePitch="360"/>
        </w:sectPr>
      </w:pPr>
    </w:p>
    <w:p w14:paraId="671C0631" w14:textId="77777777" w:rsidR="00D87925" w:rsidRDefault="00D87925" w:rsidP="00D87925"/>
    <w:p w14:paraId="392671EC" w14:textId="77777777" w:rsidR="00D87925" w:rsidRPr="00F11B06" w:rsidRDefault="00D87925" w:rsidP="00D87925">
      <w:pPr>
        <w:pStyle w:val="Heading2"/>
        <w:tabs>
          <w:tab w:val="left" w:pos="851"/>
        </w:tabs>
        <w:spacing w:before="0" w:line="480" w:lineRule="auto"/>
        <w:rPr>
          <w:rFonts w:ascii="Times New Roman" w:hAnsi="Times New Roman" w:cs="Times New Roman"/>
          <w:b/>
          <w:bCs/>
          <w:color w:val="auto"/>
          <w:sz w:val="22"/>
          <w:szCs w:val="22"/>
        </w:rPr>
      </w:pPr>
      <w:r>
        <w:rPr>
          <w:rFonts w:ascii="Times New Roman" w:hAnsi="Times New Roman" w:cs="Times New Roman"/>
          <w:b/>
          <w:bCs/>
          <w:color w:val="auto"/>
          <w:sz w:val="22"/>
          <w:szCs w:val="22"/>
        </w:rPr>
        <w:t xml:space="preserve">A. </w:t>
      </w:r>
      <w:r w:rsidRPr="00F11B06">
        <w:rPr>
          <w:rFonts w:ascii="Times New Roman" w:hAnsi="Times New Roman" w:cs="Times New Roman"/>
          <w:b/>
          <w:bCs/>
          <w:color w:val="auto"/>
          <w:sz w:val="22"/>
          <w:szCs w:val="22"/>
        </w:rPr>
        <w:t>Database building: non-eligible studies and further adjustments</w:t>
      </w:r>
    </w:p>
    <w:p w14:paraId="12ED48B3" w14:textId="392D1A35" w:rsidR="00D87925" w:rsidRPr="00F11B06" w:rsidRDefault="00D87925" w:rsidP="00D87925">
      <w:pPr>
        <w:tabs>
          <w:tab w:val="left" w:pos="851"/>
        </w:tabs>
        <w:spacing w:line="480" w:lineRule="auto"/>
        <w:rPr>
          <w:sz w:val="22"/>
          <w:szCs w:val="22"/>
        </w:rPr>
      </w:pPr>
      <w:r w:rsidRPr="00F11B06">
        <w:rPr>
          <w:sz w:val="22"/>
          <w:szCs w:val="22"/>
        </w:rPr>
        <w:t xml:space="preserve">Articles not performing primary valuation of pesticide risk reductions were excluded from the review </w:t>
      </w:r>
      <w:r w:rsidRPr="00F11B06">
        <w:rPr>
          <w:sz w:val="22"/>
          <w:szCs w:val="22"/>
        </w:rPr>
        <w:fldChar w:fldCharType="begin">
          <w:fldData xml:space="preserve">PEVuZE5vdGU+PENpdGU+PEF1dGhvcj5NdXllbjwvQXV0aG9yPjxZZWFyPjIwMDU8L1llYXI+PFJl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</w:fldData>
        </w:fldChar>
      </w:r>
      <w:r w:rsidR="00C653FF">
        <w:rPr>
          <w:sz w:val="22"/>
          <w:szCs w:val="22"/>
        </w:rPr>
        <w:instrText xml:space="preserve"> ADDIN EN.CITE </w:instrText>
      </w:r>
      <w:r w:rsidR="00C653FF">
        <w:rPr>
          <w:sz w:val="22"/>
          <w:szCs w:val="22"/>
        </w:rPr>
        <w:fldChar w:fldCharType="begin">
          <w:fldData xml:space="preserve">PEVuZE5vdGU+PENpdGU+PEF1dGhvcj5NdXllbjwvQXV0aG9yPjxZZWFyPjIwMDU8L1llYXI+PFJl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</w:fldData>
        </w:fldChar>
      </w:r>
      <w:r w:rsidR="00C653FF">
        <w:rPr>
          <w:sz w:val="22"/>
          <w:szCs w:val="22"/>
        </w:rPr>
        <w:instrText xml:space="preserve"> ADDIN EN.CITE.DATA </w:instrText>
      </w:r>
      <w:r w:rsidR="00C653FF">
        <w:rPr>
          <w:sz w:val="22"/>
          <w:szCs w:val="22"/>
        </w:rPr>
      </w:r>
      <w:r w:rsidR="00C653FF">
        <w:rPr>
          <w:sz w:val="22"/>
          <w:szCs w:val="22"/>
        </w:rPr>
        <w:fldChar w:fldCharType="end"/>
      </w:r>
      <w:r w:rsidRPr="00F11B06">
        <w:rPr>
          <w:sz w:val="22"/>
          <w:szCs w:val="22"/>
        </w:rPr>
        <w:fldChar w:fldCharType="separate"/>
      </w:r>
      <w:r w:rsidR="00C653FF">
        <w:rPr>
          <w:noProof/>
          <w:sz w:val="22"/>
          <w:szCs w:val="22"/>
        </w:rPr>
        <w:t>[1-6]</w:t>
      </w:r>
      <w:r w:rsidRPr="00F11B06">
        <w:rPr>
          <w:sz w:val="22"/>
          <w:szCs w:val="22"/>
        </w:rPr>
        <w:fldChar w:fldCharType="end"/>
      </w:r>
      <w:r w:rsidRPr="00F11B06">
        <w:rPr>
          <w:sz w:val="22"/>
          <w:szCs w:val="22"/>
        </w:rPr>
        <w:t xml:space="preserve">. We also observed that several candidate papers lacked socio-economic details of pesticide risks, while others did not contain valid monetary estimates for the purpose of this study. Some primary studies (see e.g. </w:t>
      </w:r>
      <w:r w:rsidRPr="00F11B06">
        <w:rPr>
          <w:sz w:val="22"/>
          <w:szCs w:val="22"/>
        </w:rPr>
        <w:fldChar w:fldCharType="begin">
          <w:fldData xml:space="preserve">PEVuZE5vdGU+PENpdGU+PEF1dGhvcj5IdWFuZzwvQXV0aG9yPjxZZWFyPjE5OTM8L1llYXI+PFJl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</w:fldData>
        </w:fldChar>
      </w:r>
      <w:r w:rsidR="00C653FF">
        <w:rPr>
          <w:sz w:val="22"/>
          <w:szCs w:val="22"/>
        </w:rPr>
        <w:instrText xml:space="preserve"> ADDIN EN.CITE </w:instrText>
      </w:r>
      <w:r w:rsidR="00C653FF">
        <w:rPr>
          <w:sz w:val="22"/>
          <w:szCs w:val="22"/>
        </w:rPr>
        <w:fldChar w:fldCharType="begin">
          <w:fldData xml:space="preserve">PEVuZE5vdGU+PENpdGU+PEF1dGhvcj5IdWFuZzwvQXV0aG9yPjxZZWFyPjE5OTM8L1llYXI+PFJl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</w:fldData>
        </w:fldChar>
      </w:r>
      <w:r w:rsidR="00C653FF">
        <w:rPr>
          <w:sz w:val="22"/>
          <w:szCs w:val="22"/>
        </w:rPr>
        <w:instrText xml:space="preserve"> ADDIN EN.CITE.DATA </w:instrText>
      </w:r>
      <w:r w:rsidR="00C653FF">
        <w:rPr>
          <w:sz w:val="22"/>
          <w:szCs w:val="22"/>
        </w:rPr>
      </w:r>
      <w:r w:rsidR="00C653FF">
        <w:rPr>
          <w:sz w:val="22"/>
          <w:szCs w:val="22"/>
        </w:rPr>
        <w:fldChar w:fldCharType="end"/>
      </w:r>
      <w:r w:rsidRPr="00F11B06">
        <w:rPr>
          <w:sz w:val="22"/>
          <w:szCs w:val="22"/>
        </w:rPr>
        <w:fldChar w:fldCharType="separate"/>
      </w:r>
      <w:r w:rsidR="00C653FF">
        <w:rPr>
          <w:noProof/>
          <w:sz w:val="22"/>
          <w:szCs w:val="22"/>
        </w:rPr>
        <w:t>[7-13]</w:t>
      </w:r>
      <w:r w:rsidRPr="00F11B06">
        <w:rPr>
          <w:sz w:val="22"/>
          <w:szCs w:val="22"/>
        </w:rPr>
        <w:fldChar w:fldCharType="end"/>
      </w:r>
      <w:r w:rsidRPr="00F11B06">
        <w:rPr>
          <w:sz w:val="22"/>
          <w:szCs w:val="22"/>
        </w:rPr>
        <w:t xml:space="preserve"> made use of WTP estimates in probabilistic terms (“expressed as probability of WTP”), while others presented WTP measures in percental units </w:t>
      </w:r>
      <w:r w:rsidRPr="00F11B06">
        <w:rPr>
          <w:sz w:val="22"/>
          <w:szCs w:val="22"/>
        </w:rPr>
        <w:fldChar w:fldCharType="begin">
          <w:fldData xml:space="preserve">PEVuZE5vdGU+PENpdGU+PEF1dGhvcj5Cb2NjYWxldHRpPC9BdXRob3I+PFllYXI+MjAwMDwvWWVh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</w:fldData>
        </w:fldChar>
      </w:r>
      <w:r w:rsidR="00C653FF">
        <w:rPr>
          <w:sz w:val="22"/>
          <w:szCs w:val="22"/>
        </w:rPr>
        <w:instrText xml:space="preserve"> ADDIN EN.CITE </w:instrText>
      </w:r>
      <w:r w:rsidR="00C653FF">
        <w:rPr>
          <w:sz w:val="22"/>
          <w:szCs w:val="22"/>
        </w:rPr>
        <w:fldChar w:fldCharType="begin">
          <w:fldData xml:space="preserve">PEVuZE5vdGU+PENpdGU+PEF1dGhvcj5Cb2NjYWxldHRpPC9BdXRob3I+PFllYXI+MjAwMDwvWWVh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</w:fldData>
        </w:fldChar>
      </w:r>
      <w:r w:rsidR="00C653FF">
        <w:rPr>
          <w:sz w:val="22"/>
          <w:szCs w:val="22"/>
        </w:rPr>
        <w:instrText xml:space="preserve"> ADDIN EN.CITE.DATA </w:instrText>
      </w:r>
      <w:r w:rsidR="00C653FF">
        <w:rPr>
          <w:sz w:val="22"/>
          <w:szCs w:val="22"/>
        </w:rPr>
      </w:r>
      <w:r w:rsidR="00C653FF">
        <w:rPr>
          <w:sz w:val="22"/>
          <w:szCs w:val="22"/>
        </w:rPr>
        <w:fldChar w:fldCharType="end"/>
      </w:r>
      <w:r w:rsidRPr="00F11B06">
        <w:rPr>
          <w:sz w:val="22"/>
          <w:szCs w:val="22"/>
        </w:rPr>
        <w:fldChar w:fldCharType="separate"/>
      </w:r>
      <w:r w:rsidR="00C653FF">
        <w:rPr>
          <w:noProof/>
          <w:sz w:val="22"/>
          <w:szCs w:val="22"/>
        </w:rPr>
        <w:t>[14-18]</w:t>
      </w:r>
      <w:r w:rsidRPr="00F11B06">
        <w:rPr>
          <w:sz w:val="22"/>
          <w:szCs w:val="22"/>
        </w:rPr>
        <w:fldChar w:fldCharType="end"/>
      </w:r>
      <w:r w:rsidRPr="00F11B06">
        <w:rPr>
          <w:sz w:val="22"/>
          <w:szCs w:val="22"/>
        </w:rPr>
        <w:t xml:space="preserve">.  Moreover, other papers including cost of illness </w:t>
      </w:r>
      <w:r w:rsidRPr="00F11B06">
        <w:rPr>
          <w:sz w:val="22"/>
          <w:szCs w:val="22"/>
        </w:rPr>
        <w:fldChar w:fldCharType="begin">
          <w:fldData xml:space="preserve">PEVuZE5vdGU+PENpdGU+PEF1dGhvcj5Dcmlzc21hbjwvQXV0aG9yPjxZZWFyPjE5OTQ8L1llYXI+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</w:fldData>
        </w:fldChar>
      </w:r>
      <w:r w:rsidR="00C653FF">
        <w:rPr>
          <w:sz w:val="22"/>
          <w:szCs w:val="22"/>
        </w:rPr>
        <w:instrText xml:space="preserve"> ADDIN EN.CITE </w:instrText>
      </w:r>
      <w:r w:rsidR="00C653FF">
        <w:rPr>
          <w:sz w:val="22"/>
          <w:szCs w:val="22"/>
        </w:rPr>
        <w:fldChar w:fldCharType="begin">
          <w:fldData xml:space="preserve">PEVuZE5vdGU+PENpdGU+PEF1dGhvcj5Dcmlzc21hbjwvQXV0aG9yPjxZZWFyPjE5OTQ8L1llYXI+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</w:fldData>
        </w:fldChar>
      </w:r>
      <w:r w:rsidR="00C653FF">
        <w:rPr>
          <w:sz w:val="22"/>
          <w:szCs w:val="22"/>
        </w:rPr>
        <w:instrText xml:space="preserve"> ADDIN EN.CITE.DATA </w:instrText>
      </w:r>
      <w:r w:rsidR="00C653FF">
        <w:rPr>
          <w:sz w:val="22"/>
          <w:szCs w:val="22"/>
        </w:rPr>
      </w:r>
      <w:r w:rsidR="00C653FF">
        <w:rPr>
          <w:sz w:val="22"/>
          <w:szCs w:val="22"/>
        </w:rPr>
        <w:fldChar w:fldCharType="end"/>
      </w:r>
      <w:r w:rsidRPr="00F11B06">
        <w:rPr>
          <w:sz w:val="22"/>
          <w:szCs w:val="22"/>
        </w:rPr>
        <w:fldChar w:fldCharType="separate"/>
      </w:r>
      <w:r w:rsidR="00C653FF">
        <w:rPr>
          <w:noProof/>
          <w:sz w:val="22"/>
          <w:szCs w:val="22"/>
        </w:rPr>
        <w:t>[19-21]</w:t>
      </w:r>
      <w:r w:rsidRPr="00F11B06">
        <w:rPr>
          <w:sz w:val="22"/>
          <w:szCs w:val="22"/>
        </w:rPr>
        <w:fldChar w:fldCharType="end"/>
      </w:r>
      <w:r w:rsidRPr="00F11B06">
        <w:rPr>
          <w:sz w:val="22"/>
          <w:szCs w:val="22"/>
        </w:rPr>
        <w:t xml:space="preserve"> or hedonic methods eliciting shadow values which only provide mean elasticities </w:t>
      </w:r>
      <w:r w:rsidRPr="00F11B06">
        <w:rPr>
          <w:sz w:val="22"/>
          <w:szCs w:val="22"/>
        </w:rPr>
        <w:fldChar w:fldCharType="begin"/>
      </w:r>
      <w:r w:rsidR="00C653FF">
        <w:rPr>
          <w:sz w:val="22"/>
          <w:szCs w:val="22"/>
        </w:rPr>
        <w:instrText xml:space="preserve"> ADDIN EN.CITE &lt;EndNote&gt;&lt;Cite&gt;&lt;Author&gt;Beach&lt;/Author&gt;&lt;Year&gt;1993&lt;/Year&gt;&lt;RecNum&gt;77&lt;/RecNum&gt;&lt;DisplayText&gt;[22, 23]&lt;/DisplayText&gt;&lt;record&gt;&lt;rec-number&gt;77&lt;/rec-number&gt;&lt;foreign-keys&gt;&lt;key app="EN" db-id="0pstftvvb2s0x4e5tetxztsizs92vtrvp2vx" timestamp="1633447148" guid="a7ac36c3-2a46-42fa-9aa7-b5195e7a09a3"&gt;77&lt;/key&gt;&lt;/foreign-keys&gt;&lt;ref-type name="Journal Article"&gt;17&lt;/ref-type&gt;&lt;contributors&gt;&lt;authors&gt;&lt;author&gt;Beach, E. Douglas&lt;/author&gt;&lt;author&gt;Carlson, Gerald A.&lt;/author&gt;&lt;/authors&gt;&lt;/contributors&gt;&lt;titles&gt;&lt;title&gt;A Hedonic Analysis of Herbicides: Do User Safety and Water Quality Matter?&lt;/title&gt;&lt;secondary-title&gt;American Journal of Agricultural Economics&lt;/secondary-title&gt;&lt;/titles&gt;&lt;periodical&gt;&lt;full-title&gt;American Journal of Agricultural Economics&lt;/full-title&gt;&lt;/periodical&gt;&lt;pages&gt;612-623&lt;/pages&gt;&lt;volume&gt;75&lt;/volume&gt;&lt;number&gt;3&lt;/number&gt;&lt;dates&gt;&lt;year&gt;1993&lt;/year&gt;&lt;/dates&gt;&lt;publisher&gt;[Agricultural &amp;amp; Applied Economics Association, Oxford University Press]&lt;/publisher&gt;&lt;isbn&gt;00029092, 14678276&lt;/isbn&gt;&lt;urls&gt;&lt;related-urls&gt;&lt;url&gt;http://www.jstor.org/stable/1243568&lt;/url&gt;&lt;/related-urls&gt;&lt;/urls&gt;&lt;custom1&gt;Full publication date: Aug., 1993&lt;/custom1&gt;&lt;electronic-resource-num&gt;10.2307/1243568&lt;/electronic-resource-num&gt;&lt;remote-database-name&gt;JSTOR&lt;/remote-database-name&gt;&lt;access-date&gt;2021/10/05/&lt;/access-date&gt;&lt;/record&gt;&lt;/Cite&gt;&lt;Cite&gt;&lt;Author&gt;Söderqvist&lt;/Author&gt;&lt;Year&gt;1998&lt;/Year&gt;&lt;RecNum&gt;76&lt;/RecNum&gt;&lt;record&gt;&lt;rec-number&gt;76&lt;/rec-number&gt;&lt;foreign-keys&gt;&lt;key app="EN" db-id="0pstftvvb2s0x4e5tetxztsizs92vtrvp2vx" timestamp="1633447116" guid="48068300-6c5f-44a9-9aed-fb4561d069fc"&gt;76&lt;/key&gt;&lt;/foreign-keys&gt;&lt;ref-type name="Book Section"&gt;5&lt;/ref-type&gt;&lt;contributors&gt;&lt;authors&gt;&lt;author&gt;Söderqvist, Tore&lt;/author&gt;&lt;/authors&gt;&lt;/contributors&gt;&lt;titles&gt;&lt;title&gt;Valuing chemical characteristics: a hedonic approach&lt;/title&gt;&lt;secondary-title&gt;Regulating Chemical Accumulation in the Environment&lt;/secondary-title&gt;&lt;/titles&gt;&lt;pages&gt;50-71&lt;/pages&gt;&lt;dates&gt;&lt;year&gt;1998&lt;/year&gt;&lt;/dates&gt;&lt;publisher&gt;Cambridge University Press Cambridge&lt;/publisher&gt;&lt;urls&gt;&lt;/urls&gt;&lt;/record&gt;&lt;/Cite&gt;&lt;/EndNote&gt;</w:instrText>
      </w:r>
      <w:r w:rsidRPr="00F11B06">
        <w:rPr>
          <w:sz w:val="22"/>
          <w:szCs w:val="22"/>
        </w:rPr>
        <w:fldChar w:fldCharType="separate"/>
      </w:r>
      <w:r w:rsidR="00C653FF">
        <w:rPr>
          <w:noProof/>
          <w:sz w:val="22"/>
          <w:szCs w:val="22"/>
        </w:rPr>
        <w:t>[22, 23]</w:t>
      </w:r>
      <w:r w:rsidRPr="00F11B06">
        <w:rPr>
          <w:sz w:val="22"/>
          <w:szCs w:val="22"/>
        </w:rPr>
        <w:fldChar w:fldCharType="end"/>
      </w:r>
      <w:r w:rsidRPr="00F11B06">
        <w:rPr>
          <w:sz w:val="22"/>
          <w:szCs w:val="22"/>
        </w:rPr>
        <w:t xml:space="preserve">, were also disregarded for the purpose of this study. Some articles just presented influencing factors of WTP, without providing average valuation estimates </w:t>
      </w:r>
      <w:r w:rsidRPr="00F11B06">
        <w:rPr>
          <w:sz w:val="22"/>
          <w:szCs w:val="22"/>
        </w:rPr>
        <w:fldChar w:fldCharType="begin"/>
      </w:r>
      <w:r w:rsidR="00C653FF">
        <w:rPr>
          <w:sz w:val="22"/>
          <w:szCs w:val="22"/>
        </w:rPr>
        <w:instrText xml:space="preserve"> ADDIN EN.CITE &lt;EndNote&gt;&lt;Cite&gt;&lt;Author&gt;Rani&lt;/Author&gt;&lt;Year&gt;2018&lt;/Year&gt;&lt;RecNum&gt;294&lt;/RecNum&gt;&lt;DisplayText&gt;[9, 24]&lt;/DisplayText&gt;&lt;record&gt;&lt;rec-number&gt;294&lt;/rec-number&gt;&lt;foreign-keys&gt;&lt;key app="EN" db-id="0pstftvvb2s0x4e5tetxztsizs92vtrvp2vx" timestamp="1684147138" guid="50088fc3-acc0-4c1d-b09d-722aeb10224f"&gt;294&lt;/key&gt;&lt;/foreign-keys&gt;&lt;ref-type name="Journal Article"&gt;17&lt;/ref-type&gt;&lt;contributors&gt;&lt;authors&gt;&lt;author&gt;Rani, Saima&lt;/author&gt;&lt;author&gt;Shah, Hassnian&lt;/author&gt;&lt;author&gt;Habib, Nusrat&lt;/author&gt;&lt;author&gt;Khan, M&lt;/author&gt;&lt;/authors&gt;&lt;/contributors&gt;&lt;titles&gt;&lt;title&gt;Consumers’ Preferences and willingness to pay for organic vegetables in Islamabad, Pakistan&lt;/title&gt;&lt;secondary-title&gt;Sarhad Journal of Agriculture&lt;/secondary-title&gt;&lt;/titles&gt;&lt;periodical&gt;&lt;full-title&gt;Sarhad Journal of Agriculture&lt;/full-title&gt;&lt;/periodical&gt;&lt;pages&gt;494-499&lt;/pages&gt;&lt;volume&gt;34&lt;/volume&gt;&lt;number&gt;3&lt;/number&gt;&lt;dates&gt;&lt;year&gt;2018&lt;/year&gt;&lt;/dates&gt;&lt;isbn&gt;1016-4383&lt;/isbn&gt;&lt;urls&gt;&lt;/urls&gt;&lt;/record&gt;&lt;/Cite&gt;&lt;Cite&gt;&lt;Author&gt;Eichhorn&lt;/Author&gt;&lt;Year&gt;2020&lt;/Year&gt;&lt;RecNum&gt;299&lt;/RecNum&gt;&lt;record&gt;&lt;rec-number&gt;299&lt;/rec-number&gt;&lt;foreign-keys&gt;&lt;key app="EN" db-id="0pstftvvb2s0x4e5tetxztsizs92vtrvp2vx" timestamp="1684148350" guid="700a8732-b53a-4599-94d3-721e74f2a20f"&gt;299&lt;/key&gt;&lt;/foreign-keys&gt;&lt;ref-type name="Journal Article"&gt;17&lt;/ref-type&gt;&lt;contributors&gt;&lt;authors&gt;&lt;author&gt;Eichhorn, Theresa&lt;/author&gt;&lt;author&gt;Meixner, Oliver&lt;/author&gt;&lt;/authors&gt;&lt;/contributors&gt;&lt;titles&gt;&lt;title&gt;Factors influencing the willingness to pay for aquaponic products in a developed food market: A structural equation modeling approach&lt;/title&gt;&lt;secondary-title&gt;Sustainability&lt;/secondary-title&gt;&lt;/titles&gt;&lt;periodical&gt;&lt;full-title&gt;Sustainability&lt;/full-title&gt;&lt;/periodical&gt;&lt;pages&gt;3475&lt;/pages&gt;&lt;volume&gt;12&lt;/volume&gt;&lt;number&gt;8&lt;/number&gt;&lt;dates&gt;&lt;year&gt;2020&lt;/year&gt;&lt;/dates&gt;&lt;isbn&gt;2071-1050&lt;/isbn&gt;&lt;urls&gt;&lt;/urls&gt;&lt;/record&gt;&lt;/Cite&gt;&lt;/EndNote&gt;</w:instrText>
      </w:r>
      <w:r w:rsidRPr="00F11B06">
        <w:rPr>
          <w:sz w:val="22"/>
          <w:szCs w:val="22"/>
        </w:rPr>
        <w:fldChar w:fldCharType="separate"/>
      </w:r>
      <w:r w:rsidR="00C653FF">
        <w:rPr>
          <w:noProof/>
          <w:sz w:val="22"/>
          <w:szCs w:val="22"/>
        </w:rPr>
        <w:t>[9, 24]</w:t>
      </w:r>
      <w:r w:rsidRPr="00F11B06">
        <w:rPr>
          <w:sz w:val="22"/>
          <w:szCs w:val="22"/>
        </w:rPr>
        <w:fldChar w:fldCharType="end"/>
      </w:r>
      <w:r w:rsidRPr="00F11B06">
        <w:rPr>
          <w:sz w:val="22"/>
          <w:szCs w:val="22"/>
        </w:rPr>
        <w:t xml:space="preserve">. It should be noted that some other valuation papers were not included since they lacked key information for this analysis, which was also not available through online sources nor email inquiries (e.g., farm size, consumption frequency, survey design, valuation scenario) </w:t>
      </w:r>
      <w:r w:rsidRPr="00F11B06">
        <w:rPr>
          <w:sz w:val="22"/>
          <w:szCs w:val="22"/>
        </w:rPr>
        <w:fldChar w:fldCharType="begin">
          <w:fldData xml:space="preserve">PEVuZE5vdGU+PENpdGU+PEF1dGhvcj5NdXJpaXRoaTwvQXV0aG9yPjxZZWFyPjIwMjE8L1llYXI+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</w:fldData>
        </w:fldChar>
      </w:r>
      <w:r w:rsidR="00C653FF">
        <w:rPr>
          <w:sz w:val="22"/>
          <w:szCs w:val="22"/>
        </w:rPr>
        <w:instrText xml:space="preserve"> ADDIN EN.CITE </w:instrText>
      </w:r>
      <w:r w:rsidR="00C653FF">
        <w:rPr>
          <w:sz w:val="22"/>
          <w:szCs w:val="22"/>
        </w:rPr>
        <w:fldChar w:fldCharType="begin">
          <w:fldData xml:space="preserve">PEVuZE5vdGU+PENpdGU+PEF1dGhvcj5NdXJpaXRoaTwvQXV0aG9yPjxZZWFyPjIwMjE8L1llYXI+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</w:fldData>
        </w:fldChar>
      </w:r>
      <w:r w:rsidR="00C653FF">
        <w:rPr>
          <w:sz w:val="22"/>
          <w:szCs w:val="22"/>
        </w:rPr>
        <w:instrText xml:space="preserve"> ADDIN EN.CITE.DATA </w:instrText>
      </w:r>
      <w:r w:rsidR="00C653FF">
        <w:rPr>
          <w:sz w:val="22"/>
          <w:szCs w:val="22"/>
        </w:rPr>
      </w:r>
      <w:r w:rsidR="00C653FF">
        <w:rPr>
          <w:sz w:val="22"/>
          <w:szCs w:val="22"/>
        </w:rPr>
        <w:fldChar w:fldCharType="end"/>
      </w:r>
      <w:r w:rsidRPr="00F11B06">
        <w:rPr>
          <w:sz w:val="22"/>
          <w:szCs w:val="22"/>
        </w:rPr>
        <w:fldChar w:fldCharType="separate"/>
      </w:r>
      <w:r w:rsidR="00C653FF">
        <w:rPr>
          <w:noProof/>
          <w:sz w:val="22"/>
          <w:szCs w:val="22"/>
        </w:rPr>
        <w:t>[25-29]</w:t>
      </w:r>
      <w:r w:rsidRPr="00F11B06">
        <w:rPr>
          <w:sz w:val="22"/>
          <w:szCs w:val="22"/>
        </w:rPr>
        <w:fldChar w:fldCharType="end"/>
      </w:r>
      <w:r w:rsidRPr="00F11B06">
        <w:rPr>
          <w:sz w:val="22"/>
          <w:szCs w:val="22"/>
        </w:rPr>
        <w:t xml:space="preserve">. Lastly, there was a long list of papers which only assessed biophysical aspects of pesticides risks </w:t>
      </w:r>
      <w:r w:rsidRPr="00F11B06">
        <w:rPr>
          <w:sz w:val="22"/>
          <w:szCs w:val="22"/>
        </w:rPr>
        <w:fldChar w:fldCharType="begin">
          <w:fldData xml:space="preserve">PEVuZE5vdGU+PENpdGU+PEF1dGhvcj5BbmdsZTwvQXV0aG9yPjxZZWFyPjIwMDU8L1llYXI+PFJl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==
</w:fldData>
        </w:fldChar>
      </w:r>
      <w:r w:rsidR="00C653FF">
        <w:rPr>
          <w:sz w:val="22"/>
          <w:szCs w:val="22"/>
        </w:rPr>
        <w:instrText xml:space="preserve"> ADDIN EN.CITE </w:instrText>
      </w:r>
      <w:r w:rsidR="00C653FF">
        <w:rPr>
          <w:sz w:val="22"/>
          <w:szCs w:val="22"/>
        </w:rPr>
        <w:fldChar w:fldCharType="begin">
          <w:fldData xml:space="preserve">PEVuZE5vdGU+PENpdGU+PEF1dGhvcj5BbmdsZTwvQXV0aG9yPjxZZWFyPjIwMDU8L1llYXI+PFJl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==
</w:fldData>
        </w:fldChar>
      </w:r>
      <w:r w:rsidR="00C653FF">
        <w:rPr>
          <w:sz w:val="22"/>
          <w:szCs w:val="22"/>
        </w:rPr>
        <w:instrText xml:space="preserve"> ADDIN EN.CITE.DATA </w:instrText>
      </w:r>
      <w:r w:rsidR="00C653FF">
        <w:rPr>
          <w:sz w:val="22"/>
          <w:szCs w:val="22"/>
        </w:rPr>
      </w:r>
      <w:r w:rsidR="00C653FF">
        <w:rPr>
          <w:sz w:val="22"/>
          <w:szCs w:val="22"/>
        </w:rPr>
        <w:fldChar w:fldCharType="end"/>
      </w:r>
      <w:r w:rsidRPr="00F11B06">
        <w:rPr>
          <w:sz w:val="22"/>
          <w:szCs w:val="22"/>
        </w:rPr>
        <w:fldChar w:fldCharType="separate"/>
      </w:r>
      <w:r w:rsidR="00C653FF">
        <w:rPr>
          <w:noProof/>
          <w:sz w:val="22"/>
          <w:szCs w:val="22"/>
        </w:rPr>
        <w:t>[1, 30, 31]</w:t>
      </w:r>
      <w:r w:rsidRPr="00F11B06">
        <w:rPr>
          <w:sz w:val="22"/>
          <w:szCs w:val="22"/>
        </w:rPr>
        <w:fldChar w:fldCharType="end"/>
      </w:r>
      <w:r w:rsidRPr="00F11B06">
        <w:rPr>
          <w:sz w:val="22"/>
          <w:szCs w:val="22"/>
        </w:rPr>
        <w:t xml:space="preserve">. </w:t>
      </w:r>
    </w:p>
    <w:p w14:paraId="340AA5F6" w14:textId="77777777" w:rsidR="00D87925" w:rsidRPr="00F11B06" w:rsidRDefault="00D87925" w:rsidP="00D87925">
      <w:pPr>
        <w:tabs>
          <w:tab w:val="left" w:pos="851"/>
        </w:tabs>
        <w:spacing w:line="480" w:lineRule="auto"/>
        <w:rPr>
          <w:sz w:val="22"/>
          <w:szCs w:val="22"/>
        </w:rPr>
      </w:pPr>
    </w:p>
    <w:p w14:paraId="178DAB48" w14:textId="3E7023B4" w:rsidR="00D87925" w:rsidRPr="00F11B06" w:rsidRDefault="00D87925" w:rsidP="00D87925">
      <w:pPr>
        <w:tabs>
          <w:tab w:val="left" w:pos="851"/>
        </w:tabs>
        <w:spacing w:line="480" w:lineRule="auto"/>
        <w:rPr>
          <w:sz w:val="22"/>
          <w:szCs w:val="22"/>
        </w:rPr>
      </w:pPr>
      <w:r w:rsidRPr="00F11B06">
        <w:rPr>
          <w:sz w:val="22"/>
          <w:szCs w:val="22"/>
        </w:rPr>
        <w:t xml:space="preserve">This resulted in a database with 408 meta-observations from 49 primary studies. In some cases, primary studies included notably more observations than others, which could result in an unbalanced panel for the purpose of this meta-analysis. Therefore, observations from the same primary studies with similar values that included comparable information regarding risk from pesticides, elicitation method, risk sub-group, etc. were eliminated from the database (i.e., 106 observations from </w:t>
      </w:r>
      <w:proofErr w:type="spellStart"/>
      <w:r w:rsidRPr="00F11B06">
        <w:rPr>
          <w:sz w:val="22"/>
          <w:szCs w:val="22"/>
        </w:rPr>
        <w:t>Hammit</w:t>
      </w:r>
      <w:proofErr w:type="spellEnd"/>
      <w:r w:rsidRPr="00F11B06">
        <w:rPr>
          <w:sz w:val="22"/>
          <w:szCs w:val="22"/>
        </w:rPr>
        <w:t xml:space="preserve"> </w:t>
      </w:r>
      <w:r w:rsidRPr="00F11B06">
        <w:rPr>
          <w:sz w:val="22"/>
          <w:szCs w:val="22"/>
        </w:rPr>
        <w:fldChar w:fldCharType="begin"/>
      </w:r>
      <w:r w:rsidR="00C653FF">
        <w:rPr>
          <w:sz w:val="22"/>
          <w:szCs w:val="22"/>
        </w:rPr>
        <w:instrText xml:space="preserve"> ADDIN EN.CITE &lt;EndNote&gt;&lt;Cite ExcludeAuth="1"&gt;&lt;Author&gt;Hammitt&lt;/Author&gt;&lt;Year&gt;1993&lt;/Year&gt;&lt;RecNum&gt;148&lt;/RecNum&gt;&lt;DisplayText&gt;[32]&lt;/DisplayText&gt;&lt;record&gt;&lt;rec-number&gt;148&lt;/rec-number&gt;&lt;foreign-keys&gt;&lt;key app="EN" db-id="0pstftvvb2s0x4e5tetxztsizs92vtrvp2vx" timestamp="1674160632" guid="86885169-39c4-44ed-b669-66a78ad58bbd"&gt;148&lt;/key&gt;&lt;/foreign-keys&gt;&lt;ref-type name="Journal Article"&gt;17&lt;/ref-type&gt;&lt;contributors&gt;&lt;authors&gt;&lt;author&gt;Hammitt, James K&lt;/author&gt;&lt;/authors&gt;&lt;/contributors&gt;&lt;titles&gt;&lt;title&gt;Consumer willingness to pay to avoid pesticide residues&lt;/title&gt;&lt;secondary-title&gt;Statistica Sinica&lt;/secondary-title&gt;&lt;/titles&gt;&lt;periodical&gt;&lt;full-title&gt;Statistica Sinica&lt;/full-title&gt;&lt;/periodical&gt;&lt;pages&gt;351-366&lt;/pages&gt;&lt;dates&gt;&lt;year&gt;1993&lt;/year&gt;&lt;/dates&gt;&lt;isbn&gt;1017-0405&lt;/isbn&gt;&lt;urls&gt;&lt;/urls&gt;&lt;/record&gt;&lt;/Cite&gt;&lt;/EndNote&gt;</w:instrText>
      </w:r>
      <w:r w:rsidRPr="00F11B06">
        <w:rPr>
          <w:sz w:val="22"/>
          <w:szCs w:val="22"/>
        </w:rPr>
        <w:fldChar w:fldCharType="separate"/>
      </w:r>
      <w:r w:rsidR="00C653FF">
        <w:rPr>
          <w:noProof/>
          <w:sz w:val="22"/>
          <w:szCs w:val="22"/>
        </w:rPr>
        <w:t>[32]</w:t>
      </w:r>
      <w:r w:rsidRPr="00F11B06">
        <w:rPr>
          <w:sz w:val="22"/>
          <w:szCs w:val="22"/>
        </w:rPr>
        <w:fldChar w:fldCharType="end"/>
      </w:r>
      <w:r w:rsidRPr="00F11B06">
        <w:rPr>
          <w:sz w:val="22"/>
          <w:szCs w:val="22"/>
        </w:rPr>
        <w:t>) and we recorded the average value for each baseline risk level and impact.</w:t>
      </w:r>
    </w:p>
    <w:p w14:paraId="30F0A5A0" w14:textId="77777777" w:rsidR="00D87925" w:rsidRPr="00F11B06" w:rsidRDefault="00D87925" w:rsidP="00D87925">
      <w:pPr>
        <w:tabs>
          <w:tab w:val="left" w:pos="851"/>
        </w:tabs>
        <w:rPr>
          <w:sz w:val="22"/>
          <w:szCs w:val="22"/>
        </w:rPr>
      </w:pPr>
    </w:p>
    <w:p w14:paraId="1B0EB502" w14:textId="77777777" w:rsidR="00D87925" w:rsidRPr="00F11B06" w:rsidRDefault="00D87925" w:rsidP="00D87925">
      <w:pPr>
        <w:pStyle w:val="Heading2"/>
        <w:tabs>
          <w:tab w:val="left" w:pos="851"/>
        </w:tabs>
        <w:spacing w:before="0" w:line="480" w:lineRule="auto"/>
        <w:rPr>
          <w:rFonts w:ascii="Times New Roman" w:hAnsi="Times New Roman" w:cs="Times New Roman"/>
          <w:b/>
          <w:bCs/>
          <w:color w:val="auto"/>
          <w:sz w:val="22"/>
          <w:szCs w:val="22"/>
        </w:rPr>
      </w:pPr>
      <w:r>
        <w:rPr>
          <w:rFonts w:ascii="Times New Roman" w:hAnsi="Times New Roman" w:cs="Times New Roman"/>
          <w:b/>
          <w:bCs/>
          <w:color w:val="auto"/>
          <w:sz w:val="22"/>
          <w:szCs w:val="22"/>
        </w:rPr>
        <w:t xml:space="preserve">B. </w:t>
      </w:r>
      <w:r w:rsidRPr="00F11B06">
        <w:rPr>
          <w:rFonts w:ascii="Times New Roman" w:hAnsi="Times New Roman" w:cs="Times New Roman"/>
          <w:b/>
          <w:bCs/>
          <w:color w:val="auto"/>
          <w:sz w:val="22"/>
          <w:szCs w:val="22"/>
        </w:rPr>
        <w:t>Standardization of effect sizes</w:t>
      </w:r>
      <w:bookmarkEnd w:id="0"/>
    </w:p>
    <w:p w14:paraId="1E42C4F3" w14:textId="2A4AF7A1" w:rsidR="00D87925" w:rsidRPr="00F11B06" w:rsidRDefault="00D87925" w:rsidP="00D87925">
      <w:pPr>
        <w:pStyle w:val="ListParagraph"/>
        <w:tabs>
          <w:tab w:val="left" w:pos="851"/>
        </w:tabs>
        <w:spacing w:line="480" w:lineRule="auto"/>
        <w:ind w:left="0"/>
        <w:contextualSpacing w:val="0"/>
        <w:rPr>
          <w:sz w:val="22"/>
          <w:szCs w:val="22"/>
        </w:rPr>
      </w:pPr>
      <w:r w:rsidRPr="00F11B06">
        <w:rPr>
          <w:sz w:val="22"/>
          <w:szCs w:val="22"/>
        </w:rPr>
        <w:t xml:space="preserve">For each meta-observation retrieved, an effect size was calculated and standardized to a common measurement unit. Some studies reported per person or per household WTP for pesticide risk reduction in a weekly, monthly or yearly basis, while others reported per person per acre units. Additionally, the WTP measures need to be updated to 2021 prices. The standardization factors, computed in a similar way as in </w:t>
      </w:r>
      <w:r w:rsidRPr="00F11B06">
        <w:rPr>
          <w:sz w:val="22"/>
          <w:szCs w:val="22"/>
        </w:rPr>
        <w:lastRenderedPageBreak/>
        <w:t xml:space="preserve">the study by Florax et al. </w:t>
      </w:r>
      <w:r w:rsidRPr="00F11B06">
        <w:rPr>
          <w:sz w:val="22"/>
          <w:szCs w:val="22"/>
        </w:rPr>
        <w:fldChar w:fldCharType="begin"/>
      </w:r>
      <w:r w:rsidR="00C653FF">
        <w:rPr>
          <w:sz w:val="22"/>
          <w:szCs w:val="22"/>
        </w:rPr>
        <w:instrText xml:space="preserve"> ADDIN EN.CITE &lt;EndNote&gt;&lt;Cite ExcludeAuth="1"&gt;&lt;Author&gt;Florax&lt;/Author&gt;&lt;Year&gt;2005&lt;/Year&gt;&lt;RecNum&gt;0&lt;/RecNum&gt;&lt;IDText&gt;A meta-analysis of the willingness to pay for reductions in pesticide risk exposure&lt;/IDText&gt;&lt;DisplayText&gt;[33]&lt;/DisplayText&gt;&lt;record&gt;&lt;isbn&gt;0165-1587&amp;#xD;1464-3618&lt;/isbn&gt;&lt;titles&gt;&lt;title&gt;A meta-analysis of the willingness to pay for reductions in pesticide risk exposure&lt;/title&gt;&lt;secondary-title&gt;European Review of Agricultural Economics&lt;/secondary-title&gt;&lt;/titles&gt;&lt;pages&gt;441-467&lt;/pages&gt;&lt;number&gt;4&lt;/number&gt;&lt;contributors&gt;&lt;authors&gt;&lt;author&gt;Florax, R. J. G. M.&lt;/author&gt;&lt;author&gt;Travisi, C. M.&lt;/author&gt;&lt;author&gt;Nijkamp, P.&lt;/author&gt;&lt;/authors&gt;&lt;/contributors&gt;&lt;section&gt;441&lt;/section&gt;&lt;added-date format="utc"&gt;1633012639&lt;/added-date&gt;&lt;ref-type name="Journal Article"&gt;17&lt;/ref-type&gt;&lt;dates&gt;&lt;year&gt;2005&lt;/year&gt;&lt;/dates&gt;&lt;rec-number&gt;16&lt;/rec-number&gt;&lt;last-updated-date format="utc"&gt;1633534253&lt;/last-updated-date&gt;&lt;electronic-resource-num&gt;10.1093/erae/jbi025&lt;/electronic-resource-num&gt;&lt;volume&gt;32&lt;/volume&gt;&lt;/record&gt;&lt;/Cite&gt;&lt;/EndNote&gt;</w:instrText>
      </w:r>
      <w:r w:rsidRPr="00F11B06">
        <w:rPr>
          <w:sz w:val="22"/>
          <w:szCs w:val="22"/>
        </w:rPr>
        <w:fldChar w:fldCharType="separate"/>
      </w:r>
      <w:r w:rsidR="00C653FF">
        <w:rPr>
          <w:noProof/>
          <w:sz w:val="22"/>
          <w:szCs w:val="22"/>
        </w:rPr>
        <w:t>[33]</w:t>
      </w:r>
      <w:r w:rsidRPr="00F11B06">
        <w:rPr>
          <w:sz w:val="22"/>
          <w:szCs w:val="22"/>
        </w:rPr>
        <w:fldChar w:fldCharType="end"/>
      </w:r>
      <w:r w:rsidRPr="00F11B06">
        <w:rPr>
          <w:sz w:val="22"/>
          <w:szCs w:val="22"/>
        </w:rPr>
        <w:t xml:space="preserve">, are defined through transformation factors that are multiplied by the original effect size estimates. This was performed as: </w:t>
      </w:r>
      <w:r w:rsidRPr="00F11B06">
        <w:rPr>
          <w:i/>
          <w:iCs/>
          <w:sz w:val="22"/>
          <w:szCs w:val="22"/>
        </w:rPr>
        <w:t xml:space="preserve">E = </w:t>
      </w:r>
      <w:proofErr w:type="spellStart"/>
      <w:r w:rsidRPr="00F11B06">
        <w:rPr>
          <w:i/>
          <w:iCs/>
          <w:sz w:val="22"/>
          <w:szCs w:val="22"/>
        </w:rPr>
        <w:t>u</w:t>
      </w:r>
      <w:r w:rsidRPr="00F11B06">
        <w:rPr>
          <w:i/>
          <w:iCs/>
          <w:sz w:val="22"/>
          <w:szCs w:val="22"/>
          <w:vertAlign w:val="subscript"/>
        </w:rPr>
        <w:t>i</w:t>
      </w:r>
      <w:proofErr w:type="spellEnd"/>
      <w:r w:rsidRPr="00F11B06">
        <w:rPr>
          <w:i/>
          <w:iCs/>
          <w:sz w:val="22"/>
          <w:szCs w:val="22"/>
        </w:rPr>
        <w:t>*t*</w:t>
      </w:r>
      <w:proofErr w:type="spellStart"/>
      <w:r w:rsidRPr="00F11B06">
        <w:rPr>
          <w:i/>
          <w:iCs/>
          <w:sz w:val="22"/>
          <w:szCs w:val="22"/>
        </w:rPr>
        <w:t>e</w:t>
      </w:r>
      <w:r w:rsidRPr="00F11B06">
        <w:rPr>
          <w:i/>
          <w:iCs/>
          <w:sz w:val="22"/>
          <w:szCs w:val="22"/>
          <w:vertAlign w:val="subscript"/>
        </w:rPr>
        <w:t>i</w:t>
      </w:r>
      <w:proofErr w:type="spellEnd"/>
      <w:r w:rsidRPr="00F11B06">
        <w:rPr>
          <w:sz w:val="22"/>
          <w:szCs w:val="22"/>
        </w:rPr>
        <w:t xml:space="preserve">, where </w:t>
      </w:r>
      <w:proofErr w:type="spellStart"/>
      <w:r w:rsidRPr="00F11B06">
        <w:rPr>
          <w:i/>
          <w:iCs/>
          <w:sz w:val="22"/>
          <w:szCs w:val="22"/>
        </w:rPr>
        <w:t>e</w:t>
      </w:r>
      <w:proofErr w:type="spellEnd"/>
      <w:r w:rsidRPr="00F11B06">
        <w:rPr>
          <w:sz w:val="22"/>
          <w:szCs w:val="22"/>
        </w:rPr>
        <w:t xml:space="preserve"> is the original effect size gathered from the primary studies, </w:t>
      </w:r>
      <w:r w:rsidRPr="00F11B06">
        <w:rPr>
          <w:i/>
          <w:iCs/>
          <w:sz w:val="22"/>
          <w:szCs w:val="22"/>
        </w:rPr>
        <w:t>u</w:t>
      </w:r>
      <w:r w:rsidRPr="00F11B06">
        <w:rPr>
          <w:sz w:val="22"/>
          <w:szCs w:val="22"/>
        </w:rPr>
        <w:t xml:space="preserve"> is dependent on the measurement unit used in the primary studies (i.e. per person, per household, per week, per month, per year units), and </w:t>
      </w:r>
      <w:proofErr w:type="spellStart"/>
      <w:r w:rsidRPr="00F11B06">
        <w:rPr>
          <w:i/>
          <w:iCs/>
          <w:sz w:val="22"/>
          <w:szCs w:val="22"/>
        </w:rPr>
        <w:t>t</w:t>
      </w:r>
      <w:proofErr w:type="spellEnd"/>
      <w:r w:rsidRPr="00F11B06">
        <w:rPr>
          <w:sz w:val="22"/>
          <w:szCs w:val="22"/>
        </w:rPr>
        <w:t xml:space="preserve"> relates to GDP deflator and Purchasing Power Parity transformations for updating the original measurements to US Dollars of 2021. </w:t>
      </w:r>
    </w:p>
    <w:p w14:paraId="028A731A" w14:textId="77777777" w:rsidR="00D87925" w:rsidRPr="00F11B06" w:rsidRDefault="00D87925" w:rsidP="00D87925">
      <w:pPr>
        <w:pStyle w:val="ListParagraph"/>
        <w:tabs>
          <w:tab w:val="left" w:pos="851"/>
        </w:tabs>
        <w:spacing w:line="480" w:lineRule="auto"/>
        <w:ind w:left="0"/>
        <w:contextualSpacing w:val="0"/>
        <w:rPr>
          <w:sz w:val="22"/>
          <w:szCs w:val="22"/>
        </w:rPr>
      </w:pPr>
      <w:r w:rsidRPr="00F11B06">
        <w:rPr>
          <w:sz w:val="22"/>
          <w:szCs w:val="22"/>
        </w:rPr>
        <w:t xml:space="preserve">The WTP measures gathered from the primary studies, </w:t>
      </w:r>
      <w:r w:rsidRPr="00F11B06">
        <w:rPr>
          <w:i/>
          <w:iCs/>
          <w:sz w:val="22"/>
          <w:szCs w:val="22"/>
        </w:rPr>
        <w:t>e</w:t>
      </w:r>
      <w:r w:rsidRPr="00F11B06">
        <w:rPr>
          <w:sz w:val="22"/>
          <w:szCs w:val="22"/>
        </w:rPr>
        <w:t xml:space="preserve">, were standardized to WTP per person per year in US Dollars of the year 2021 using the function </w:t>
      </w:r>
      <w:r w:rsidRPr="00F11B06">
        <w:rPr>
          <w:i/>
          <w:iCs/>
          <w:sz w:val="22"/>
          <w:szCs w:val="22"/>
        </w:rPr>
        <w:t>E=</w:t>
      </w:r>
      <w:proofErr w:type="spellStart"/>
      <w:r w:rsidRPr="00F11B06">
        <w:rPr>
          <w:i/>
          <w:iCs/>
          <w:sz w:val="22"/>
          <w:szCs w:val="22"/>
        </w:rPr>
        <w:t>u</w:t>
      </w:r>
      <w:r w:rsidRPr="00F11B06">
        <w:rPr>
          <w:i/>
          <w:iCs/>
          <w:sz w:val="22"/>
          <w:szCs w:val="22"/>
          <w:vertAlign w:val="subscript"/>
        </w:rPr>
        <w:t>i</w:t>
      </w:r>
      <w:proofErr w:type="spellEnd"/>
      <w:r w:rsidRPr="00F11B06">
        <w:rPr>
          <w:i/>
          <w:iCs/>
          <w:sz w:val="22"/>
          <w:szCs w:val="22"/>
        </w:rPr>
        <w:t>*t*</w:t>
      </w:r>
      <w:proofErr w:type="spellStart"/>
      <w:r w:rsidRPr="00F11B06">
        <w:rPr>
          <w:i/>
          <w:iCs/>
          <w:sz w:val="22"/>
          <w:szCs w:val="22"/>
        </w:rPr>
        <w:t>e</w:t>
      </w:r>
      <w:r w:rsidRPr="00F11B06">
        <w:rPr>
          <w:i/>
          <w:iCs/>
          <w:sz w:val="22"/>
          <w:szCs w:val="22"/>
          <w:vertAlign w:val="subscript"/>
        </w:rPr>
        <w:t>i</w:t>
      </w:r>
      <w:proofErr w:type="spellEnd"/>
      <w:r w:rsidRPr="00F11B06">
        <w:rPr>
          <w:sz w:val="22"/>
          <w:szCs w:val="22"/>
        </w:rPr>
        <w:t xml:space="preserve">. In this case, </w:t>
      </w:r>
      <w:proofErr w:type="spellStart"/>
      <w:r w:rsidRPr="00F11B06">
        <w:rPr>
          <w:i/>
          <w:iCs/>
          <w:sz w:val="22"/>
          <w:szCs w:val="22"/>
        </w:rPr>
        <w:t>i</w:t>
      </w:r>
      <w:proofErr w:type="spellEnd"/>
      <w:r w:rsidRPr="00F11B06">
        <w:rPr>
          <w:sz w:val="22"/>
          <w:szCs w:val="22"/>
        </w:rPr>
        <w:t xml:space="preserve"> specifies three different units: 1) per household, per </w:t>
      </w:r>
      <w:proofErr w:type="gramStart"/>
      <w:r w:rsidRPr="00F11B06">
        <w:rPr>
          <w:sz w:val="22"/>
          <w:szCs w:val="22"/>
        </w:rPr>
        <w:t>time period</w:t>
      </w:r>
      <w:proofErr w:type="gramEnd"/>
      <w:r w:rsidRPr="00F11B06">
        <w:rPr>
          <w:sz w:val="22"/>
          <w:szCs w:val="22"/>
        </w:rPr>
        <w:t xml:space="preserve">; 2) per unit of produce weight; 3) per application of pesticide, per acre of cropland sprayed. Therefore, the transformation factors that refer to </w:t>
      </w:r>
      <w:proofErr w:type="spellStart"/>
      <w:r w:rsidRPr="00F11B06">
        <w:rPr>
          <w:i/>
          <w:iCs/>
          <w:sz w:val="22"/>
          <w:szCs w:val="22"/>
        </w:rPr>
        <w:t>u</w:t>
      </w:r>
      <w:r w:rsidRPr="00F11B06">
        <w:rPr>
          <w:i/>
          <w:iCs/>
          <w:sz w:val="22"/>
          <w:szCs w:val="22"/>
          <w:vertAlign w:val="subscript"/>
        </w:rPr>
        <w:t>i</w:t>
      </w:r>
      <w:proofErr w:type="spellEnd"/>
      <w:r w:rsidRPr="00F11B06">
        <w:rPr>
          <w:sz w:val="22"/>
          <w:szCs w:val="22"/>
        </w:rPr>
        <w:t xml:space="preserve"> are outlined as:</w:t>
      </w:r>
    </w:p>
    <w:p w14:paraId="146E513D" w14:textId="77777777" w:rsidR="00D87925" w:rsidRPr="00F11B06" w:rsidRDefault="00D87925" w:rsidP="00D87925">
      <w:pPr>
        <w:pStyle w:val="ListParagraph"/>
        <w:numPr>
          <w:ilvl w:val="0"/>
          <w:numId w:val="1"/>
        </w:numPr>
        <w:tabs>
          <w:tab w:val="left" w:pos="851"/>
        </w:tabs>
        <w:spacing w:line="480" w:lineRule="auto"/>
        <w:rPr>
          <w:sz w:val="22"/>
          <w:szCs w:val="22"/>
        </w:rPr>
      </w:pPr>
      <w:r w:rsidRPr="00F11B06">
        <w:rPr>
          <w:i/>
          <w:iCs/>
          <w:sz w:val="22"/>
          <w:szCs w:val="22"/>
        </w:rPr>
        <w:t>u</w:t>
      </w:r>
      <w:r w:rsidRPr="00F11B06">
        <w:rPr>
          <w:i/>
          <w:iCs/>
          <w:sz w:val="22"/>
          <w:szCs w:val="22"/>
          <w:vertAlign w:val="subscript"/>
        </w:rPr>
        <w:t>1</w:t>
      </w:r>
      <w:r w:rsidRPr="00F11B06">
        <w:rPr>
          <w:i/>
          <w:iCs/>
          <w:sz w:val="22"/>
          <w:szCs w:val="22"/>
        </w:rPr>
        <w:t xml:space="preserve"> = r/h</w:t>
      </w:r>
      <w:r w:rsidRPr="00F11B06">
        <w:rPr>
          <w:sz w:val="22"/>
          <w:szCs w:val="22"/>
        </w:rPr>
        <w:t xml:space="preserve">, where </w:t>
      </w:r>
      <w:r w:rsidRPr="00F11B06">
        <w:rPr>
          <w:i/>
          <w:iCs/>
          <w:sz w:val="22"/>
          <w:szCs w:val="22"/>
        </w:rPr>
        <w:t>h</w:t>
      </w:r>
      <w:r w:rsidRPr="00F11B06">
        <w:rPr>
          <w:sz w:val="22"/>
          <w:szCs w:val="22"/>
        </w:rPr>
        <w:t xml:space="preserve"> is the average household size that corresponds to a given country and year, and </w:t>
      </w:r>
      <w:r w:rsidRPr="00F11B06">
        <w:rPr>
          <w:i/>
          <w:iCs/>
          <w:sz w:val="22"/>
          <w:szCs w:val="22"/>
        </w:rPr>
        <w:t>r</w:t>
      </w:r>
      <w:r w:rsidRPr="00F11B06">
        <w:rPr>
          <w:sz w:val="22"/>
          <w:szCs w:val="22"/>
        </w:rPr>
        <w:t xml:space="preserve"> is </w:t>
      </w:r>
      <w:proofErr w:type="gramStart"/>
      <w:r w:rsidRPr="00F11B06">
        <w:rPr>
          <w:sz w:val="22"/>
          <w:szCs w:val="22"/>
        </w:rPr>
        <w:t>a time period</w:t>
      </w:r>
      <w:proofErr w:type="gramEnd"/>
      <w:r w:rsidRPr="00F11B06">
        <w:rPr>
          <w:sz w:val="22"/>
          <w:szCs w:val="22"/>
        </w:rPr>
        <w:t xml:space="preserve"> conversion factor to compute yearly units.</w:t>
      </w:r>
    </w:p>
    <w:p w14:paraId="672F4BC1" w14:textId="77777777" w:rsidR="00D87925" w:rsidRPr="00F11B06" w:rsidRDefault="00D87925" w:rsidP="00D87925">
      <w:pPr>
        <w:pStyle w:val="ListParagraph"/>
        <w:numPr>
          <w:ilvl w:val="0"/>
          <w:numId w:val="1"/>
        </w:numPr>
        <w:tabs>
          <w:tab w:val="left" w:pos="851"/>
        </w:tabs>
        <w:spacing w:line="480" w:lineRule="auto"/>
        <w:rPr>
          <w:sz w:val="22"/>
          <w:szCs w:val="22"/>
        </w:rPr>
      </w:pPr>
      <w:r w:rsidRPr="00F11B06">
        <w:rPr>
          <w:i/>
          <w:iCs/>
          <w:sz w:val="22"/>
          <w:szCs w:val="22"/>
        </w:rPr>
        <w:t>u</w:t>
      </w:r>
      <w:r w:rsidRPr="00F11B06">
        <w:rPr>
          <w:i/>
          <w:iCs/>
          <w:sz w:val="22"/>
          <w:szCs w:val="22"/>
          <w:vertAlign w:val="subscript"/>
        </w:rPr>
        <w:t>2</w:t>
      </w:r>
      <w:r w:rsidRPr="00F11B06">
        <w:rPr>
          <w:i/>
          <w:iCs/>
          <w:sz w:val="22"/>
          <w:szCs w:val="22"/>
        </w:rPr>
        <w:t xml:space="preserve"> = pc/q</w:t>
      </w:r>
      <w:r w:rsidRPr="00F11B06">
        <w:rPr>
          <w:sz w:val="22"/>
          <w:szCs w:val="22"/>
        </w:rPr>
        <w:t xml:space="preserve">, where </w:t>
      </w:r>
      <w:r w:rsidRPr="00F11B06">
        <w:rPr>
          <w:i/>
          <w:iCs/>
          <w:sz w:val="22"/>
          <w:szCs w:val="22"/>
        </w:rPr>
        <w:t>pc</w:t>
      </w:r>
      <w:r w:rsidRPr="00F11B06">
        <w:rPr>
          <w:sz w:val="22"/>
          <w:szCs w:val="22"/>
        </w:rPr>
        <w:t xml:space="preserve"> refers to the average consumption per capita of the good in question, and </w:t>
      </w:r>
      <w:r w:rsidRPr="00F11B06">
        <w:rPr>
          <w:i/>
          <w:iCs/>
          <w:sz w:val="22"/>
          <w:szCs w:val="22"/>
        </w:rPr>
        <w:t>q</w:t>
      </w:r>
      <w:r w:rsidRPr="00F11B06">
        <w:rPr>
          <w:sz w:val="22"/>
          <w:szCs w:val="22"/>
        </w:rPr>
        <w:t xml:space="preserve"> is a quantity conversion factor from the weight of the good, for example, the weight of a loaf of bread or a strawberry basket.</w:t>
      </w:r>
    </w:p>
    <w:p w14:paraId="1C7A1D9B" w14:textId="77777777" w:rsidR="00D87925" w:rsidRPr="00F11B06" w:rsidRDefault="00D87925" w:rsidP="00D87925">
      <w:pPr>
        <w:pStyle w:val="ListParagraph"/>
        <w:numPr>
          <w:ilvl w:val="0"/>
          <w:numId w:val="1"/>
        </w:numPr>
        <w:tabs>
          <w:tab w:val="left" w:pos="851"/>
        </w:tabs>
        <w:spacing w:line="480" w:lineRule="auto"/>
        <w:rPr>
          <w:sz w:val="22"/>
          <w:szCs w:val="22"/>
        </w:rPr>
      </w:pPr>
      <w:r w:rsidRPr="00F11B06">
        <w:rPr>
          <w:i/>
          <w:iCs/>
          <w:sz w:val="22"/>
          <w:szCs w:val="22"/>
        </w:rPr>
        <w:t>u</w:t>
      </w:r>
      <w:r w:rsidRPr="00F11B06">
        <w:rPr>
          <w:i/>
          <w:iCs/>
          <w:sz w:val="22"/>
          <w:szCs w:val="22"/>
          <w:vertAlign w:val="subscript"/>
        </w:rPr>
        <w:t>3</w:t>
      </w:r>
      <w:r w:rsidRPr="00F11B06">
        <w:rPr>
          <w:i/>
          <w:iCs/>
          <w:sz w:val="22"/>
          <w:szCs w:val="22"/>
        </w:rPr>
        <w:t xml:space="preserve"> = a/d</w:t>
      </w:r>
      <w:r w:rsidRPr="00F11B06">
        <w:rPr>
          <w:sz w:val="22"/>
          <w:szCs w:val="22"/>
        </w:rPr>
        <w:t xml:space="preserve">, where </w:t>
      </w:r>
      <w:r w:rsidRPr="00F11B06">
        <w:rPr>
          <w:i/>
          <w:iCs/>
          <w:sz w:val="22"/>
          <w:szCs w:val="22"/>
        </w:rPr>
        <w:t>a</w:t>
      </w:r>
      <w:r w:rsidRPr="00F11B06">
        <w:rPr>
          <w:sz w:val="22"/>
          <w:szCs w:val="22"/>
        </w:rPr>
        <w:t xml:space="preserve"> is the average number of applications from pesticides that are sprayed in the crops in question, and </w:t>
      </w:r>
      <w:r w:rsidRPr="00F11B06">
        <w:rPr>
          <w:i/>
          <w:iCs/>
          <w:sz w:val="22"/>
          <w:szCs w:val="22"/>
        </w:rPr>
        <w:t>d</w:t>
      </w:r>
      <w:r w:rsidRPr="00F11B06">
        <w:rPr>
          <w:sz w:val="22"/>
          <w:szCs w:val="22"/>
        </w:rPr>
        <w:t xml:space="preserve"> is the density of the rural population from the corresponding country/state. Rural population density was computed as the ratio of rural population to total acreage of the cropland.</w:t>
      </w:r>
    </w:p>
    <w:p w14:paraId="13CE8BC4" w14:textId="77777777" w:rsidR="00D87925" w:rsidRPr="00F11B06" w:rsidRDefault="00D87925" w:rsidP="00D87925">
      <w:pPr>
        <w:tabs>
          <w:tab w:val="left" w:pos="851"/>
        </w:tabs>
        <w:spacing w:line="480" w:lineRule="auto"/>
        <w:rPr>
          <w:sz w:val="22"/>
          <w:szCs w:val="22"/>
        </w:rPr>
      </w:pPr>
    </w:p>
    <w:p w14:paraId="75D4AA7A" w14:textId="738A5782" w:rsidR="00D87925" w:rsidRPr="00F11B06" w:rsidRDefault="00D87925" w:rsidP="00D87925">
      <w:pPr>
        <w:tabs>
          <w:tab w:val="left" w:pos="851"/>
        </w:tabs>
        <w:spacing w:line="480" w:lineRule="auto"/>
        <w:rPr>
          <w:sz w:val="22"/>
          <w:szCs w:val="22"/>
        </w:rPr>
      </w:pPr>
      <w:r w:rsidRPr="00F11B06">
        <w:rPr>
          <w:sz w:val="22"/>
          <w:szCs w:val="22"/>
        </w:rPr>
        <w:t>Once the units are standardized to the same type of measurements, the time factor (</w:t>
      </w:r>
      <w:r w:rsidRPr="00F11B06">
        <w:rPr>
          <w:i/>
          <w:iCs/>
          <w:sz w:val="22"/>
          <w:szCs w:val="22"/>
        </w:rPr>
        <w:t>t</w:t>
      </w:r>
      <w:r w:rsidRPr="00F11B06">
        <w:rPr>
          <w:sz w:val="22"/>
          <w:szCs w:val="22"/>
        </w:rPr>
        <w:t xml:space="preserve">) will allow to convert those effect sizes to 2021 US dollars. </w:t>
      </w:r>
      <w:r w:rsidRPr="00F11B06">
        <w:rPr>
          <w:i/>
          <w:iCs/>
          <w:sz w:val="22"/>
          <w:szCs w:val="22"/>
        </w:rPr>
        <w:t>t</w:t>
      </w:r>
      <w:r w:rsidRPr="00F11B06">
        <w:rPr>
          <w:sz w:val="22"/>
          <w:szCs w:val="22"/>
        </w:rPr>
        <w:t xml:space="preserve"> is defined as the transformation of prices from the underlying studies to US dollars of 2021, which is computed through the GDP deflator and Purchasing Power Parity (PPP) of the corresponding countries gathered from the World Development Indicators database </w:t>
      </w:r>
      <w:r w:rsidRPr="00F11B06">
        <w:rPr>
          <w:sz w:val="22"/>
          <w:szCs w:val="22"/>
        </w:rPr>
        <w:fldChar w:fldCharType="begin"/>
      </w:r>
      <w:r w:rsidR="00C653FF">
        <w:rPr>
          <w:sz w:val="22"/>
          <w:szCs w:val="22"/>
        </w:rPr>
        <w:instrText xml:space="preserve"> ADDIN EN.CITE &lt;EndNote&gt;&lt;Cite&gt;&lt;Author&gt;World Bank&lt;/Author&gt;&lt;Year&gt;2022&lt;/Year&gt;&lt;RecNum&gt;161&lt;/RecNum&gt;&lt;IDText&gt;World Development Indicators&lt;/IDText&gt;&lt;DisplayText&gt;[34]&lt;/DisplayText&gt;&lt;record&gt;&lt;rec-number&gt;161&lt;/rec-number&gt;&lt;foreign-keys&gt;&lt;key app="EN" db-id="0pstftvvb2s0x4e5tetxztsizs92vtrvp2vx" timestamp="1674160632" guid="619c1c28-26a9-4fd5-9691-57b0f9310196"&gt;161&lt;/key&gt;&lt;/foreign-keys&gt;&lt;ref-type name="Dataset"&gt;59&lt;/ref-type&gt;&lt;contributors&gt;&lt;authors&gt;&lt;author&gt;World Bank,&lt;/author&gt;&lt;/authors&gt;&lt;secondary-authors&gt;&lt;author&gt;World Bank&lt;/author&gt;&lt;/secondary-authors&gt;&lt;/contributors&gt;&lt;titles&gt;&lt;title&gt;World Development Indicators&lt;/title&gt;&lt;/titles&gt;&lt;dates&gt;&lt;year&gt;2022&lt;/year&gt;&lt;/dates&gt;&lt;urls&gt;&lt;related-urls&gt;&lt;url&gt;https://databank.worldbank.org/source/world-development-indicators&lt;/url&gt;&lt;/related-urls&gt;&lt;/urls&gt;&lt;/record&gt;&lt;/Cite&gt;&lt;/EndNote&gt;</w:instrText>
      </w:r>
      <w:r w:rsidRPr="00F11B06">
        <w:rPr>
          <w:sz w:val="22"/>
          <w:szCs w:val="22"/>
        </w:rPr>
        <w:fldChar w:fldCharType="separate"/>
      </w:r>
      <w:r w:rsidR="00C653FF">
        <w:rPr>
          <w:noProof/>
          <w:sz w:val="22"/>
          <w:szCs w:val="22"/>
        </w:rPr>
        <w:t>[34]</w:t>
      </w:r>
      <w:r w:rsidRPr="00F11B06">
        <w:rPr>
          <w:sz w:val="22"/>
          <w:szCs w:val="22"/>
        </w:rPr>
        <w:fldChar w:fldCharType="end"/>
      </w:r>
      <w:r w:rsidRPr="00F11B06">
        <w:rPr>
          <w:sz w:val="22"/>
          <w:szCs w:val="22"/>
        </w:rPr>
        <w:t xml:space="preserve"> as:</w:t>
      </w:r>
    </w:p>
    <w:p w14:paraId="7A9D0713" w14:textId="77777777" w:rsidR="00D87925" w:rsidRPr="00F11B06" w:rsidRDefault="00D87925" w:rsidP="00D87925">
      <w:pPr>
        <w:tabs>
          <w:tab w:val="left" w:pos="851"/>
        </w:tabs>
        <w:spacing w:line="480" w:lineRule="auto"/>
        <w:rPr>
          <w:sz w:val="22"/>
          <w:szCs w:val="22"/>
        </w:rPr>
      </w:pPr>
      <m:oMathPara>
        <m:oMath>
          <m:r>
            <w:rPr>
              <w:rFonts w:ascii="Cambria Math" w:hAnsi="Cambria Math"/>
              <w:sz w:val="22"/>
              <w:szCs w:val="22"/>
            </w:rPr>
            <m:t>t=</m:t>
          </m:r>
          <m:f>
            <m:fPr>
              <m:ctrlPr>
                <w:rPr>
                  <w:rFonts w:ascii="Cambria Math" w:hAnsi="Cambria Math"/>
                  <w:i/>
                  <w:sz w:val="22"/>
                  <w:szCs w:val="22"/>
                </w:rPr>
              </m:ctrlPr>
            </m:fPr>
            <m:num>
              <m:f>
                <m:fPr>
                  <m:type m:val="skw"/>
                  <m:ctrlPr>
                    <w:rPr>
                      <w:rFonts w:ascii="Cambria Math" w:hAnsi="Cambria Math"/>
                      <w:i/>
                      <w:sz w:val="22"/>
                      <w:szCs w:val="22"/>
                    </w:rPr>
                  </m:ctrlPr>
                </m:fPr>
                <m:num>
                  <m:r>
                    <w:rPr>
                      <w:rFonts w:ascii="Cambria Math" w:hAnsi="Cambria Math"/>
                      <w:sz w:val="22"/>
                      <w:szCs w:val="22"/>
                    </w:rPr>
                    <m:t>GDP</m:t>
                  </m:r>
                  <m:func>
                    <m:funcPr>
                      <m:ctrlPr>
                        <w:rPr>
                          <w:rFonts w:ascii="Cambria Math" w:hAnsi="Cambria Math"/>
                          <w:i/>
                          <w:sz w:val="22"/>
                          <w:szCs w:val="22"/>
                        </w:rPr>
                      </m:ctrlPr>
                    </m:funcPr>
                    <m:fName>
                      <m:r>
                        <m:rPr>
                          <m:sty m:val="p"/>
                        </m:rPr>
                        <w:rPr>
                          <w:rFonts w:ascii="Cambria Math" w:hAnsi="Cambria Math"/>
                          <w:sz w:val="22"/>
                          <w:szCs w:val="22"/>
                        </w:rPr>
                        <m:t>def</m:t>
                      </m:r>
                    </m:fName>
                    <m:e>
                      <m:r>
                        <w:rPr>
                          <w:rFonts w:ascii="Cambria Math" w:hAnsi="Cambria Math"/>
                          <w:sz w:val="22"/>
                          <w:szCs w:val="22"/>
                        </w:rPr>
                        <m:t>2021</m:t>
                      </m:r>
                    </m:e>
                  </m:func>
                </m:num>
                <m:den>
                  <m:r>
                    <w:rPr>
                      <w:rFonts w:ascii="Cambria Math" w:hAnsi="Cambria Math"/>
                      <w:sz w:val="22"/>
                      <w:szCs w:val="22"/>
                    </w:rPr>
                    <m:t>GDP</m:t>
                  </m:r>
                  <m:func>
                    <m:funcPr>
                      <m:ctrlPr>
                        <w:rPr>
                          <w:rFonts w:ascii="Cambria Math" w:hAnsi="Cambria Math"/>
                          <w:i/>
                          <w:sz w:val="22"/>
                          <w:szCs w:val="22"/>
                        </w:rPr>
                      </m:ctrlPr>
                    </m:funcPr>
                    <m:fName>
                      <m:r>
                        <m:rPr>
                          <m:sty m:val="p"/>
                        </m:rPr>
                        <w:rPr>
                          <w:rFonts w:ascii="Cambria Math" w:hAnsi="Cambria Math"/>
                          <w:sz w:val="22"/>
                          <w:szCs w:val="22"/>
                        </w:rPr>
                        <m:t>def</m:t>
                      </m:r>
                    </m:fName>
                    <m:e>
                      <m:r>
                        <w:rPr>
                          <w:rFonts w:ascii="Cambria Math" w:hAnsi="Cambria Math"/>
                          <w:sz w:val="22"/>
                          <w:szCs w:val="22"/>
                        </w:rPr>
                        <m:t xml:space="preserve"> base year</m:t>
                      </m:r>
                    </m:e>
                  </m:func>
                </m:den>
              </m:f>
            </m:num>
            <m:den>
              <m:r>
                <w:rPr>
                  <w:rFonts w:ascii="Cambria Math" w:hAnsi="Cambria Math"/>
                  <w:sz w:val="22"/>
                  <w:szCs w:val="22"/>
                </w:rPr>
                <m:t>PPP base year</m:t>
              </m:r>
            </m:den>
          </m:f>
        </m:oMath>
      </m:oMathPara>
    </w:p>
    <w:p w14:paraId="75254E5F" w14:textId="77777777" w:rsidR="00D87925" w:rsidRPr="00F11B06" w:rsidRDefault="00D87925" w:rsidP="00D87925">
      <w:pPr>
        <w:pStyle w:val="ListParagraph"/>
        <w:tabs>
          <w:tab w:val="left" w:pos="851"/>
        </w:tabs>
        <w:spacing w:line="480" w:lineRule="auto"/>
        <w:ind w:left="0"/>
        <w:contextualSpacing w:val="0"/>
        <w:rPr>
          <w:sz w:val="22"/>
          <w:szCs w:val="22"/>
        </w:rPr>
      </w:pPr>
    </w:p>
    <w:p w14:paraId="333C9710" w14:textId="77777777" w:rsidR="00D87925" w:rsidRPr="00F11B06" w:rsidRDefault="00D87925" w:rsidP="00D87925">
      <w:pPr>
        <w:pStyle w:val="ListParagraph"/>
        <w:tabs>
          <w:tab w:val="left" w:pos="851"/>
        </w:tabs>
        <w:spacing w:line="480" w:lineRule="auto"/>
        <w:ind w:left="0"/>
        <w:contextualSpacing w:val="0"/>
        <w:rPr>
          <w:sz w:val="22"/>
          <w:szCs w:val="22"/>
        </w:rPr>
      </w:pPr>
      <w:r w:rsidRPr="00F11B06">
        <w:rPr>
          <w:sz w:val="22"/>
          <w:szCs w:val="22"/>
        </w:rPr>
        <w:lastRenderedPageBreak/>
        <w:t>The same logic was used when standardizing GDP per capita and household income from the underlying studies.</w:t>
      </w:r>
    </w:p>
    <w:p w14:paraId="367C00BA" w14:textId="77777777" w:rsidR="00D87925" w:rsidRPr="00F11B06" w:rsidRDefault="00D87925" w:rsidP="00D87925">
      <w:pPr>
        <w:pStyle w:val="ListParagraph"/>
        <w:tabs>
          <w:tab w:val="left" w:pos="851"/>
        </w:tabs>
        <w:spacing w:line="480" w:lineRule="auto"/>
        <w:ind w:left="0"/>
        <w:contextualSpacing w:val="0"/>
        <w:rPr>
          <w:sz w:val="22"/>
          <w:szCs w:val="22"/>
        </w:rPr>
      </w:pPr>
    </w:p>
    <w:p w14:paraId="4E34B716" w14:textId="77777777" w:rsidR="00D87925" w:rsidRPr="00F11B06" w:rsidRDefault="00D87925" w:rsidP="00D87925">
      <w:pPr>
        <w:pStyle w:val="Heading2"/>
        <w:tabs>
          <w:tab w:val="left" w:pos="851"/>
        </w:tabs>
        <w:spacing w:before="0" w:line="480" w:lineRule="auto"/>
        <w:rPr>
          <w:rFonts w:ascii="Times New Roman" w:hAnsi="Times New Roman" w:cs="Times New Roman"/>
          <w:b/>
          <w:bCs/>
          <w:color w:val="auto"/>
          <w:sz w:val="22"/>
          <w:szCs w:val="22"/>
        </w:rPr>
      </w:pPr>
      <w:bookmarkStart w:id="1" w:name="_Toc94559802"/>
      <w:r>
        <w:rPr>
          <w:rFonts w:ascii="Times New Roman" w:hAnsi="Times New Roman" w:cs="Times New Roman"/>
          <w:b/>
          <w:bCs/>
          <w:color w:val="auto"/>
          <w:sz w:val="22"/>
          <w:szCs w:val="22"/>
        </w:rPr>
        <w:t xml:space="preserve">C. </w:t>
      </w:r>
      <w:r w:rsidRPr="00F11B06">
        <w:rPr>
          <w:rFonts w:ascii="Times New Roman" w:hAnsi="Times New Roman" w:cs="Times New Roman"/>
          <w:b/>
          <w:bCs/>
          <w:color w:val="auto"/>
          <w:sz w:val="22"/>
          <w:szCs w:val="22"/>
        </w:rPr>
        <w:t>Standardization of baseline risk levels</w:t>
      </w:r>
      <w:bookmarkEnd w:id="1"/>
    </w:p>
    <w:p w14:paraId="5760A6D3" w14:textId="77777777" w:rsidR="00D87925" w:rsidRPr="00F11B06" w:rsidRDefault="00D87925" w:rsidP="00D87925">
      <w:pPr>
        <w:pStyle w:val="ListParagraph"/>
        <w:tabs>
          <w:tab w:val="left" w:pos="851"/>
        </w:tabs>
        <w:spacing w:line="480" w:lineRule="auto"/>
        <w:ind w:left="0"/>
        <w:contextualSpacing w:val="0"/>
        <w:rPr>
          <w:sz w:val="22"/>
          <w:szCs w:val="22"/>
        </w:rPr>
      </w:pPr>
      <w:r w:rsidRPr="00F11B06">
        <w:rPr>
          <w:sz w:val="22"/>
          <w:szCs w:val="22"/>
        </w:rPr>
        <w:t xml:space="preserve">As observed in Figure 1, the grouping used in this study firstly separate human and environmental health. </w:t>
      </w:r>
      <w:proofErr w:type="gramStart"/>
      <w:r w:rsidRPr="00F11B06">
        <w:rPr>
          <w:sz w:val="22"/>
          <w:szCs w:val="22"/>
        </w:rPr>
        <w:t>As a consequence of</w:t>
      </w:r>
      <w:proofErr w:type="gramEnd"/>
      <w:r w:rsidRPr="00F11B06">
        <w:rPr>
          <w:sz w:val="22"/>
          <w:szCs w:val="22"/>
        </w:rPr>
        <w:t xml:space="preserve"> this categorization, the definition of risk from pesticides differs across </w:t>
      </w:r>
      <w:r>
        <w:rPr>
          <w:sz w:val="22"/>
          <w:szCs w:val="22"/>
        </w:rPr>
        <w:t>impacts</w:t>
      </w:r>
      <w:r w:rsidRPr="00F11B06">
        <w:rPr>
          <w:sz w:val="22"/>
          <w:szCs w:val="22"/>
        </w:rPr>
        <w:t>.</w:t>
      </w:r>
    </w:p>
    <w:p w14:paraId="31ECD2B5" w14:textId="77777777" w:rsidR="00D87925" w:rsidRPr="00F11B06" w:rsidRDefault="00D87925" w:rsidP="00D87925">
      <w:pPr>
        <w:pStyle w:val="ListParagraph"/>
        <w:tabs>
          <w:tab w:val="left" w:pos="851"/>
        </w:tabs>
        <w:spacing w:line="480" w:lineRule="auto"/>
        <w:ind w:left="0"/>
        <w:contextualSpacing w:val="0"/>
        <w:rPr>
          <w:sz w:val="22"/>
          <w:szCs w:val="22"/>
        </w:rPr>
      </w:pPr>
    </w:p>
    <w:p w14:paraId="655C2C5D" w14:textId="437FA7B2" w:rsidR="00D87925" w:rsidRPr="00F11B06" w:rsidRDefault="00D87925" w:rsidP="00D87925">
      <w:pPr>
        <w:pStyle w:val="ListParagraph"/>
        <w:tabs>
          <w:tab w:val="left" w:pos="851"/>
        </w:tabs>
        <w:spacing w:line="480" w:lineRule="auto"/>
        <w:ind w:left="0"/>
        <w:contextualSpacing w:val="0"/>
        <w:rPr>
          <w:sz w:val="22"/>
          <w:szCs w:val="22"/>
        </w:rPr>
      </w:pPr>
      <w:r w:rsidRPr="00F11B06">
        <w:rPr>
          <w:sz w:val="22"/>
          <w:szCs w:val="22"/>
        </w:rPr>
        <w:t xml:space="preserve">While information from pesticides risks for different </w:t>
      </w:r>
      <w:r>
        <w:rPr>
          <w:sz w:val="22"/>
          <w:szCs w:val="22"/>
        </w:rPr>
        <w:t>impacts</w:t>
      </w:r>
      <w:r w:rsidRPr="00F11B06">
        <w:rPr>
          <w:sz w:val="22"/>
          <w:szCs w:val="22"/>
        </w:rPr>
        <w:t xml:space="preserve"> is defined in some primary studies as high, medium and low risk, other studies lack this type of information. </w:t>
      </w:r>
      <w:r w:rsidRPr="00F11B06">
        <w:rPr>
          <w:sz w:val="22"/>
          <w:szCs w:val="22"/>
          <w:lang w:val="nl-NL"/>
        </w:rPr>
        <w:t xml:space="preserve">Studies by </w:t>
      </w:r>
      <w:proofErr w:type="spellStart"/>
      <w:r w:rsidRPr="00F11B06">
        <w:rPr>
          <w:sz w:val="22"/>
          <w:szCs w:val="22"/>
          <w:lang w:val="nl-NL"/>
        </w:rPr>
        <w:t>Akgüngör</w:t>
      </w:r>
      <w:proofErr w:type="spellEnd"/>
      <w:r w:rsidRPr="00F11B06">
        <w:rPr>
          <w:sz w:val="22"/>
          <w:szCs w:val="22"/>
          <w:lang w:val="nl-NL"/>
        </w:rPr>
        <w:t xml:space="preserve"> et al. </w:t>
      </w:r>
      <w:r w:rsidRPr="00F11B06">
        <w:rPr>
          <w:sz w:val="22"/>
          <w:szCs w:val="22"/>
        </w:rPr>
        <w:fldChar w:fldCharType="begin"/>
      </w:r>
      <w:r w:rsidR="00C653FF" w:rsidRPr="00C653FF">
        <w:rPr>
          <w:sz w:val="22"/>
          <w:szCs w:val="22"/>
          <w:lang w:val="nl-NL"/>
        </w:rPr>
        <w:instrText xml:space="preserve"> ADDIN EN.CITE &lt;EndNote&gt;&lt;Cite ExcludeAuth="1"&gt;&lt;Author&gt;Akgüngör&lt;/Author&gt;&lt;Year&gt;2001&lt;/Year&gt;&lt;RecNum&gt;164&lt;/RecNum&gt;&lt;IDText&gt;Consumer willingness to pay for food safety labels in urban Turkey: a case study of pesticide residues in tomatoes&lt;/IDText&gt;&lt;DisplayText&gt;[35]&lt;/DisplayText&gt;&lt;record&gt;&lt;rec-number&gt;164&lt;/rec-number&gt;&lt;foreign-keys&gt;&lt;key app="EN" db-id="0pstftvvb2s0x4e5tetxztsizs92vtrvp2vx" timestamp="1674160632" guid="6256d74f-2f6a-42bc-a715-8854fcef4556"&gt;164&lt;/key&gt;&lt;/foreign-keys&gt;&lt;ref-type name="Journal Article"&gt;17&lt;/ref-type&gt;&lt;contributors&gt;&lt;authors&gt;&lt;author&gt;Akgüngör, Sedef&lt;/author&gt;&lt;author&gt;Miran, BÜLent&lt;/author&gt;&lt;author&gt;Abay, Canan&lt;/author&gt;&lt;/authors&gt;&lt;/contributors&gt;&lt;titles&gt;&lt;title&gt;Consumer willingness to pay for food safety labels in urban Turkey: a case study of pesticide residues in tomatoes&lt;/title&gt;&lt;secondary-title&gt;Journal of International Food &amp;amp; Agribusiness Marketing&lt;/secondary-title&gt;&lt;/titles&gt;&lt;periodical&gt;&lt;full-title&gt;Journal of International Food &amp;amp; Agribusiness Marketing&lt;/full-title&gt;&lt;/periodical&gt;&lt;pages&gt;91-107&lt;/pages&gt;&lt;volume&gt;12&lt;/volume&gt;&lt;number&gt;1&lt;/number&gt;&lt;dates&gt;&lt;year&gt;2001&lt;/year&gt;&lt;/dates&gt;&lt;isbn&gt;0897-4438&lt;/isbn&gt;&lt;urls&gt;&lt;/urls&gt;&lt;/record&gt;&lt;/Cite&gt;&lt;/EndNote&gt;</w:instrText>
      </w:r>
      <w:r w:rsidRPr="00F11B06">
        <w:rPr>
          <w:sz w:val="22"/>
          <w:szCs w:val="22"/>
        </w:rPr>
        <w:fldChar w:fldCharType="separate"/>
      </w:r>
      <w:r w:rsidR="00C653FF" w:rsidRPr="00C653FF">
        <w:rPr>
          <w:noProof/>
          <w:sz w:val="22"/>
          <w:szCs w:val="22"/>
          <w:lang w:val="nl-NL"/>
        </w:rPr>
        <w:t>[35]</w:t>
      </w:r>
      <w:r w:rsidRPr="00F11B06">
        <w:rPr>
          <w:sz w:val="22"/>
          <w:szCs w:val="22"/>
        </w:rPr>
        <w:fldChar w:fldCharType="end"/>
      </w:r>
      <w:r w:rsidRPr="00F11B06">
        <w:rPr>
          <w:sz w:val="22"/>
          <w:szCs w:val="22"/>
          <w:lang w:val="nl-NL"/>
        </w:rPr>
        <w:t xml:space="preserve">, </w:t>
      </w:r>
      <w:proofErr w:type="spellStart"/>
      <w:r w:rsidRPr="00F11B06">
        <w:rPr>
          <w:sz w:val="22"/>
          <w:szCs w:val="22"/>
          <w:lang w:val="nl-NL"/>
        </w:rPr>
        <w:t>Buzby</w:t>
      </w:r>
      <w:proofErr w:type="spellEnd"/>
      <w:r w:rsidRPr="00F11B06">
        <w:rPr>
          <w:sz w:val="22"/>
          <w:szCs w:val="22"/>
          <w:lang w:val="nl-NL"/>
        </w:rPr>
        <w:t xml:space="preserve"> et al. </w:t>
      </w:r>
      <w:r w:rsidRPr="00F11B06">
        <w:rPr>
          <w:sz w:val="22"/>
          <w:szCs w:val="22"/>
          <w:lang w:val="nl-NL"/>
        </w:rPr>
        <w:fldChar w:fldCharType="begin"/>
      </w:r>
      <w:r w:rsidR="00C653FF">
        <w:rPr>
          <w:sz w:val="22"/>
          <w:szCs w:val="22"/>
          <w:lang w:val="nl-NL"/>
        </w:rPr>
        <w:instrText xml:space="preserve"> ADDIN EN.CITE &lt;EndNote&gt;&lt;Cite ExcludeAuth="1"&gt;&lt;Author&gt;Buzby&lt;/Author&gt;&lt;Year&gt;1995&lt;/Year&gt;&lt;RecNum&gt;158&lt;/RecNum&gt;&lt;IDText&gt;Using contingent valuation to value food safety: a case study of grapefruit and pesticide residues&lt;/IDText&gt;&lt;DisplayText&gt;[36]&lt;/DisplayText&gt;&lt;record&gt;&lt;rec-number&gt;158&lt;/rec-number&gt;&lt;foreign-keys&gt;&lt;key app="EN" db-id="0pstftvvb2s0x4e5tetxztsizs92vtrvp2vx" timestamp="1674160632" guid="a3be5dfc-c873-46f8-8b58-1d55f7657152"&gt;158&lt;/key&gt;&lt;/foreign-keys&gt;&lt;ref-type name="Report"&gt;27&lt;/ref-type&gt;&lt;contributors&gt;&lt;authors&gt;&lt;author&gt;Buzby, Jean C&lt;/author&gt;&lt;author&gt;Skees, Jerry R&lt;/author&gt;&lt;author&gt;Ready, Richard C&lt;/author&gt;&lt;/authors&gt;&lt;/contributors&gt;&lt;titles&gt;&lt;title&gt;Using contingent valuation to value food safety: a case study of grapefruit and pesticide residues&lt;/title&gt;&lt;/titles&gt;&lt;dates&gt;&lt;year&gt;1995&lt;/year&gt;&lt;/dates&gt;&lt;urls&gt;&lt;/urls&gt;&lt;/record&gt;&lt;/Cite&gt;&lt;/EndNote&gt;</w:instrText>
      </w:r>
      <w:r w:rsidRPr="00F11B06">
        <w:rPr>
          <w:sz w:val="22"/>
          <w:szCs w:val="22"/>
          <w:lang w:val="nl-NL"/>
        </w:rPr>
        <w:fldChar w:fldCharType="separate"/>
      </w:r>
      <w:r w:rsidR="00C653FF">
        <w:rPr>
          <w:noProof/>
          <w:sz w:val="22"/>
          <w:szCs w:val="22"/>
          <w:lang w:val="nl-NL"/>
        </w:rPr>
        <w:t>[36]</w:t>
      </w:r>
      <w:r w:rsidRPr="00F11B06">
        <w:rPr>
          <w:sz w:val="22"/>
          <w:szCs w:val="22"/>
          <w:lang w:val="nl-NL"/>
        </w:rPr>
        <w:fldChar w:fldCharType="end"/>
      </w:r>
      <w:r w:rsidRPr="00F11B06">
        <w:rPr>
          <w:sz w:val="22"/>
          <w:szCs w:val="22"/>
          <w:lang w:val="nl-NL"/>
        </w:rPr>
        <w:t xml:space="preserve">, </w:t>
      </w:r>
      <w:proofErr w:type="spellStart"/>
      <w:r w:rsidRPr="00F11B06">
        <w:rPr>
          <w:sz w:val="22"/>
          <w:szCs w:val="22"/>
          <w:lang w:val="nl-NL"/>
        </w:rPr>
        <w:t>Buzby</w:t>
      </w:r>
      <w:proofErr w:type="spellEnd"/>
      <w:r w:rsidRPr="00F11B06">
        <w:rPr>
          <w:sz w:val="22"/>
          <w:szCs w:val="22"/>
          <w:lang w:val="nl-NL"/>
        </w:rPr>
        <w:t xml:space="preserve"> et al. </w:t>
      </w:r>
      <w:r w:rsidRPr="00F11B06">
        <w:rPr>
          <w:sz w:val="22"/>
          <w:szCs w:val="22"/>
          <w:lang w:val="nl-NL"/>
        </w:rPr>
        <w:fldChar w:fldCharType="begin"/>
      </w:r>
      <w:r w:rsidR="00C653FF">
        <w:rPr>
          <w:sz w:val="22"/>
          <w:szCs w:val="22"/>
          <w:lang w:val="nl-NL"/>
        </w:rPr>
        <w:instrText xml:space="preserve"> ADDIN EN.CITE &lt;EndNote&gt;&lt;Cite ExcludeAuth="1"&gt;&lt;Author&gt;Buzby&lt;/Author&gt;&lt;Year&gt;1998&lt;/Year&gt;&lt;RecNum&gt;160&lt;/RecNum&gt;&lt;IDText&gt;Measuring consumer benefits of food safety risk reductions&lt;/IDText&gt;&lt;DisplayText&gt;[37]&lt;/DisplayText&gt;&lt;record&gt;&lt;rec-number&gt;160&lt;/rec-number&gt;&lt;foreign-keys&gt;&lt;key app="EN" db-id="0pstftvvb2s0x4e5tetxztsizs92vtrvp2vx" timestamp="1674160632" guid="d4deb2f6-94e7-4b59-8eee-2a49479dce1a"&gt;160&lt;/key&gt;&lt;/foreign-keys&gt;&lt;ref-type name="Journal Article"&gt;17&lt;/ref-type&gt;&lt;contributors&gt;&lt;authors&gt;&lt;author&gt;Buzby, Jean C&lt;/author&gt;&lt;author&gt;Fox, John A&lt;/author&gt;&lt;author&gt;Ready, Richard C&lt;/author&gt;&lt;author&gt;Crutchfleld, Stephen R&lt;/author&gt;&lt;/authors&gt;&lt;/contributors&gt;&lt;titles&gt;&lt;title&gt;Measuring consumer benefits of food safety risk reductions&lt;/title&gt;&lt;secondary-title&gt;Journal of Agricultural and Applied Economics&lt;/secondary-title&gt;&lt;/titles&gt;&lt;periodical&gt;&lt;full-title&gt;Journal of Agricultural and Applied Economics&lt;/full-title&gt;&lt;/periodical&gt;&lt;pages&gt;69-82&lt;/pages&gt;&lt;volume&gt;30&lt;/volume&gt;&lt;number&gt;1&lt;/number&gt;&lt;dates&gt;&lt;year&gt;1998&lt;/year&gt;&lt;/dates&gt;&lt;isbn&gt;1074-0708&lt;/isbn&gt;&lt;urls&gt;&lt;/urls&gt;&lt;/record&gt;&lt;/Cite&gt;&lt;/EndNote&gt;</w:instrText>
      </w:r>
      <w:r w:rsidRPr="00F11B06">
        <w:rPr>
          <w:sz w:val="22"/>
          <w:szCs w:val="22"/>
          <w:lang w:val="nl-NL"/>
        </w:rPr>
        <w:fldChar w:fldCharType="separate"/>
      </w:r>
      <w:r w:rsidR="00C653FF">
        <w:rPr>
          <w:noProof/>
          <w:sz w:val="22"/>
          <w:szCs w:val="22"/>
          <w:lang w:val="nl-NL"/>
        </w:rPr>
        <w:t>[37]</w:t>
      </w:r>
      <w:r w:rsidRPr="00F11B06">
        <w:rPr>
          <w:sz w:val="22"/>
          <w:szCs w:val="22"/>
          <w:lang w:val="nl-NL"/>
        </w:rPr>
        <w:fldChar w:fldCharType="end"/>
      </w:r>
      <w:r w:rsidRPr="00F11B06">
        <w:rPr>
          <w:sz w:val="22"/>
          <w:szCs w:val="22"/>
          <w:lang w:val="nl-NL"/>
        </w:rPr>
        <w:t>,</w:t>
      </w:r>
      <w:r w:rsidR="000D2685">
        <w:rPr>
          <w:sz w:val="22"/>
          <w:szCs w:val="22"/>
          <w:lang w:val="nl-NL"/>
        </w:rPr>
        <w:t xml:space="preserve"> </w:t>
      </w:r>
      <w:proofErr w:type="spellStart"/>
      <w:r w:rsidR="000D2685">
        <w:rPr>
          <w:sz w:val="22"/>
          <w:szCs w:val="22"/>
          <w:lang w:val="nl-NL"/>
        </w:rPr>
        <w:t>Carpio</w:t>
      </w:r>
      <w:proofErr w:type="spellEnd"/>
      <w:r w:rsidR="000D2685">
        <w:rPr>
          <w:sz w:val="22"/>
          <w:szCs w:val="22"/>
          <w:lang w:val="nl-NL"/>
        </w:rPr>
        <w:t xml:space="preserve"> et al.</w:t>
      </w:r>
      <w:r w:rsidRPr="00F11B06">
        <w:rPr>
          <w:sz w:val="22"/>
          <w:szCs w:val="22"/>
          <w:lang w:val="nl-NL"/>
        </w:rPr>
        <w:t xml:space="preserve"> </w:t>
      </w:r>
      <w:r w:rsidRPr="00F11B06">
        <w:rPr>
          <w:sz w:val="22"/>
          <w:szCs w:val="22"/>
          <w:lang w:val="nl-NL"/>
        </w:rPr>
        <w:fldChar w:fldCharType="begin"/>
      </w:r>
      <w:r w:rsidR="000D2685">
        <w:rPr>
          <w:sz w:val="22"/>
          <w:szCs w:val="22"/>
          <w:lang w:val="nl-NL"/>
        </w:rPr>
        <w:instrText xml:space="preserve"> ADDIN EN.CITE &lt;EndNote&gt;&lt;Cite&gt;&lt;Author&gt;Carpio&lt;/Author&gt;&lt;Year&gt;2007&lt;/Year&gt;&lt;RecNum&gt;152&lt;/RecNum&gt;&lt;DisplayText&gt;[38]&lt;/DisplayText&gt;&lt;record&gt;&lt;rec-number&gt;152&lt;/rec-number&gt;&lt;foreign-keys&gt;&lt;key app="EN" db-id="0pstftvvb2s0x4e5tetxztsizs92vtrvp2vx" timestamp="1674160632" guid="bd58b91e-38bb-45b2-a40e-5713cc26dece"&gt;152&lt;/key&gt;&lt;/foreign-keys&gt;&lt;ref-type name="Report"&gt;27&lt;/ref-type&gt;&lt;contributors&gt;&lt;authors&gt;&lt;author&gt;Carpio, Carlos E&lt;/author&gt;&lt;author&gt;Sydorovych, Olha&lt;/author&gt;&lt;author&gt;Marra, Michele C&lt;/author&gt;&lt;/authors&gt;&lt;/contributors&gt;&lt;titles&gt;&lt;title&gt;Relative importance of environmental attributes using logistic regression&lt;/title&gt;&lt;/titles&gt;&lt;dates&gt;&lt;year&gt;2007&lt;/year&gt;&lt;/dates&gt;&lt;urls&gt;&lt;/urls&gt;&lt;/record&gt;&lt;/Cite&gt;&lt;/EndNote&gt;</w:instrText>
      </w:r>
      <w:r w:rsidRPr="00F11B06">
        <w:rPr>
          <w:sz w:val="22"/>
          <w:szCs w:val="22"/>
          <w:lang w:val="nl-NL"/>
        </w:rPr>
        <w:fldChar w:fldCharType="separate"/>
      </w:r>
      <w:r w:rsidR="000D2685">
        <w:rPr>
          <w:noProof/>
          <w:sz w:val="22"/>
          <w:szCs w:val="22"/>
          <w:lang w:val="nl-NL"/>
        </w:rPr>
        <w:t>[38]</w:t>
      </w:r>
      <w:r w:rsidRPr="00F11B06">
        <w:rPr>
          <w:sz w:val="22"/>
          <w:szCs w:val="22"/>
          <w:lang w:val="nl-NL"/>
        </w:rPr>
        <w:fldChar w:fldCharType="end"/>
      </w:r>
      <w:r w:rsidRPr="00F11B06">
        <w:rPr>
          <w:sz w:val="22"/>
          <w:szCs w:val="22"/>
          <w:lang w:val="nl-NL"/>
        </w:rPr>
        <w:t xml:space="preserve">, </w:t>
      </w:r>
      <w:proofErr w:type="spellStart"/>
      <w:r w:rsidRPr="00F11B06">
        <w:rPr>
          <w:sz w:val="22"/>
          <w:szCs w:val="22"/>
          <w:lang w:val="nl-NL"/>
        </w:rPr>
        <w:t>Cuyno</w:t>
      </w:r>
      <w:proofErr w:type="spellEnd"/>
      <w:r w:rsidRPr="00F11B06">
        <w:rPr>
          <w:sz w:val="22"/>
          <w:szCs w:val="22"/>
          <w:lang w:val="nl-NL"/>
        </w:rPr>
        <w:t xml:space="preserve"> et al. </w:t>
      </w:r>
      <w:r w:rsidRPr="00F11B06">
        <w:rPr>
          <w:sz w:val="22"/>
          <w:szCs w:val="22"/>
        </w:rPr>
        <w:fldChar w:fldCharType="begin"/>
      </w:r>
      <w:r w:rsidR="00C653FF">
        <w:rPr>
          <w:sz w:val="22"/>
          <w:szCs w:val="22"/>
        </w:rPr>
        <w:instrText xml:space="preserve"> ADDIN EN.CITE &lt;EndNote&gt;&lt;Cite ExcludeAuth="1"&gt;&lt;Author&gt;Cuyno&lt;/Author&gt;&lt;Year&gt;2001&lt;/Year&gt;&lt;RecNum&gt;147&lt;/RecNum&gt;&lt;IDText&gt;Economic analysis of environmental benefits of integrated pest management: a Philippine case study&lt;/IDText&gt;&lt;DisplayText&gt;[39]&lt;/DisplayText&gt;&lt;record&gt;&lt;rec-number&gt;147&lt;/rec-number&gt;&lt;foreign-keys&gt;&lt;key app="EN" db-id="0pstftvvb2s0x4e5tetxztsizs92vtrvp2vx" timestamp="1674160632" guid="6ef30ec8-fccd-4b8f-9e23-ad7b3bc7a185"&gt;147&lt;/key&gt;&lt;/foreign-keys&gt;&lt;ref-type name="Journal Article"&gt;17&lt;/ref-type&gt;&lt;contributors&gt;&lt;authors&gt;&lt;author&gt;Cuyno, Leah CM&lt;/author&gt;&lt;author&gt;Norton, George W&lt;/author&gt;&lt;author&gt;Rola, Agnes&lt;/author&gt;&lt;/authors&gt;&lt;/contributors&gt;&lt;titles&gt;&lt;title&gt;Economic analysis of environmental benefits of integrated pest management: a Philippine case study&lt;/title&gt;&lt;secondary-title&gt;Agricultural Economics&lt;/secondary-title&gt;&lt;/titles&gt;&lt;periodical&gt;&lt;full-title&gt;Agricultural Economics&lt;/full-title&gt;&lt;/periodical&gt;&lt;pages&gt;227-233&lt;/pages&gt;&lt;volume&gt;25&lt;/volume&gt;&lt;number&gt;2-3&lt;/number&gt;&lt;dates&gt;&lt;year&gt;2001&lt;/year&gt;&lt;/dates&gt;&lt;isbn&gt;0169-5150&lt;/isbn&gt;&lt;urls&gt;&lt;/urls&gt;&lt;/record&gt;&lt;/Cite&gt;&lt;/EndNote&gt;</w:instrText>
      </w:r>
      <w:r w:rsidRPr="00F11B06">
        <w:rPr>
          <w:sz w:val="22"/>
          <w:szCs w:val="22"/>
        </w:rPr>
        <w:fldChar w:fldCharType="separate"/>
      </w:r>
      <w:r w:rsidR="00C653FF">
        <w:rPr>
          <w:noProof/>
          <w:sz w:val="22"/>
          <w:szCs w:val="22"/>
        </w:rPr>
        <w:t>[39]</w:t>
      </w:r>
      <w:r w:rsidRPr="00F11B06">
        <w:rPr>
          <w:sz w:val="22"/>
          <w:szCs w:val="22"/>
        </w:rPr>
        <w:fldChar w:fldCharType="end"/>
      </w:r>
      <w:r w:rsidRPr="00C653FF">
        <w:rPr>
          <w:sz w:val="22"/>
          <w:szCs w:val="22"/>
        </w:rPr>
        <w:t xml:space="preserve">, </w:t>
      </w:r>
      <w:proofErr w:type="spellStart"/>
      <w:r w:rsidRPr="00C653FF">
        <w:rPr>
          <w:sz w:val="22"/>
          <w:szCs w:val="22"/>
        </w:rPr>
        <w:t>Garming</w:t>
      </w:r>
      <w:proofErr w:type="spellEnd"/>
      <w:r w:rsidRPr="00C653FF">
        <w:rPr>
          <w:sz w:val="22"/>
          <w:szCs w:val="22"/>
        </w:rPr>
        <w:t xml:space="preserve"> </w:t>
      </w:r>
      <w:r w:rsidR="002B0AE1">
        <w:rPr>
          <w:sz w:val="22"/>
          <w:szCs w:val="22"/>
        </w:rPr>
        <w:t>and</w:t>
      </w:r>
      <w:r w:rsidRPr="00C653FF">
        <w:rPr>
          <w:sz w:val="22"/>
          <w:szCs w:val="22"/>
        </w:rPr>
        <w:t xml:space="preserve"> Waibel </w:t>
      </w:r>
      <w:r w:rsidRPr="00F11B06">
        <w:rPr>
          <w:sz w:val="22"/>
          <w:szCs w:val="22"/>
        </w:rPr>
        <w:fldChar w:fldCharType="begin"/>
      </w:r>
      <w:r w:rsidR="00C653FF">
        <w:rPr>
          <w:sz w:val="22"/>
          <w:szCs w:val="22"/>
        </w:rPr>
        <w:instrText xml:space="preserve"> ADDIN EN.CITE &lt;EndNote&gt;&lt;Cite ExcludeAuth="1"&gt;&lt;Author&gt;Garming&lt;/Author&gt;&lt;Year&gt;2007&lt;/Year&gt;&lt;RecNum&gt;165&lt;/RecNum&gt;&lt;IDText&gt;Willingness to pay to avoid health risks from pesticides, a case study from Nicaragua&lt;/IDText&gt;&lt;DisplayText&gt;[40]&lt;/DisplayText&gt;&lt;record&gt;&lt;rec-number&gt;165&lt;/rec-number&gt;&lt;foreign-keys&gt;&lt;key app="EN" db-id="0pstftvvb2s0x4e5tetxztsizs92vtrvp2vx" timestamp="1674160632" guid="9c957473-d9d7-499a-8da5-61ac00a3393e"&gt;165&lt;/key&gt;&lt;/foreign-keys&gt;&lt;ref-type name="Journal Article"&gt;17&lt;/ref-type&gt;&lt;contributors&gt;&lt;authors&gt;&lt;author&gt;Garming, Hildegard&lt;/author&gt;&lt;author&gt;Waibel, Hermann&lt;/author&gt;&lt;/authors&gt;&lt;/contributors&gt;&lt;titles&gt;&lt;title&gt;Willingness to pay to avoid health risks from pesticides, a case study from Nicaragua&lt;/title&gt;&lt;secondary-title&gt;Proceedings “Schriften der Gesellschaft für Wirtschafts-und Sozialwissenschaften des Landbaues eV”&lt;/secondary-title&gt;&lt;/titles&gt;&lt;periodical&gt;&lt;full-title&gt;Proceedings “Schriften der Gesellschaft für Wirtschafts-und Sozialwissenschaften des Landbaues eV”&lt;/full-title&gt;&lt;/periodical&gt;&lt;pages&gt;239-248&lt;/pages&gt;&lt;volume&gt;42&lt;/volume&gt;&lt;number&gt;874-2017-923&lt;/number&gt;&lt;dates&gt;&lt;year&gt;2007&lt;/year&gt;&lt;/dates&gt;&lt;urls&gt;&lt;/urls&gt;&lt;/record&gt;&lt;/Cite&gt;&lt;/EndNote&gt;</w:instrText>
      </w:r>
      <w:r w:rsidRPr="00F11B06">
        <w:rPr>
          <w:sz w:val="22"/>
          <w:szCs w:val="22"/>
        </w:rPr>
        <w:fldChar w:fldCharType="separate"/>
      </w:r>
      <w:r w:rsidR="00C653FF">
        <w:rPr>
          <w:noProof/>
          <w:sz w:val="22"/>
          <w:szCs w:val="22"/>
        </w:rPr>
        <w:t>[40]</w:t>
      </w:r>
      <w:r w:rsidRPr="00F11B06">
        <w:rPr>
          <w:sz w:val="22"/>
          <w:szCs w:val="22"/>
        </w:rPr>
        <w:fldChar w:fldCharType="end"/>
      </w:r>
      <w:r w:rsidRPr="00C653FF">
        <w:rPr>
          <w:sz w:val="22"/>
          <w:szCs w:val="22"/>
        </w:rPr>
        <w:t xml:space="preserve">, </w:t>
      </w:r>
      <w:r w:rsidRPr="00F11B06">
        <w:rPr>
          <w:sz w:val="22"/>
          <w:szCs w:val="22"/>
          <w:lang w:val="nl-NL"/>
        </w:rPr>
        <w:fldChar w:fldCharType="begin"/>
      </w:r>
      <w:r w:rsidR="00C653FF" w:rsidRPr="00C653FF">
        <w:rPr>
          <w:sz w:val="22"/>
          <w:szCs w:val="22"/>
        </w:rPr>
        <w:instrText xml:space="preserve"> ADDIN EN.CITE &lt;EndNote&gt;&lt;Cite AuthorYear="1"&gt;&lt;Author&gt;Goeb&lt;/Author&gt;&lt;Year&gt;2017&lt;/Year&gt;&lt;RecNum&gt;287&lt;/RecNum&gt;&lt;DisplayText&gt;Goeb [41]&lt;/DisplayText&gt;&lt;record&gt;&lt;rec-number&gt;287&lt;/rec-number&gt;&lt;foreign-keys&gt;&lt;key app="EN" db-id="0pstftvvb2s0x4e5tetxztsizs92vtrvp2vx" timestamp="1684143050" guid="8449f9eb-61c4-4039-99d7-294ec94b8b15"&gt;287&lt;/key&gt;&lt;/foreign-keys&gt;&lt;ref-type name="Book"&gt;6&lt;/ref-type&gt;&lt;contributors&gt;&lt;authors&gt;&lt;author&gt;Goeb, Joseph Christopher&lt;/author&gt;&lt;/authors&gt;&lt;/contributors&gt;&lt;titles&gt;&lt;title&gt;Information, knowledge, and demand for substitute health inputs: Experimental evidence of pesticide use in Zambia&lt;/title&gt;&lt;/titles&gt;&lt;dates&gt;&lt;year&gt;2017&lt;/year&gt;&lt;/dates&gt;&lt;publisher&gt;Michigan State University&lt;/publisher&gt;&lt;isbn&gt;1369755708&lt;/isbn&gt;&lt;urls&gt;&lt;/urls&gt;&lt;/record&gt;&lt;/Cite&gt;&lt;/EndNote&gt;</w:instrText>
      </w:r>
      <w:r w:rsidRPr="00F11B06">
        <w:rPr>
          <w:sz w:val="22"/>
          <w:szCs w:val="22"/>
          <w:lang w:val="nl-NL"/>
        </w:rPr>
        <w:fldChar w:fldCharType="separate"/>
      </w:r>
      <w:r w:rsidR="00C653FF" w:rsidRPr="00C653FF">
        <w:rPr>
          <w:noProof/>
          <w:sz w:val="22"/>
          <w:szCs w:val="22"/>
        </w:rPr>
        <w:t>Goeb [41]</w:t>
      </w:r>
      <w:r w:rsidRPr="00F11B06">
        <w:rPr>
          <w:sz w:val="22"/>
          <w:szCs w:val="22"/>
          <w:lang w:val="nl-NL"/>
        </w:rPr>
        <w:fldChar w:fldCharType="end"/>
      </w:r>
      <w:r w:rsidRPr="00C653FF">
        <w:rPr>
          <w:sz w:val="22"/>
          <w:szCs w:val="22"/>
        </w:rPr>
        <w:t>,</w:t>
      </w:r>
      <w:r w:rsidR="000150AB">
        <w:rPr>
          <w:sz w:val="22"/>
          <w:szCs w:val="22"/>
        </w:rPr>
        <w:t xml:space="preserve"> Gong et al.</w:t>
      </w:r>
      <w:r w:rsidRPr="00C653FF">
        <w:rPr>
          <w:sz w:val="22"/>
          <w:szCs w:val="22"/>
        </w:rPr>
        <w:t xml:space="preserve"> </w:t>
      </w:r>
      <w:r w:rsidRPr="00F11B06">
        <w:rPr>
          <w:sz w:val="22"/>
          <w:szCs w:val="22"/>
        </w:rPr>
        <w:fldChar w:fldCharType="begin"/>
      </w:r>
      <w:r w:rsidR="000150AB">
        <w:rPr>
          <w:sz w:val="22"/>
          <w:szCs w:val="22"/>
        </w:rPr>
        <w:instrText xml:space="preserve"> ADDIN EN.CITE &lt;EndNote&gt;&lt;Cite&gt;&lt;Author&gt;Gong&lt;/Author&gt;&lt;Year&gt;2020&lt;/Year&gt;&lt;RecNum&gt;280&lt;/RecNum&gt;&lt;DisplayText&gt;[42]&lt;/DisplayText&gt;&lt;record&gt;&lt;rec-number&gt;280&lt;/rec-number&gt;&lt;foreign-keys&gt;&lt;key app="EN" db-id="0pstftvvb2s0x4e5tetxztsizs92vtrvp2vx" timestamp="1684080294" guid="487c2763-9727-45b0-902c-4078d23a36c8"&gt;280&lt;/key&gt;&lt;/foreign-keys&gt;&lt;ref-type name="Journal Article"&gt;17&lt;/ref-type&gt;&lt;contributors&gt;&lt;authors&gt;&lt;author&gt;Gong, Yazhen&lt;/author&gt;&lt;author&gt;Bi, Xiang&lt;/author&gt;&lt;author&gt;Wu, Jian&lt;/author&gt;&lt;/authors&gt;&lt;/contributors&gt;&lt;titles&gt;&lt;title&gt;Willingness to pay for the conservation of the endangered Red-crowned Crane in China: Roles of conservation attitudes and income&lt;/title&gt;&lt;secondary-title&gt;Forest Policy and Economics&lt;/secondary-title&gt;&lt;/titles&gt;&lt;periodical&gt;&lt;full-title&gt;Forest Policy and Economics&lt;/full-title&gt;&lt;/periodical&gt;&lt;pages&gt;102296&lt;/pages&gt;&lt;volume&gt;120&lt;/volume&gt;&lt;dates&gt;&lt;year&gt;2020&lt;/year&gt;&lt;/dates&gt;&lt;isbn&gt;1389-9341&lt;/isbn&gt;&lt;urls&gt;&lt;/urls&gt;&lt;/record&gt;&lt;/Cite&gt;&lt;/EndNote&gt;</w:instrText>
      </w:r>
      <w:r w:rsidRPr="00F11B06">
        <w:rPr>
          <w:sz w:val="22"/>
          <w:szCs w:val="22"/>
        </w:rPr>
        <w:fldChar w:fldCharType="separate"/>
      </w:r>
      <w:r w:rsidR="000150AB">
        <w:rPr>
          <w:noProof/>
          <w:sz w:val="22"/>
          <w:szCs w:val="22"/>
        </w:rPr>
        <w:t>[42]</w:t>
      </w:r>
      <w:r w:rsidRPr="00F11B06">
        <w:rPr>
          <w:sz w:val="22"/>
          <w:szCs w:val="22"/>
        </w:rPr>
        <w:fldChar w:fldCharType="end"/>
      </w:r>
      <w:r w:rsidRPr="00F11B06">
        <w:rPr>
          <w:sz w:val="22"/>
          <w:szCs w:val="22"/>
        </w:rPr>
        <w:t xml:space="preserve">, Higley and </w:t>
      </w:r>
      <w:proofErr w:type="spellStart"/>
      <w:r w:rsidRPr="00F11B06">
        <w:rPr>
          <w:sz w:val="22"/>
          <w:szCs w:val="22"/>
        </w:rPr>
        <w:t>Wintersteen</w:t>
      </w:r>
      <w:proofErr w:type="spellEnd"/>
      <w:r w:rsidRPr="00F11B06">
        <w:rPr>
          <w:sz w:val="22"/>
          <w:szCs w:val="22"/>
        </w:rPr>
        <w:t xml:space="preserve"> </w:t>
      </w:r>
      <w:r w:rsidRPr="00F11B06">
        <w:rPr>
          <w:sz w:val="22"/>
          <w:szCs w:val="22"/>
        </w:rPr>
        <w:fldChar w:fldCharType="begin"/>
      </w:r>
      <w:r w:rsidR="00C653FF">
        <w:rPr>
          <w:sz w:val="22"/>
          <w:szCs w:val="22"/>
        </w:rPr>
        <w:instrText xml:space="preserve"> ADDIN EN.CITE &lt;EndNote&gt;&lt;Cite ExcludeAuth="1"&gt;&lt;Author&gt;Higley&lt;/Author&gt;&lt;Year&gt;1992&lt;/Year&gt;&lt;RecNum&gt;92&lt;/RecNum&gt;&lt;IDText&gt;A Novel Approach to Environmental Risk Assessment of Pesticides as a Basis for Incorporating Environmental Costs into Economic Injury Levels&lt;/IDText&gt;&lt;DisplayText&gt;[43]&lt;/DisplayText&gt;&lt;record&gt;&lt;rec-number&gt;92&lt;/rec-number&gt;&lt;foreign-keys&gt;&lt;key app="EN" db-id="0pstftvvb2s0x4e5tetxztsizs92vtrvp2vx" timestamp="1634115811" guid="1899e717-d32b-4b18-91c2-374bca8b984f"&gt;92&lt;/key&gt;&lt;/foreign-keys&gt;&lt;ref-type name="Journal Article"&gt;17&lt;/ref-type&gt;&lt;contributors&gt;&lt;authors&gt;&lt;author&gt;Higley, Leon G.&lt;/author&gt;&lt;author&gt;Wintersteen, Wendy K.&lt;/author&gt;&lt;/authors&gt;&lt;/contributors&gt;&lt;titles&gt;&lt;title&gt;A Novel Approach to Environmental Risk Assessment of Pesticides as a Basis for Incorporating Environmental Costs into Economic Injury Levels&lt;/title&gt;&lt;secondary-title&gt;American Entomologist&lt;/secondary-title&gt;&lt;/titles&gt;&lt;periodical&gt;&lt;full-title&gt;American Entomologist&lt;/full-title&gt;&lt;/periodical&gt;&lt;pages&gt;34-39&lt;/pages&gt;&lt;volume&gt;38&lt;/volume&gt;&lt;number&gt;1&lt;/number&gt;&lt;section&gt;34&lt;/section&gt;&lt;dates&gt;&lt;year&gt;1992&lt;/year&gt;&lt;/dates&gt;&lt;isbn&gt;2155-9902&amp;#xD;1046-2821&lt;/isbn&gt;&lt;urls&gt;&lt;/urls&gt;&lt;electronic-resource-num&gt;10.1093/ae/38.1.34&lt;/electronic-resource-num&gt;&lt;/record&gt;&lt;/Cite&gt;&lt;/EndNote&gt;</w:instrText>
      </w:r>
      <w:r w:rsidRPr="00F11B06">
        <w:rPr>
          <w:sz w:val="22"/>
          <w:szCs w:val="22"/>
        </w:rPr>
        <w:fldChar w:fldCharType="separate"/>
      </w:r>
      <w:r w:rsidR="00C653FF">
        <w:rPr>
          <w:noProof/>
          <w:sz w:val="22"/>
          <w:szCs w:val="22"/>
        </w:rPr>
        <w:t>[43]</w:t>
      </w:r>
      <w:r w:rsidRPr="00F11B06">
        <w:rPr>
          <w:sz w:val="22"/>
          <w:szCs w:val="22"/>
        </w:rPr>
        <w:fldChar w:fldCharType="end"/>
      </w:r>
      <w:r w:rsidRPr="00F11B06">
        <w:rPr>
          <w:sz w:val="22"/>
          <w:szCs w:val="22"/>
        </w:rPr>
        <w:t xml:space="preserve">, </w:t>
      </w:r>
      <w:r w:rsidRPr="00F11B06">
        <w:rPr>
          <w:sz w:val="22"/>
          <w:szCs w:val="22"/>
        </w:rPr>
        <w:fldChar w:fldCharType="begin"/>
      </w:r>
      <w:r w:rsidR="00C653FF">
        <w:rPr>
          <w:sz w:val="22"/>
          <w:szCs w:val="22"/>
        </w:rPr>
        <w:instrText xml:space="preserve"> ADDIN EN.CITE &lt;EndNote&gt;&lt;Cite AuthorYear="1"&gt;&lt;Author&gt;Khan&lt;/Author&gt;&lt;Year&gt;2015&lt;/Year&gt;&lt;RecNum&gt;309&lt;/RecNum&gt;&lt;DisplayText&gt;Khan and Damalas [44]&lt;/DisplayText&gt;&lt;record&gt;&lt;rec-number&gt;309&lt;/rec-number&gt;&lt;foreign-keys&gt;&lt;key app="EN" db-id="0pstftvvb2s0x4e5tetxztsizs92vtrvp2vx" timestamp="1684156985" guid="144190e5-b068-4b74-b3c7-db6cdedeb1dd"&gt;309&lt;/key&gt;&lt;/foreign-keys&gt;&lt;ref-type name="Journal Article"&gt;17&lt;/ref-type&gt;&lt;contributors&gt;&lt;authors&gt;&lt;author&gt;Khan, Muhammad&lt;/author&gt;&lt;author&gt;Damalas, Christos A&lt;/author&gt;&lt;/authors&gt;&lt;/contributors&gt;&lt;titles&gt;&lt;title&gt;Farmers&amp;apos; willingness to pay for less health risks by pesticide use: A case study from the cotton belt of Punjab, Pakistan&lt;/title&gt;&lt;secondary-title&gt;Science of the total environment&lt;/secondary-title&gt;&lt;/titles&gt;&lt;periodical&gt;&lt;full-title&gt;Science of the Total Environment&lt;/full-title&gt;&lt;/periodical&gt;&lt;pages&gt;297-303&lt;/pages&gt;&lt;volume&gt;530&lt;/volume&gt;&lt;dates&gt;&lt;year&gt;2015&lt;/year&gt;&lt;/dates&gt;&lt;isbn&gt;0048-9697&lt;/isbn&gt;&lt;urls&gt;&lt;/urls&gt;&lt;/record&gt;&lt;/Cite&gt;&lt;/EndNote&gt;</w:instrText>
      </w:r>
      <w:r w:rsidRPr="00F11B06">
        <w:rPr>
          <w:sz w:val="22"/>
          <w:szCs w:val="22"/>
        </w:rPr>
        <w:fldChar w:fldCharType="separate"/>
      </w:r>
      <w:r w:rsidR="00C653FF">
        <w:rPr>
          <w:noProof/>
          <w:sz w:val="22"/>
          <w:szCs w:val="22"/>
        </w:rPr>
        <w:t>Khan and Damalas [44]</w:t>
      </w:r>
      <w:r w:rsidRPr="00F11B06">
        <w:rPr>
          <w:sz w:val="22"/>
          <w:szCs w:val="22"/>
        </w:rPr>
        <w:fldChar w:fldCharType="end"/>
      </w:r>
      <w:r w:rsidRPr="00F11B06">
        <w:rPr>
          <w:sz w:val="22"/>
          <w:szCs w:val="22"/>
        </w:rPr>
        <w:t>,</w:t>
      </w:r>
      <w:r w:rsidR="00B6304C">
        <w:rPr>
          <w:sz w:val="22"/>
          <w:szCs w:val="22"/>
        </w:rPr>
        <w:t xml:space="preserve"> Khan et al.</w:t>
      </w:r>
      <w:r w:rsidRPr="00F11B06">
        <w:rPr>
          <w:sz w:val="22"/>
          <w:szCs w:val="22"/>
        </w:rPr>
        <w:t xml:space="preserve"> </w:t>
      </w:r>
      <w:r w:rsidRPr="00F11B06">
        <w:rPr>
          <w:sz w:val="22"/>
          <w:szCs w:val="22"/>
        </w:rPr>
        <w:fldChar w:fldCharType="begin"/>
      </w:r>
      <w:r w:rsidR="00B6304C">
        <w:rPr>
          <w:sz w:val="22"/>
          <w:szCs w:val="22"/>
        </w:rPr>
        <w:instrText xml:space="preserve"> ADDIN EN.CITE &lt;EndNote&gt;&lt;Cite&gt;&lt;Author&gt;Khan&lt;/Author&gt;&lt;Year&gt;2021&lt;/Year&gt;&lt;RecNum&gt;283&lt;/RecNum&gt;&lt;DisplayText&gt;[45]&lt;/DisplayText&gt;&lt;record&gt;&lt;rec-number&gt;283&lt;/rec-number&gt;&lt;foreign-keys&gt;&lt;key app="EN" db-id="0pstftvvb2s0x4e5tetxztsizs92vtrvp2vx" timestamp="1684080864" guid="24ff4beb-7daa-4065-89bd-90a68254ec30"&gt;283&lt;/key&gt;&lt;/foreign-keys&gt;&lt;ref-type name="Journal Article"&gt;17&lt;/ref-type&gt;&lt;contributors&gt;&lt;authors&gt;&lt;author&gt;Khan, Jahangir&lt;/author&gt;&lt;author&gt;Shah, Syed Attaullah&lt;/author&gt;&lt;author&gt;Saddozai, Khurram Nawaz&lt;/author&gt;&lt;author&gt;Khanal, Aditya R&lt;/author&gt;&lt;/authors&gt;&lt;/contributors&gt;&lt;titles&gt;&lt;title&gt;Investigating the Effect of Contingent Valuation Question Formats on Households’ Willingness to Pay for Pesticides Free Fruits in Khyber Pakhtunkhwa&lt;/title&gt;&lt;secondary-title&gt;Journal of Applied Economics and Business Studies&lt;/secondary-title&gt;&lt;/titles&gt;&lt;periodical&gt;&lt;full-title&gt;Journal of Applied Economics and Business Studies&lt;/full-title&gt;&lt;/periodical&gt;&lt;pages&gt;1-12&lt;/pages&gt;&lt;volume&gt;5&lt;/volume&gt;&lt;number&gt;4&lt;/number&gt;&lt;dates&gt;&lt;year&gt;2021&lt;/year&gt;&lt;/dates&gt;&lt;isbn&gt;2663-693X&lt;/isbn&gt;&lt;urls&gt;&lt;/urls&gt;&lt;/record&gt;&lt;/Cite&gt;&lt;/EndNote&gt;</w:instrText>
      </w:r>
      <w:r w:rsidRPr="00F11B06">
        <w:rPr>
          <w:sz w:val="22"/>
          <w:szCs w:val="22"/>
        </w:rPr>
        <w:fldChar w:fldCharType="separate"/>
      </w:r>
      <w:r w:rsidR="00B6304C">
        <w:rPr>
          <w:noProof/>
          <w:sz w:val="22"/>
          <w:szCs w:val="22"/>
        </w:rPr>
        <w:t>[45]</w:t>
      </w:r>
      <w:r w:rsidRPr="00F11B06">
        <w:rPr>
          <w:sz w:val="22"/>
          <w:szCs w:val="22"/>
        </w:rPr>
        <w:fldChar w:fldCharType="end"/>
      </w:r>
      <w:r w:rsidRPr="00F11B06">
        <w:rPr>
          <w:sz w:val="22"/>
          <w:szCs w:val="22"/>
        </w:rPr>
        <w:t xml:space="preserve">, </w:t>
      </w:r>
      <w:proofErr w:type="spellStart"/>
      <w:r w:rsidRPr="00F11B06">
        <w:rPr>
          <w:sz w:val="22"/>
          <w:szCs w:val="22"/>
        </w:rPr>
        <w:t>Lohr</w:t>
      </w:r>
      <w:proofErr w:type="spellEnd"/>
      <w:r w:rsidRPr="00F11B06">
        <w:rPr>
          <w:sz w:val="22"/>
          <w:szCs w:val="22"/>
        </w:rPr>
        <w:t xml:space="preserve"> et al. </w:t>
      </w:r>
      <w:r w:rsidRPr="00F11B06">
        <w:rPr>
          <w:sz w:val="22"/>
          <w:szCs w:val="22"/>
          <w:lang w:val="nl-NL"/>
        </w:rPr>
        <w:fldChar w:fldCharType="begin"/>
      </w:r>
      <w:r w:rsidR="00C653FF" w:rsidRPr="00C653FF">
        <w:rPr>
          <w:sz w:val="22"/>
          <w:szCs w:val="22"/>
        </w:rPr>
        <w:instrText xml:space="preserve"> ADDIN EN.CITE &lt;EndNote&gt;&lt;Cite ExcludeAuth="1"&gt;&lt;Author&gt;Lohr&lt;/Author&gt;&lt;Year&gt;1999&lt;/Year&gt;&lt;RecNum&gt;94&lt;/RecNum&gt;&lt;IDText&gt;Farmer risk assessment for voluntary insecticide reduction&lt;/IDText&gt;&lt;DisplayText&gt;[46]&lt;/DisplayText&gt;&lt;record&gt;&lt;rec-number&gt;94&lt;/rec-number&gt;&lt;foreign-keys&gt;&lt;key app="EN" db-id="0pstftvvb2s0x4e5tetxztsizs92vtrvp2vx" timestamp="1634115931" guid="55a9defb-9b0b-4501-bd2f-b28645142015"&gt;94&lt;/key&gt;&lt;/foreign-keys&gt;&lt;ref-type name="Journal Article"&gt;17&lt;/ref-type&gt;&lt;contributors&gt;&lt;authors&gt;&lt;author&gt;Lohr, Luanne&lt;/author&gt;&lt;author&gt;Park, Timothy&lt;/author&gt;&lt;author&gt;Higley, Leon&lt;/author&gt;&lt;/authors&gt;&lt;/contributors&gt;&lt;titles&gt;&lt;title&gt;Farmer risk assessment for voluntary insecticide reduction&lt;/title&gt;&lt;secondary-title&gt;Ecological Economics&lt;/secondary-title&gt;&lt;/titles&gt;&lt;periodical&gt;&lt;full-title&gt;Ecological Economics&lt;/full-title&gt;&lt;/periodical&gt;&lt;pages&gt;121-130&lt;/pages&gt;&lt;volume&gt;30&lt;/volume&gt;&lt;number&gt;1&lt;/number&gt;&lt;keywords&gt;&lt;keyword&gt;Indirect utility model&lt;/keyword&gt;&lt;keyword&gt;Environmental risk valuation&lt;/keyword&gt;&lt;keyword&gt;Voluntary insecticide reduction&lt;/keyword&gt;&lt;keyword&gt;Tobit model&lt;/keyword&gt;&lt;/keywords&gt;&lt;dates&gt;&lt;year&gt;1999&lt;/year&gt;&lt;pub-dates&gt;&lt;date&gt;1999/07/01/&lt;/date&gt;&lt;/pub-dates&gt;&lt;/dates&gt;&lt;isbn&gt;0921-8009&lt;/isbn&gt;&lt;urls&gt;&lt;related-urls&gt;&lt;url&gt;https://www.sciencedirect.com/science/article/pii/S0921800998001037&lt;/url&gt;&lt;/related-urls&gt;&lt;/urls&gt;&lt;electronic-resource-num&gt;https://doi.org/10.1016/S0921-8009(98)00103-7&lt;/electronic-resource-num&gt;&lt;/record&gt;&lt;/Cite&gt;&lt;/EndNote&gt;</w:instrText>
      </w:r>
      <w:r w:rsidRPr="00F11B06">
        <w:rPr>
          <w:sz w:val="22"/>
          <w:szCs w:val="22"/>
          <w:lang w:val="nl-NL"/>
        </w:rPr>
        <w:fldChar w:fldCharType="separate"/>
      </w:r>
      <w:r w:rsidR="00C653FF" w:rsidRPr="00C55293">
        <w:rPr>
          <w:noProof/>
          <w:sz w:val="22"/>
          <w:szCs w:val="22"/>
          <w:lang w:val="nl-NL"/>
        </w:rPr>
        <w:t>[46]</w:t>
      </w:r>
      <w:r w:rsidRPr="00F11B06">
        <w:rPr>
          <w:sz w:val="22"/>
          <w:szCs w:val="22"/>
          <w:lang w:val="nl-NL"/>
        </w:rPr>
        <w:fldChar w:fldCharType="end"/>
      </w:r>
      <w:r w:rsidRPr="00C55293">
        <w:rPr>
          <w:sz w:val="22"/>
          <w:szCs w:val="22"/>
          <w:lang w:val="nl-NL"/>
        </w:rPr>
        <w:t>,</w:t>
      </w:r>
      <w:r w:rsidR="00C55293" w:rsidRPr="00C55293">
        <w:rPr>
          <w:sz w:val="22"/>
          <w:szCs w:val="22"/>
          <w:lang w:val="nl-NL"/>
        </w:rPr>
        <w:t xml:space="preserve"> </w:t>
      </w:r>
      <w:proofErr w:type="spellStart"/>
      <w:r w:rsidR="00C55293" w:rsidRPr="00C55293">
        <w:rPr>
          <w:sz w:val="22"/>
          <w:szCs w:val="22"/>
          <w:lang w:val="nl-NL"/>
        </w:rPr>
        <w:t>Maguire</w:t>
      </w:r>
      <w:proofErr w:type="spellEnd"/>
      <w:r w:rsidR="00C55293" w:rsidRPr="00C55293">
        <w:rPr>
          <w:sz w:val="22"/>
          <w:szCs w:val="22"/>
          <w:lang w:val="nl-NL"/>
        </w:rPr>
        <w:t xml:space="preserve"> et al.</w:t>
      </w:r>
      <w:r w:rsidRPr="00C55293">
        <w:rPr>
          <w:sz w:val="22"/>
          <w:szCs w:val="22"/>
          <w:lang w:val="nl-NL"/>
        </w:rPr>
        <w:t xml:space="preserve"> </w:t>
      </w:r>
      <w:r w:rsidRPr="00F11B06">
        <w:rPr>
          <w:sz w:val="22"/>
          <w:szCs w:val="22"/>
        </w:rPr>
        <w:fldChar w:fldCharType="begin"/>
      </w:r>
      <w:r w:rsidR="00C55293" w:rsidRPr="00C55293">
        <w:rPr>
          <w:sz w:val="22"/>
          <w:szCs w:val="22"/>
          <w:lang w:val="nl-NL"/>
        </w:rPr>
        <w:instrText xml:space="preserve"> ADDIN EN.CITE &lt;EndNote&gt;&lt;Cite&gt;&lt;Author&gt;Maguire&lt;/Author&gt;&lt;Year&gt;2002&lt;/Year&gt;&lt;RecNum&gt;154&lt;/RecNum&gt;&lt;DisplayText&gt;[47]&lt;/DisplayText&gt;&lt;record&gt;&lt;rec-number&gt;154&lt;/rec-number&gt;&lt;foreign-keys&gt;&lt;key app="EN" db-id="0pstftvvb2s0x4e5tetxztsizs92vtrvp2vx" timestamp="1674160632" guid="b4f2a190-4197-440e-92f8-62dfbee4dd28"&gt;154&lt;/key&gt;&lt;/foreign-keys&gt;&lt;ref-type name="Report"&gt;27&lt;/ref-type&gt;&lt;contributors&gt;&lt;authors&gt;&lt;author&gt;Maguire, Kelly B&lt;/author&gt;&lt;author&gt;Owens, Nicole&lt;/author&gt;&lt;author&gt;Simon, Nathalie B&lt;/author&gt;&lt;/authors&gt;&lt;/contributors&gt;&lt;titles&gt;&lt;title&gt;Willingness to Pay to Reduce a Child’s Pesticide Exposure: evidence from the baby food market&lt;/title&gt;&lt;/titles&gt;&lt;dates&gt;&lt;year&gt;2002&lt;/year&gt;&lt;/dates&gt;&lt;urls&gt;&lt;/urls&gt;&lt;/record&gt;&lt;/Cite&gt;&lt;/EndNote&gt;</w:instrText>
      </w:r>
      <w:r w:rsidRPr="00F11B06">
        <w:rPr>
          <w:sz w:val="22"/>
          <w:szCs w:val="22"/>
        </w:rPr>
        <w:fldChar w:fldCharType="separate"/>
      </w:r>
      <w:r w:rsidR="00C55293" w:rsidRPr="00C55293">
        <w:rPr>
          <w:noProof/>
          <w:sz w:val="22"/>
          <w:szCs w:val="22"/>
          <w:lang w:val="nl-NL"/>
        </w:rPr>
        <w:t>[47]</w:t>
      </w:r>
      <w:r w:rsidRPr="00F11B06">
        <w:rPr>
          <w:sz w:val="22"/>
          <w:szCs w:val="22"/>
        </w:rPr>
        <w:fldChar w:fldCharType="end"/>
      </w:r>
      <w:r w:rsidRPr="00C55293">
        <w:rPr>
          <w:sz w:val="22"/>
          <w:szCs w:val="22"/>
          <w:lang w:val="nl-NL"/>
        </w:rPr>
        <w:t>, Mullen et al.</w:t>
      </w:r>
      <w:r w:rsidRPr="00F11B06">
        <w:rPr>
          <w:sz w:val="22"/>
          <w:szCs w:val="22"/>
        </w:rPr>
        <w:fldChar w:fldCharType="begin"/>
      </w:r>
      <w:r w:rsidR="00C653FF" w:rsidRPr="00C55293">
        <w:rPr>
          <w:sz w:val="22"/>
          <w:szCs w:val="22"/>
          <w:lang w:val="nl-NL"/>
        </w:rPr>
        <w:instrText xml:space="preserve"> ADDIN EN.CITE &lt;EndNote&gt;&lt;Cite ExcludeAuth="1"&gt;&lt;Author&gt;Mullen&lt;/Author&gt;&lt;Year&gt;1997&lt;/Year&gt;&lt;RecNum&gt;96&lt;/RecNum&gt;&lt;IDText&gt;Economic Analysis of Environmental Benefits of Integrated Pest Management&lt;/IDText&gt;&lt;DisplayText&gt;[48]&lt;/DisplayText&gt;&lt;record&gt;&lt;rec-number&gt;96&lt;/rec-number&gt;&lt;foreign-keys&gt;&lt;key app="EN" db-id="0pstftvvb2s0x4e5tetxztsizs92vtrvp2vx" timestamp="1634116096" guid="dc70f10a-8f1f-46c3-9e17-43a3621ec7a6"&gt;96&lt;/key&gt;&lt;/foreign-keys&gt;&lt;ref-type name="Journal Article"&gt;17&lt;/ref-type&gt;&lt;contributors&gt;&lt;authors&gt;&lt;author&gt;Mullen, Jeffrey D.&lt;/author&gt;&lt;author&gt;Norton, George W.&lt;/author&gt;&lt;author&gt;Reaves, Dixie W.&lt;/author&gt;&lt;/authors&gt;&lt;/contributors&gt;&lt;titles&gt;&lt;title&gt;Economic Analysis of Environmental Benefits of Integrated Pest Management&lt;/title&gt;&lt;secondary-title&gt;Journal of Agricultural and Applied Economics&lt;/secondary-title&gt;&lt;/titles&gt;&lt;periodical&gt;&lt;full-title&gt;Journal of Agricultural and Applied Economics&lt;/full-title&gt;&lt;/periodical&gt;&lt;pages&gt;243-253&lt;/pages&gt;&lt;volume&gt;29&lt;/volume&gt;&lt;number&gt;2&lt;/number&gt;&lt;edition&gt;2015/04/28&lt;/edition&gt;&lt;keywords&gt;&lt;keyword&gt;environmental benefits&lt;/keyword&gt;&lt;keyword&gt;integrated pest management&lt;/keyword&gt;&lt;keyword&gt;willingness to pay&lt;/keyword&gt;&lt;/keywords&gt;&lt;dates&gt;&lt;year&gt;1997&lt;/year&gt;&lt;/dates&gt;&lt;publisher&gt;Cambridge University Press&lt;/publisher&gt;&lt;isbn&gt;1074-0708&lt;/isbn&gt;&lt;urls&gt;&lt;related-urls&gt;&lt;url&gt;https://www.cambridge.org/core/article/economic-analysis-of-environmental-benefits-of-integrated-pest-management/B41A759A346752899AC5ED7FB95A23E8&lt;/url&gt;&lt;/related-urls&gt;&lt;/urls&gt;&lt;electronic-resource-num&gt;10.1017/S1074070800007756&lt;/electronic-resource-num&gt;&lt;remote-database-name&gt;Cambridge Core&lt;/remote-database-name&gt;&lt;remote-database-provider&gt;Cambridge University Press&lt;/remote-database-provider&gt;&lt;/record&gt;&lt;/Cite&gt;&lt;/EndNote&gt;</w:instrText>
      </w:r>
      <w:r w:rsidRPr="00F11B06">
        <w:rPr>
          <w:sz w:val="22"/>
          <w:szCs w:val="22"/>
        </w:rPr>
        <w:fldChar w:fldCharType="separate"/>
      </w:r>
      <w:r w:rsidR="00C653FF" w:rsidRPr="00C55293">
        <w:rPr>
          <w:noProof/>
          <w:sz w:val="22"/>
          <w:szCs w:val="22"/>
          <w:lang w:val="nl-NL"/>
        </w:rPr>
        <w:t>[48]</w:t>
      </w:r>
      <w:r w:rsidRPr="00F11B06">
        <w:rPr>
          <w:sz w:val="22"/>
          <w:szCs w:val="22"/>
        </w:rPr>
        <w:fldChar w:fldCharType="end"/>
      </w:r>
      <w:r w:rsidRPr="00F11B06">
        <w:rPr>
          <w:sz w:val="22"/>
          <w:szCs w:val="22"/>
          <w:lang w:val="nl-NL"/>
        </w:rPr>
        <w:t xml:space="preserve">, </w:t>
      </w:r>
      <w:proofErr w:type="spellStart"/>
      <w:r w:rsidRPr="00F11B06">
        <w:rPr>
          <w:sz w:val="22"/>
          <w:szCs w:val="22"/>
          <w:lang w:val="nl-NL"/>
        </w:rPr>
        <w:t>Phuong</w:t>
      </w:r>
      <w:proofErr w:type="spellEnd"/>
      <w:r w:rsidRPr="00F11B06">
        <w:rPr>
          <w:sz w:val="22"/>
          <w:szCs w:val="22"/>
          <w:lang w:val="nl-NL"/>
        </w:rPr>
        <w:t xml:space="preserve"> </w:t>
      </w:r>
      <w:r w:rsidR="00B6304C">
        <w:rPr>
          <w:sz w:val="22"/>
          <w:szCs w:val="22"/>
          <w:lang w:val="nl-NL"/>
        </w:rPr>
        <w:t>and</w:t>
      </w:r>
      <w:r w:rsidRPr="00F11B06">
        <w:rPr>
          <w:sz w:val="22"/>
          <w:szCs w:val="22"/>
          <w:lang w:val="nl-NL"/>
        </w:rPr>
        <w:t xml:space="preserve"> </w:t>
      </w:r>
      <w:proofErr w:type="spellStart"/>
      <w:r w:rsidRPr="00F11B06">
        <w:rPr>
          <w:sz w:val="22"/>
          <w:szCs w:val="22"/>
          <w:lang w:val="nl-NL"/>
        </w:rPr>
        <w:t>Gopalakrishnan</w:t>
      </w:r>
      <w:proofErr w:type="spellEnd"/>
      <w:r w:rsidRPr="00F11B06">
        <w:rPr>
          <w:sz w:val="22"/>
          <w:szCs w:val="22"/>
          <w:lang w:val="nl-NL"/>
        </w:rPr>
        <w:t xml:space="preserve"> </w:t>
      </w:r>
      <w:r w:rsidRPr="00F11B06">
        <w:rPr>
          <w:sz w:val="22"/>
          <w:szCs w:val="22"/>
        </w:rPr>
        <w:fldChar w:fldCharType="begin"/>
      </w:r>
      <w:r w:rsidR="00C653FF" w:rsidRPr="00C55293">
        <w:rPr>
          <w:sz w:val="22"/>
          <w:szCs w:val="22"/>
          <w:lang w:val="nl-NL"/>
        </w:rPr>
        <w:instrText xml:space="preserve"> ADDIN EN.CITE &lt;EndNote&gt;&lt;Cite ExcludeAuth="1"&gt;&lt;Author&gt;Phuong&lt;/Author&gt;&lt;Year&gt;2003&lt;/Year&gt;&lt;RecNum&gt;0&lt;/RecNum&gt;&lt;IDText&gt;An application of the contingent valuation method to estimate the loss of value of water resources due to pesticide contamination: the case of the Mekong Delta, Vietnam&lt;/IDText&gt;&lt;DisplayText&gt;[49]&lt;/DisplayText&gt;&lt;record&gt;&lt;dates&gt;&lt;pub-dates&gt;&lt;date&gt;2003/12/01&lt;/date&gt;&lt;/pub-dates&gt;&lt;year&gt;2003&lt;/year&gt;&lt;/dates&gt;&lt;urls&gt;&lt;related-urls&gt;&lt;url&gt;https://doi.org/10.1080/0790062032000161409&lt;/url&gt;&lt;/related-urls&gt;&lt;/urls&gt;&lt;isbn&gt;0790-0627&lt;/isbn&gt;&lt;titles&gt;&lt;title&gt;An application of the contingent valuation method to estimate the loss of value of water resources due to pesticide contamination: the case of the Mekong Delta, Vietnam&lt;/title&gt;&lt;secondary-title&gt;International Journal of Water Resources Development&lt;/secondary-title&gt;&lt;/titles&gt;&lt;pages&gt;617-633&lt;/pages&gt;&lt;number&gt;4&lt;/number&gt;&lt;contributors&gt;&lt;authors&gt;&lt;author&gt;Phuong, Dang Minh&lt;/author&gt;&lt;author&gt;Gopalakrishnan, Chennat&lt;/author&gt;&lt;/authors&gt;&lt;/contributors&gt;&lt;added-date format="utc"&gt;1633355346&lt;/added-date&gt;&lt;ref-type name="Journal Article"&gt;17&lt;/ref-type&gt;&lt;rec-number&gt;28&lt;/rec-number&gt;&lt;publisher&gt;Routledge&lt;/publisher&gt;&lt;last-updated-date format="utc"&gt;1633356252&lt;/last-updated-date&gt;&lt;electronic-resource-num&gt;10.1080/0790062032000161409&lt;/electronic-resource-num&gt;&lt;volume&gt;19&lt;/volume&gt;&lt;/record&gt;&lt;/Cite&gt;&lt;/EndNote&gt;</w:instrText>
      </w:r>
      <w:r w:rsidRPr="00F11B06">
        <w:rPr>
          <w:sz w:val="22"/>
          <w:szCs w:val="22"/>
        </w:rPr>
        <w:fldChar w:fldCharType="separate"/>
      </w:r>
      <w:r w:rsidR="00C653FF" w:rsidRPr="00C55293">
        <w:rPr>
          <w:noProof/>
          <w:sz w:val="22"/>
          <w:szCs w:val="22"/>
          <w:lang w:val="nl-NL"/>
        </w:rPr>
        <w:t>[49]</w:t>
      </w:r>
      <w:r w:rsidRPr="00F11B06">
        <w:rPr>
          <w:sz w:val="22"/>
          <w:szCs w:val="22"/>
        </w:rPr>
        <w:fldChar w:fldCharType="end"/>
      </w:r>
      <w:r w:rsidRPr="00F11B06">
        <w:rPr>
          <w:sz w:val="22"/>
          <w:szCs w:val="22"/>
          <w:lang w:val="nl-NL"/>
        </w:rPr>
        <w:t xml:space="preserve">, </w:t>
      </w:r>
      <w:proofErr w:type="spellStart"/>
      <w:r w:rsidRPr="00F11B06">
        <w:rPr>
          <w:sz w:val="22"/>
          <w:szCs w:val="22"/>
          <w:lang w:val="nl-NL"/>
        </w:rPr>
        <w:t>Schou</w:t>
      </w:r>
      <w:proofErr w:type="spellEnd"/>
      <w:r w:rsidRPr="00F11B06">
        <w:rPr>
          <w:sz w:val="22"/>
          <w:szCs w:val="22"/>
          <w:lang w:val="nl-NL"/>
        </w:rPr>
        <w:t xml:space="preserve"> et al. </w:t>
      </w:r>
      <w:r w:rsidRPr="00F11B06">
        <w:rPr>
          <w:sz w:val="22"/>
          <w:szCs w:val="22"/>
          <w:lang w:val="nl-NL"/>
        </w:rPr>
        <w:fldChar w:fldCharType="begin"/>
      </w:r>
      <w:r w:rsidR="00C653FF">
        <w:rPr>
          <w:sz w:val="22"/>
          <w:szCs w:val="22"/>
          <w:lang w:val="nl-NL"/>
        </w:rPr>
        <w:instrText xml:space="preserve"> ADDIN EN.CITE &lt;EndNote&gt;&lt;Cite ExcludeAuth="1"&gt;&lt;Author&gt;Schou&lt;/Author&gt;&lt;Year&gt;2006&lt;/Year&gt;&lt;RecNum&gt;139&lt;/RecNum&gt;&lt;IDText&gt;Valuation of biodiversity effects from reduced pesticide use&lt;/IDText&gt;&lt;DisplayText&gt;[50]&lt;/DisplayText&gt;&lt;record&gt;&lt;rec-number&gt;139&lt;/rec-number&gt;&lt;foreign-keys&gt;&lt;key app="EN" db-id="0pstftvvb2s0x4e5tetxztsizs92vtrvp2vx" timestamp="1674160631" guid="1045bb91-22b4-457c-8b32-44ddb0957d0d"&gt;139&lt;/key&gt;&lt;/foreign-keys&gt;&lt;ref-type name="Journal Article"&gt;17&lt;/ref-type&gt;&lt;contributors&gt;&lt;authors&gt;&lt;author&gt;Schou, Jesper S&lt;/author&gt;&lt;author&gt;Hasler, Berit&lt;/author&gt;&lt;author&gt;Nahrstedt, Birgit&lt;/author&gt;&lt;/authors&gt;&lt;/contributors&gt;&lt;titles&gt;&lt;title&gt;Valuation of biodiversity effects from reduced pesticide use&lt;/title&gt;&lt;secondary-title&gt;Integrated Environmental Assessment and Management: An International Journal&lt;/secondary-title&gt;&lt;/titles&gt;&lt;periodical&gt;&lt;full-title&gt;Integrated Environmental Assessment and Management: An International Journal&lt;/full-title&gt;&lt;/periodical&gt;&lt;pages&gt;174-181&lt;/pages&gt;&lt;volume&gt;2&lt;/volume&gt;&lt;number&gt;2&lt;/number&gt;&lt;dates&gt;&lt;year&gt;2006&lt;/year&gt;&lt;/dates&gt;&lt;isbn&gt;1551-3777&lt;/isbn&gt;&lt;urls&gt;&lt;/urls&gt;&lt;/record&gt;&lt;/Cite&gt;&lt;/EndNote&gt;</w:instrText>
      </w:r>
      <w:r w:rsidRPr="00F11B06">
        <w:rPr>
          <w:sz w:val="22"/>
          <w:szCs w:val="22"/>
          <w:lang w:val="nl-NL"/>
        </w:rPr>
        <w:fldChar w:fldCharType="separate"/>
      </w:r>
      <w:r w:rsidR="00C653FF" w:rsidRPr="00C653FF">
        <w:rPr>
          <w:noProof/>
          <w:sz w:val="22"/>
          <w:szCs w:val="22"/>
        </w:rPr>
        <w:t>[50]</w:t>
      </w:r>
      <w:r w:rsidRPr="00F11B06">
        <w:rPr>
          <w:sz w:val="22"/>
          <w:szCs w:val="22"/>
          <w:lang w:val="nl-NL"/>
        </w:rPr>
        <w:fldChar w:fldCharType="end"/>
      </w:r>
      <w:r w:rsidRPr="00C653FF">
        <w:rPr>
          <w:sz w:val="22"/>
          <w:szCs w:val="22"/>
        </w:rPr>
        <w:t xml:space="preserve">, </w:t>
      </w:r>
      <w:r w:rsidRPr="00F11B06">
        <w:rPr>
          <w:sz w:val="22"/>
          <w:szCs w:val="22"/>
        </w:rPr>
        <w:fldChar w:fldCharType="begin"/>
      </w:r>
      <w:r w:rsidR="00C653FF">
        <w:rPr>
          <w:sz w:val="22"/>
          <w:szCs w:val="22"/>
        </w:rPr>
        <w:instrText xml:space="preserve"> ADDIN EN.CITE &lt;EndNote&gt;&lt;Cite AuthorYear="1"&gt;&lt;Author&gt;Serefoglu&lt;/Author&gt;&lt;Year&gt;2016&lt;/Year&gt;&lt;RecNum&gt;313&lt;/RecNum&gt;&lt;DisplayText&gt;Serefoglu and Serefoglu [51]&lt;/DisplayText&gt;&lt;record&gt;&lt;rec-number&gt;313&lt;/rec-number&gt;&lt;foreign-keys&gt;&lt;key app="EN" db-id="0pstftvvb2s0x4e5tetxztsizs92vtrvp2vx" timestamp="1688052063" guid="bb2352a9-043b-4eb0-bd2d-5a937f14b117"&gt;313&lt;/key&gt;&lt;/foreign-keys&gt;&lt;ref-type name="Journal Article"&gt;17&lt;/ref-type&gt;&lt;contributors&gt;&lt;authors&gt;&lt;author&gt;Serefoglu, C&lt;/author&gt;&lt;author&gt;Serefoglu, S&lt;/author&gt;&lt;/authors&gt;&lt;/contributors&gt;&lt;titles&gt;&lt;title&gt;Consumer fair prices for less pesticide in potato&lt;/title&gt;&lt;secondary-title&gt;Italian Journal of Food Science&lt;/secondary-title&gt;&lt;/titles&gt;&lt;periodical&gt;&lt;full-title&gt;Italian Journal of Food Science&lt;/full-title&gt;&lt;/periodical&gt;&lt;pages&gt;107-120&lt;/pages&gt;&lt;volume&gt;28&lt;/volume&gt;&lt;number&gt;1&lt;/number&gt;&lt;dates&gt;&lt;year&gt;2016&lt;/year&gt;&lt;/dates&gt;&lt;isbn&gt;1120-1770&lt;/isbn&gt;&lt;urls&gt;&lt;/urls&gt;&lt;/record&gt;&lt;/Cite&gt;&lt;/EndNote&gt;</w:instrText>
      </w:r>
      <w:r w:rsidRPr="00F11B06">
        <w:rPr>
          <w:sz w:val="22"/>
          <w:szCs w:val="22"/>
        </w:rPr>
        <w:fldChar w:fldCharType="separate"/>
      </w:r>
      <w:r w:rsidR="00C653FF" w:rsidRPr="00C653FF">
        <w:rPr>
          <w:noProof/>
          <w:sz w:val="22"/>
          <w:szCs w:val="22"/>
        </w:rPr>
        <w:t>Serefoglu and Serefoglu [51]</w:t>
      </w:r>
      <w:r w:rsidRPr="00F11B06">
        <w:rPr>
          <w:sz w:val="22"/>
          <w:szCs w:val="22"/>
        </w:rPr>
        <w:fldChar w:fldCharType="end"/>
      </w:r>
      <w:r w:rsidRPr="00C653FF">
        <w:rPr>
          <w:sz w:val="22"/>
          <w:szCs w:val="22"/>
        </w:rPr>
        <w:t xml:space="preserve">, </w:t>
      </w:r>
      <w:r w:rsidRPr="00F11B06">
        <w:rPr>
          <w:sz w:val="22"/>
          <w:szCs w:val="22"/>
        </w:rPr>
        <w:fldChar w:fldCharType="begin"/>
      </w:r>
      <w:r w:rsidR="00C653FF">
        <w:rPr>
          <w:sz w:val="22"/>
          <w:szCs w:val="22"/>
        </w:rPr>
        <w:instrText xml:space="preserve"> ADDIN EN.CITE &lt;EndNote&gt;&lt;Cite AuthorYear="1"&gt;&lt;Author&gt;Sydorovych&lt;/Author&gt;&lt;Year&gt;2008&lt;/Year&gt;&lt;RecNum&gt;138&lt;/RecNum&gt;&lt;DisplayText&gt;Sydorovych and Marra [52]&lt;/DisplayText&gt;&lt;record&gt;&lt;rec-number&gt;138&lt;/rec-number&gt;&lt;foreign-keys&gt;&lt;key app="EN" db-id="0pstftvvb2s0x4e5tetxztsizs92vtrvp2vx" timestamp="1674160631" guid="386817ab-1908-41f9-897c-e32c028575db"&gt;138&lt;/key&gt;&lt;/foreign-keys&gt;&lt;ref-type name="Journal Article"&gt;17&lt;/ref-type&gt;&lt;contributors&gt;&lt;authors&gt;&lt;author&gt;Sydorovych, Olha&lt;/author&gt;&lt;author&gt;Marra, Michele&lt;/author&gt;&lt;/authors&gt;&lt;/contributors&gt;&lt;titles&gt;&lt;title&gt;Valuing the changes in herbicide risks resulting from adoption of Roundup Ready soybeans by US farmers: a revealed-preference approach&lt;/title&gt;&lt;secondary-title&gt;Journal of Agricultural and Applied Economics&lt;/secondary-title&gt;&lt;/titles&gt;&lt;periodical&gt;&lt;full-title&gt;Journal of Agricultural and Applied Economics&lt;/full-title&gt;&lt;/periodical&gt;&lt;pages&gt;777-787&lt;/pages&gt;&lt;volume&gt;40&lt;/volume&gt;&lt;number&gt;3&lt;/number&gt;&lt;dates&gt;&lt;year&gt;2008&lt;/year&gt;&lt;/dates&gt;&lt;isbn&gt;1074-0708&lt;/isbn&gt;&lt;urls&gt;&lt;/urls&gt;&lt;/record&gt;&lt;/Cite&gt;&lt;/EndNote&gt;</w:instrText>
      </w:r>
      <w:r w:rsidRPr="00F11B06">
        <w:rPr>
          <w:sz w:val="22"/>
          <w:szCs w:val="22"/>
        </w:rPr>
        <w:fldChar w:fldCharType="separate"/>
      </w:r>
      <w:r w:rsidR="00C653FF" w:rsidRPr="00C653FF">
        <w:rPr>
          <w:noProof/>
          <w:sz w:val="22"/>
          <w:szCs w:val="22"/>
        </w:rPr>
        <w:t>Sydorovych and Marra [52]</w:t>
      </w:r>
      <w:r w:rsidRPr="00F11B06">
        <w:rPr>
          <w:sz w:val="22"/>
          <w:szCs w:val="22"/>
        </w:rPr>
        <w:fldChar w:fldCharType="end"/>
      </w:r>
      <w:r w:rsidRPr="00C653FF">
        <w:rPr>
          <w:sz w:val="22"/>
          <w:szCs w:val="22"/>
        </w:rPr>
        <w:t>,</w:t>
      </w:r>
      <w:r w:rsidR="00EF37B6">
        <w:rPr>
          <w:sz w:val="22"/>
          <w:szCs w:val="22"/>
        </w:rPr>
        <w:t xml:space="preserve"> </w:t>
      </w:r>
      <w:r w:rsidR="00EF37B6" w:rsidRPr="00C653FF">
        <w:rPr>
          <w:noProof/>
          <w:sz w:val="22"/>
          <w:szCs w:val="22"/>
        </w:rPr>
        <w:t>Toolkiattiwong</w:t>
      </w:r>
      <w:r w:rsidR="00EF37B6">
        <w:rPr>
          <w:noProof/>
          <w:sz w:val="22"/>
          <w:szCs w:val="22"/>
        </w:rPr>
        <w:t xml:space="preserve"> et al.</w:t>
      </w:r>
      <w:r w:rsidRPr="00C653FF">
        <w:rPr>
          <w:sz w:val="22"/>
          <w:szCs w:val="22"/>
        </w:rPr>
        <w:t xml:space="preserve"> </w:t>
      </w:r>
      <w:r w:rsidRPr="00F11B06">
        <w:rPr>
          <w:sz w:val="22"/>
          <w:szCs w:val="22"/>
        </w:rPr>
        <w:fldChar w:fldCharType="begin"/>
      </w:r>
      <w:r w:rsidR="00EF37B6">
        <w:rPr>
          <w:sz w:val="22"/>
          <w:szCs w:val="22"/>
        </w:rPr>
        <w:instrText xml:space="preserve"> ADDIN EN.CITE &lt;EndNote&gt;&lt;Cite&gt;&lt;Author&gt;Toolkiattiwong&lt;/Author&gt;&lt;Year&gt;2022&lt;/Year&gt;&lt;RecNum&gt;286&lt;/RecNum&gt;&lt;DisplayText&gt;[53]&lt;/DisplayText&gt;&lt;record&gt;&lt;rec-number&gt;286&lt;/rec-number&gt;&lt;foreign-keys&gt;&lt;key app="EN" db-id="0pstftvvb2s0x4e5tetxztsizs92vtrvp2vx" timestamp="1684142804" guid="9b021435-1a33-4275-a90b-548588d5bfae"&gt;286&lt;/key&gt;&lt;/foreign-keys&gt;&lt;ref-type name="Journal Article"&gt;17&lt;/ref-type&gt;&lt;contributors&gt;&lt;authors&gt;&lt;author&gt;Toolkiattiwong, Patharanun&lt;/author&gt;&lt;author&gt;Chaikaew, Pasicha&lt;/author&gt;&lt;author&gt;Chart-asa, Chidsanuphong&lt;/author&gt;&lt;/authors&gt;&lt;/contributors&gt;&lt;titles&gt;&lt;title&gt;Comparative Human-Ecotoxicological Impacts and Willingness to Pay: A Case of Pesticide Transition from Paraquat to Atrazine in Sweet Corn Cultivation in Thailand&lt;/title&gt;&lt;secondary-title&gt;EnvironmentAsia&lt;/secondary-title&gt;&lt;/titles&gt;&lt;periodical&gt;&lt;full-title&gt;EnvironmentAsia&lt;/full-title&gt;&lt;/periodical&gt;&lt;volume&gt;15&lt;/volume&gt;&lt;dates&gt;&lt;year&gt;2022&lt;/year&gt;&lt;/dates&gt;&lt;isbn&gt;1906-1714&lt;/isbn&gt;&lt;urls&gt;&lt;/urls&gt;&lt;/record&gt;&lt;/Cite&gt;&lt;/EndNote&gt;</w:instrText>
      </w:r>
      <w:r w:rsidRPr="00F11B06">
        <w:rPr>
          <w:sz w:val="22"/>
          <w:szCs w:val="22"/>
        </w:rPr>
        <w:fldChar w:fldCharType="separate"/>
      </w:r>
      <w:r w:rsidR="00EF37B6">
        <w:rPr>
          <w:noProof/>
          <w:sz w:val="22"/>
          <w:szCs w:val="22"/>
        </w:rPr>
        <w:t>[53]</w:t>
      </w:r>
      <w:r w:rsidRPr="00F11B06">
        <w:rPr>
          <w:sz w:val="22"/>
          <w:szCs w:val="22"/>
        </w:rPr>
        <w:fldChar w:fldCharType="end"/>
      </w:r>
      <w:r w:rsidRPr="00C653FF">
        <w:rPr>
          <w:sz w:val="22"/>
          <w:szCs w:val="22"/>
        </w:rPr>
        <w:t xml:space="preserve"> and</w:t>
      </w:r>
      <w:r w:rsidR="00BF3A90">
        <w:rPr>
          <w:sz w:val="22"/>
          <w:szCs w:val="22"/>
        </w:rPr>
        <w:t xml:space="preserve"> Wang et al.</w:t>
      </w:r>
      <w:r w:rsidRPr="00C653FF">
        <w:rPr>
          <w:sz w:val="22"/>
          <w:szCs w:val="22"/>
        </w:rPr>
        <w:t xml:space="preserve"> </w:t>
      </w:r>
      <w:r w:rsidRPr="00F11B06">
        <w:rPr>
          <w:sz w:val="22"/>
          <w:szCs w:val="22"/>
        </w:rPr>
        <w:fldChar w:fldCharType="begin"/>
      </w:r>
      <w:r w:rsidR="00BF3A90">
        <w:rPr>
          <w:sz w:val="22"/>
          <w:szCs w:val="22"/>
        </w:rPr>
        <w:instrText xml:space="preserve"> ADDIN EN.CITE &lt;EndNote&gt;&lt;Cite&gt;&lt;Author&gt;Wang&lt;/Author&gt;&lt;Year&gt;2018&lt;/Year&gt;&lt;RecNum&gt;282&lt;/RecNum&gt;&lt;DisplayText&gt;[54]&lt;/DisplayText&gt;&lt;record&gt;&lt;rec-number&gt;282&lt;/rec-number&gt;&lt;foreign-keys&gt;&lt;key app="EN" db-id="0pstftvvb2s0x4e5tetxztsizs92vtrvp2vx" timestamp="1684080294" guid="ea08382a-8bf0-465f-b8f4-018f92564ce3"&gt;282&lt;/key&gt;&lt;/foreign-keys&gt;&lt;ref-type name="Journal Article"&gt;17&lt;/ref-type&gt;&lt;contributors&gt;&lt;authors&gt;&lt;author&gt;Wang, Wenyu&lt;/author&gt;&lt;author&gt;Jin, Jianjun&lt;/author&gt;&lt;author&gt;He, Rui&lt;/author&gt;&lt;author&gt;Gong, Haozhou&lt;/author&gt;&lt;author&gt;Tian, Yuhong&lt;/author&gt;&lt;/authors&gt;&lt;/contributors&gt;&lt;titles&gt;&lt;title&gt;Farmers’ willingness to pay for health risk reductions of pesticide use in China: A contingent valuation study&lt;/title&gt;&lt;secondary-title&gt;International journal of environmental research and public health&lt;/secondary-title&gt;&lt;/titles&gt;&lt;periodical&gt;&lt;full-title&gt;International journal of environmental research and public health&lt;/full-title&gt;&lt;/periodical&gt;&lt;pages&gt;625&lt;/pages&gt;&lt;volume&gt;15&lt;/volume&gt;&lt;number&gt;4&lt;/number&gt;&lt;dates&gt;&lt;year&gt;2018&lt;/year&gt;&lt;/dates&gt;&lt;isbn&gt;1660-4601&lt;/isbn&gt;&lt;urls&gt;&lt;/urls&gt;&lt;/record&gt;&lt;/Cite&gt;&lt;/EndNote&gt;</w:instrText>
      </w:r>
      <w:r w:rsidRPr="00F11B06">
        <w:rPr>
          <w:sz w:val="22"/>
          <w:szCs w:val="22"/>
        </w:rPr>
        <w:fldChar w:fldCharType="separate"/>
      </w:r>
      <w:r w:rsidR="00BF3A90">
        <w:rPr>
          <w:noProof/>
          <w:sz w:val="22"/>
          <w:szCs w:val="22"/>
        </w:rPr>
        <w:t>[54]</w:t>
      </w:r>
      <w:r w:rsidRPr="00F11B06">
        <w:rPr>
          <w:sz w:val="22"/>
          <w:szCs w:val="22"/>
        </w:rPr>
        <w:fldChar w:fldCharType="end"/>
      </w:r>
      <w:r w:rsidRPr="00C653FF">
        <w:rPr>
          <w:sz w:val="22"/>
          <w:szCs w:val="22"/>
        </w:rPr>
        <w:t xml:space="preserve"> have risk already defined in three levels (i.e., low, medium and high) and therefore, these do not need further adjustments. </w:t>
      </w:r>
      <w:r w:rsidRPr="00F11B06">
        <w:rPr>
          <w:sz w:val="22"/>
          <w:szCs w:val="22"/>
        </w:rPr>
        <w:t xml:space="preserve">In contrast, other studies report baseline risk levels which need further transformation </w:t>
      </w:r>
      <w:proofErr w:type="gramStart"/>
      <w:r w:rsidRPr="00F11B06">
        <w:rPr>
          <w:sz w:val="22"/>
          <w:szCs w:val="22"/>
        </w:rPr>
        <w:t>in order to</w:t>
      </w:r>
      <w:proofErr w:type="gramEnd"/>
      <w:r w:rsidRPr="00F11B06">
        <w:rPr>
          <w:sz w:val="22"/>
          <w:szCs w:val="22"/>
        </w:rPr>
        <w:t xml:space="preserve"> obtain a standardized measure. Krishna and Qaim </w:t>
      </w:r>
      <w:r w:rsidRPr="00F11B06">
        <w:rPr>
          <w:sz w:val="22"/>
          <w:szCs w:val="22"/>
        </w:rPr>
        <w:fldChar w:fldCharType="begin"/>
      </w:r>
      <w:r w:rsidR="00C653FF">
        <w:rPr>
          <w:sz w:val="22"/>
          <w:szCs w:val="22"/>
        </w:rPr>
        <w:instrText xml:space="preserve"> ADDIN EN.CITE &lt;EndNote&gt;&lt;Cite ExcludeAuth="1"&gt;&lt;Author&gt;Krishna&lt;/Author&gt;&lt;Year&gt;2008&lt;/Year&gt;&lt;RecNum&gt;167&lt;/RecNum&gt;&lt;IDText&gt;Consumer attitudes toward GM food and pesticide residues in India&lt;/IDText&gt;&lt;DisplayText&gt;[55]&lt;/DisplayText&gt;&lt;record&gt;&lt;rec-number&gt;167&lt;/rec-number&gt;&lt;foreign-keys&gt;&lt;key app="EN" db-id="0pstftvvb2s0x4e5tetxztsizs92vtrvp2vx" timestamp="1674160632" guid="0c31719b-5095-4864-81cb-41b35cb08fd7"&gt;167&lt;/key&gt;&lt;/foreign-keys&gt;&lt;ref-type name="Journal Article"&gt;17&lt;/ref-type&gt;&lt;contributors&gt;&lt;authors&gt;&lt;author&gt;Krishna, Vijesh V&lt;/author&gt;&lt;author&gt;Qaim, Matin&lt;/author&gt;&lt;/authors&gt;&lt;/contributors&gt;&lt;titles&gt;&lt;title&gt;Consumer attitudes toward GM food and pesticide residues in India&lt;/title&gt;&lt;secondary-title&gt;Applied Economic Perspectives and Policy&lt;/secondary-title&gt;&lt;/titles&gt;&lt;periodical&gt;&lt;full-title&gt;Applied Economic Perspectives and Policy&lt;/full-title&gt;&lt;/periodical&gt;&lt;pages&gt;233-251&lt;/pages&gt;&lt;volume&gt;30&lt;/volume&gt;&lt;number&gt;2&lt;/number&gt;&lt;dates&gt;&lt;year&gt;2008&lt;/year&gt;&lt;/dates&gt;&lt;isbn&gt;2040-5790&lt;/isbn&gt;&lt;urls&gt;&lt;/urls&gt;&lt;/record&gt;&lt;/Cite&gt;&lt;/EndNote&gt;</w:instrText>
      </w:r>
      <w:r w:rsidRPr="00F11B06">
        <w:rPr>
          <w:sz w:val="22"/>
          <w:szCs w:val="22"/>
        </w:rPr>
        <w:fldChar w:fldCharType="separate"/>
      </w:r>
      <w:r w:rsidR="00C653FF">
        <w:rPr>
          <w:noProof/>
          <w:sz w:val="22"/>
          <w:szCs w:val="22"/>
        </w:rPr>
        <w:t>[55]</w:t>
      </w:r>
      <w:r w:rsidRPr="00F11B06">
        <w:rPr>
          <w:sz w:val="22"/>
          <w:szCs w:val="22"/>
        </w:rPr>
        <w:fldChar w:fldCharType="end"/>
      </w:r>
      <w:r w:rsidRPr="00F11B06">
        <w:rPr>
          <w:sz w:val="22"/>
          <w:szCs w:val="22"/>
        </w:rPr>
        <w:t xml:space="preserve"> reported that 40-60% of vegetables in India were contaminated with significant residues of toxic chemicals. </w:t>
      </w:r>
      <w:r>
        <w:rPr>
          <w:sz w:val="22"/>
          <w:szCs w:val="22"/>
        </w:rPr>
        <w:t xml:space="preserve">Following </w:t>
      </w:r>
      <w:r w:rsidRPr="00F11B06">
        <w:rPr>
          <w:sz w:val="22"/>
          <w:szCs w:val="22"/>
        </w:rPr>
        <w:t xml:space="preserve">Florax et al. </w:t>
      </w:r>
      <w:r w:rsidRPr="00F11B06">
        <w:rPr>
          <w:sz w:val="22"/>
          <w:szCs w:val="22"/>
        </w:rPr>
        <w:fldChar w:fldCharType="begin"/>
      </w:r>
      <w:r w:rsidR="00C653FF">
        <w:rPr>
          <w:sz w:val="22"/>
          <w:szCs w:val="22"/>
        </w:rPr>
        <w:instrText xml:space="preserve"> ADDIN EN.CITE &lt;EndNote&gt;&lt;Cite ExcludeAuth="1"&gt;&lt;Author&gt;Florax&lt;/Author&gt;&lt;Year&gt;2005&lt;/Year&gt;&lt;RecNum&gt;0&lt;/RecNum&gt;&lt;IDText&gt;A meta-analysis of the willingness to pay for reductions in pesticide risk exposure&lt;/IDText&gt;&lt;DisplayText&gt;[33]&lt;/DisplayText&gt;&lt;record&gt;&lt;isbn&gt;0165-1587&amp;#xD;1464-3618&lt;/isbn&gt;&lt;titles&gt;&lt;title&gt;A meta-analysis of the willingness to pay for reductions in pesticide risk exposure&lt;/title&gt;&lt;secondary-title&gt;European Review of Agricultural Economics&lt;/secondary-title&gt;&lt;/titles&gt;&lt;pages&gt;441-467&lt;/pages&gt;&lt;number&gt;4&lt;/number&gt;&lt;contributors&gt;&lt;authors&gt;&lt;author&gt;Florax, R. J. G. M.&lt;/author&gt;&lt;author&gt;Travisi, C. M.&lt;/author&gt;&lt;author&gt;Nijkamp, P.&lt;/author&gt;&lt;/authors&gt;&lt;/contributors&gt;&lt;section&gt;441&lt;/section&gt;&lt;added-date format="utc"&gt;1633012639&lt;/added-date&gt;&lt;ref-type name="Journal Article"&gt;17&lt;/ref-type&gt;&lt;dates&gt;&lt;year&gt;2005&lt;/year&gt;&lt;/dates&gt;&lt;rec-number&gt;16&lt;/rec-number&gt;&lt;last-updated-date format="utc"&gt;1633534253&lt;/last-updated-date&gt;&lt;electronic-resource-num&gt;10.1093/erae/jbi025&lt;/electronic-resource-num&gt;&lt;volume&gt;32&lt;/volume&gt;&lt;/record&gt;&lt;/Cite&gt;&lt;/EndNote&gt;</w:instrText>
      </w:r>
      <w:r w:rsidRPr="00F11B06">
        <w:rPr>
          <w:sz w:val="22"/>
          <w:szCs w:val="22"/>
        </w:rPr>
        <w:fldChar w:fldCharType="separate"/>
      </w:r>
      <w:r w:rsidR="00C653FF">
        <w:rPr>
          <w:noProof/>
          <w:sz w:val="22"/>
          <w:szCs w:val="22"/>
        </w:rPr>
        <w:t>[33]</w:t>
      </w:r>
      <w:r w:rsidRPr="00F11B06">
        <w:rPr>
          <w:sz w:val="22"/>
          <w:szCs w:val="22"/>
        </w:rPr>
        <w:fldChar w:fldCharType="end"/>
      </w:r>
      <w:r w:rsidRPr="00F11B06">
        <w:rPr>
          <w:sz w:val="22"/>
          <w:szCs w:val="22"/>
        </w:rPr>
        <w:t xml:space="preserve">, where they classify as a high risk to consumers those cases in which more than 2% of the food products violated national regulations at the time, we can conclude that the risk to human health from pesticides in Krishna and Qaim </w:t>
      </w:r>
      <w:r w:rsidRPr="00F11B06">
        <w:rPr>
          <w:sz w:val="22"/>
          <w:szCs w:val="22"/>
        </w:rPr>
        <w:fldChar w:fldCharType="begin"/>
      </w:r>
      <w:r w:rsidR="00C653FF">
        <w:rPr>
          <w:sz w:val="22"/>
          <w:szCs w:val="22"/>
        </w:rPr>
        <w:instrText xml:space="preserve"> ADDIN EN.CITE &lt;EndNote&gt;&lt;Cite ExcludeAuth="1"&gt;&lt;Author&gt;Krishna&lt;/Author&gt;&lt;Year&gt;2008&lt;/Year&gt;&lt;RecNum&gt;167&lt;/RecNum&gt;&lt;IDText&gt;Consumer attitudes toward GM food and pesticide residues in India&lt;/IDText&gt;&lt;DisplayText&gt;[55]&lt;/DisplayText&gt;&lt;record&gt;&lt;rec-number&gt;167&lt;/rec-number&gt;&lt;foreign-keys&gt;&lt;key app="EN" db-id="0pstftvvb2s0x4e5tetxztsizs92vtrvp2vx" timestamp="1674160632" guid="0c31719b-5095-4864-81cb-41b35cb08fd7"&gt;167&lt;/key&gt;&lt;/foreign-keys&gt;&lt;ref-type name="Journal Article"&gt;17&lt;/ref-type&gt;&lt;contributors&gt;&lt;authors&gt;&lt;author&gt;Krishna, Vijesh V&lt;/author&gt;&lt;author&gt;Qaim, Matin&lt;/author&gt;&lt;/authors&gt;&lt;/contributors&gt;&lt;titles&gt;&lt;title&gt;Consumer attitudes toward GM food and pesticide residues in India&lt;/title&gt;&lt;secondary-title&gt;Applied Economic Perspectives and Policy&lt;/secondary-title&gt;&lt;/titles&gt;&lt;periodical&gt;&lt;full-title&gt;Applied Economic Perspectives and Policy&lt;/full-title&gt;&lt;/periodical&gt;&lt;pages&gt;233-251&lt;/pages&gt;&lt;volume&gt;30&lt;/volume&gt;&lt;number&gt;2&lt;/number&gt;&lt;dates&gt;&lt;year&gt;2008&lt;/year&gt;&lt;/dates&gt;&lt;isbn&gt;2040-5790&lt;/isbn&gt;&lt;urls&gt;&lt;/urls&gt;&lt;/record&gt;&lt;/Cite&gt;&lt;/EndNote&gt;</w:instrText>
      </w:r>
      <w:r w:rsidRPr="00F11B06">
        <w:rPr>
          <w:sz w:val="22"/>
          <w:szCs w:val="22"/>
        </w:rPr>
        <w:fldChar w:fldCharType="separate"/>
      </w:r>
      <w:r w:rsidR="00C653FF">
        <w:rPr>
          <w:noProof/>
          <w:sz w:val="22"/>
          <w:szCs w:val="22"/>
        </w:rPr>
        <w:t>[55]</w:t>
      </w:r>
      <w:r w:rsidRPr="00F11B06">
        <w:rPr>
          <w:sz w:val="22"/>
          <w:szCs w:val="22"/>
        </w:rPr>
        <w:fldChar w:fldCharType="end"/>
      </w:r>
      <w:r w:rsidRPr="00F11B06">
        <w:rPr>
          <w:sz w:val="22"/>
          <w:szCs w:val="22"/>
        </w:rPr>
        <w:t xml:space="preserve"> is high. Lastly, conversations with toxicologists concluded that the risk levels to aquatic organisms, groundwater and cancer risk to farmers included in Owens </w:t>
      </w:r>
      <w:r w:rsidRPr="00F11B06">
        <w:rPr>
          <w:sz w:val="22"/>
          <w:szCs w:val="22"/>
        </w:rPr>
        <w:fldChar w:fldCharType="begin"/>
      </w:r>
      <w:r w:rsidR="00C653FF">
        <w:rPr>
          <w:sz w:val="22"/>
          <w:szCs w:val="22"/>
        </w:rPr>
        <w:instrText xml:space="preserve"> ADDIN EN.CITE &lt;EndNote&gt;&lt;Cite ExcludeAuth="1"&gt;&lt;Author&gt;Owens&lt;/Author&gt;&lt;Year&gt;1997&lt;/Year&gt;&lt;RecNum&gt;104&lt;/RecNum&gt;&lt;IDText&gt;Farmer willingness to pay for herbicide safety characteristics&lt;/IDText&gt;&lt;DisplayText&gt;[56]&lt;/DisplayText&gt;&lt;record&gt;&lt;rec-number&gt;104&lt;/rec-number&gt;&lt;foreign-keys&gt;&lt;key app="EN" db-id="0pstftvvb2s0x4e5tetxztsizs92vtrvp2vx" timestamp="1674160631" guid="9ac68798-dc07-4ca9-a7e8-ac88c625c7b0"&gt;104&lt;/key&gt;&lt;/foreign-keys&gt;&lt;ref-type name="Book"&gt;6&lt;/ref-type&gt;&lt;contributors&gt;&lt;authors&gt;&lt;author&gt;Owens, Nicole N&lt;/author&gt;&lt;author&gt;Swinton, Scott M&lt;/author&gt;&lt;author&gt;van Ravenswaay, Eileen O&lt;/author&gt;&lt;/authors&gt;&lt;/contributors&gt;&lt;titles&gt;&lt;title&gt;Farmer willingness to pay for herbicide safety characteristics&lt;/title&gt;&lt;/titles&gt;&lt;dates&gt;&lt;year&gt;1997&lt;/year&gt;&lt;/dates&gt;&lt;publisher&gt;Michigan State University&lt;/publisher&gt;&lt;isbn&gt;0591584913&lt;/isbn&gt;&lt;urls&gt;&lt;/urls&gt;&lt;/record&gt;&lt;/Cite&gt;&lt;/EndNote&gt;</w:instrText>
      </w:r>
      <w:r w:rsidRPr="00F11B06">
        <w:rPr>
          <w:sz w:val="22"/>
          <w:szCs w:val="22"/>
        </w:rPr>
        <w:fldChar w:fldCharType="separate"/>
      </w:r>
      <w:r w:rsidR="00C653FF">
        <w:rPr>
          <w:noProof/>
          <w:sz w:val="22"/>
          <w:szCs w:val="22"/>
        </w:rPr>
        <w:t>[56]</w:t>
      </w:r>
      <w:r w:rsidRPr="00F11B06">
        <w:rPr>
          <w:sz w:val="22"/>
          <w:szCs w:val="22"/>
        </w:rPr>
        <w:fldChar w:fldCharType="end"/>
      </w:r>
      <w:r w:rsidRPr="00F11B06">
        <w:rPr>
          <w:sz w:val="22"/>
          <w:szCs w:val="22"/>
        </w:rPr>
        <w:t xml:space="preserve"> can be categorized as low, high and low, respectively.  </w:t>
      </w:r>
    </w:p>
    <w:p w14:paraId="1C1ED7FC" w14:textId="77777777" w:rsidR="00D87925" w:rsidRPr="00F11B06" w:rsidRDefault="00D87925" w:rsidP="00D87925">
      <w:pPr>
        <w:pStyle w:val="ListParagraph"/>
        <w:tabs>
          <w:tab w:val="left" w:pos="851"/>
        </w:tabs>
        <w:spacing w:line="480" w:lineRule="auto"/>
        <w:ind w:left="0"/>
        <w:contextualSpacing w:val="0"/>
        <w:rPr>
          <w:sz w:val="22"/>
          <w:szCs w:val="22"/>
        </w:rPr>
      </w:pPr>
    </w:p>
    <w:p w14:paraId="66509D1C" w14:textId="0F8B68DC" w:rsidR="00D87925" w:rsidRDefault="00D87925" w:rsidP="00D87925">
      <w:pPr>
        <w:pStyle w:val="ListParagraph"/>
        <w:tabs>
          <w:tab w:val="left" w:pos="851"/>
        </w:tabs>
        <w:spacing w:line="480" w:lineRule="auto"/>
        <w:ind w:left="0"/>
        <w:contextualSpacing w:val="0"/>
        <w:rPr>
          <w:sz w:val="22"/>
          <w:szCs w:val="22"/>
        </w:rPr>
      </w:pPr>
      <w:r w:rsidRPr="00F11B06">
        <w:rPr>
          <w:sz w:val="22"/>
          <w:szCs w:val="22"/>
        </w:rPr>
        <w:t xml:space="preserve">Some missing information about risks from pesticides to different </w:t>
      </w:r>
      <w:r>
        <w:rPr>
          <w:sz w:val="22"/>
          <w:szCs w:val="22"/>
        </w:rPr>
        <w:t>impact categories</w:t>
      </w:r>
      <w:r w:rsidRPr="00F11B06">
        <w:rPr>
          <w:sz w:val="22"/>
          <w:szCs w:val="22"/>
        </w:rPr>
        <w:t xml:space="preserve"> was gathered from online sources and previous meta-analysis literature. The damage estimate used by Foster and Mourato </w:t>
      </w:r>
      <w:r w:rsidRPr="00F11B06">
        <w:rPr>
          <w:sz w:val="22"/>
          <w:szCs w:val="22"/>
        </w:rPr>
        <w:fldChar w:fldCharType="begin"/>
      </w:r>
      <w:r w:rsidR="00C653FF">
        <w:rPr>
          <w:sz w:val="22"/>
          <w:szCs w:val="22"/>
        </w:rPr>
        <w:instrText xml:space="preserve"> ADDIN EN.CITE &lt;EndNote&gt;&lt;Cite ExcludeAuth="1"&gt;&lt;Author&gt;Foster&lt;/Author&gt;&lt;Year&gt;2000&lt;/Year&gt;&lt;RecNum&gt;0&lt;/RecNum&gt;&lt;IDText&gt;Valuing the Multiple Impacts of Pesticide Use in the UK: A Contingent Ranking Approach&lt;/IDText&gt;&lt;DisplayText&gt;[57]&lt;/DisplayText&gt;&lt;record&gt;&lt;urls&gt;&lt;related-urls&gt;&lt;url&gt;https://EconPapers.repec.org/RePEc:bla:jageco:v:51:y:2000:i:1:p:1-21&lt;/url&gt;&lt;/related-urls&gt;&lt;/urls&gt;&lt;titles&gt;&lt;title&gt;Valuing the Multiple Impacts of Pesticide Use in the UK: A Contingent Ranking Approach&lt;/title&gt;&lt;secondary-title&gt;Journal of Agricultural Economics&lt;/secondary-title&gt;&lt;/titles&gt;&lt;pages&gt;1-21&lt;/pages&gt;&lt;number&gt;1&lt;/number&gt;&lt;contributors&gt;&lt;authors&gt;&lt;author&gt;Foster, Vivien&lt;/author&gt;&lt;author&gt;Mourato, Susana&lt;/author&gt;&lt;/authors&gt;&lt;/contributors&gt;&lt;added-date format="utc"&gt;1633356251&lt;/added-date&gt;&lt;ref-type name="Journal Article"&gt;17&lt;/ref-type&gt;&lt;dates&gt;&lt;year&gt;2000&lt;/year&gt;&lt;/dates&gt;&lt;rec-number&gt;30&lt;/rec-number&gt;&lt;last-updated-date format="utc"&gt;1633356253&lt;/last-updated-date&gt;&lt;volume&gt;51&lt;/volume&gt;&lt;/record&gt;&lt;/Cite&gt;&lt;/EndNote&gt;</w:instrText>
      </w:r>
      <w:r w:rsidRPr="00F11B06">
        <w:rPr>
          <w:sz w:val="22"/>
          <w:szCs w:val="22"/>
        </w:rPr>
        <w:fldChar w:fldCharType="separate"/>
      </w:r>
      <w:r w:rsidR="00C653FF">
        <w:rPr>
          <w:noProof/>
          <w:sz w:val="22"/>
          <w:szCs w:val="22"/>
        </w:rPr>
        <w:t>[57]</w:t>
      </w:r>
      <w:r w:rsidRPr="00F11B06">
        <w:rPr>
          <w:sz w:val="22"/>
          <w:szCs w:val="22"/>
        </w:rPr>
        <w:fldChar w:fldCharType="end"/>
      </w:r>
      <w:r w:rsidRPr="00F11B06">
        <w:rPr>
          <w:sz w:val="22"/>
          <w:szCs w:val="22"/>
        </w:rPr>
        <w:t xml:space="preserve"> refers to a baseline risk to human health of 100 cases per year, while at the same time they report that </w:t>
      </w:r>
      <w:r w:rsidRPr="00F11B06">
        <w:rPr>
          <w:sz w:val="22"/>
          <w:szCs w:val="22"/>
        </w:rPr>
        <w:lastRenderedPageBreak/>
        <w:t xml:space="preserve">9 endangered species are affected. These are categorized by Florax et al. </w:t>
      </w:r>
      <w:r w:rsidRPr="00F11B06">
        <w:rPr>
          <w:sz w:val="22"/>
          <w:szCs w:val="22"/>
        </w:rPr>
        <w:fldChar w:fldCharType="begin"/>
      </w:r>
      <w:r w:rsidR="00C653FF">
        <w:rPr>
          <w:sz w:val="22"/>
          <w:szCs w:val="22"/>
        </w:rPr>
        <w:instrText xml:space="preserve"> ADDIN EN.CITE &lt;EndNote&gt;&lt;Cite ExcludeAuth="1"&gt;&lt;Author&gt;Florax&lt;/Author&gt;&lt;Year&gt;2005&lt;/Year&gt;&lt;RecNum&gt;0&lt;/RecNum&gt;&lt;IDText&gt;A meta-analysis of the willingness to pay for reductions in pesticide risk exposure&lt;/IDText&gt;&lt;DisplayText&gt;[33]&lt;/DisplayText&gt;&lt;record&gt;&lt;isbn&gt;0165-1587&amp;#xD;1464-3618&lt;/isbn&gt;&lt;titles&gt;&lt;title&gt;A meta-analysis of the willingness to pay for reductions in pesticide risk exposure&lt;/title&gt;&lt;secondary-title&gt;European Review of Agricultural Economics&lt;/secondary-title&gt;&lt;/titles&gt;&lt;pages&gt;441-467&lt;/pages&gt;&lt;number&gt;4&lt;/number&gt;&lt;contributors&gt;&lt;authors&gt;&lt;author&gt;Florax, R. J. G. M.&lt;/author&gt;&lt;author&gt;Travisi, C. M.&lt;/author&gt;&lt;author&gt;Nijkamp, P.&lt;/author&gt;&lt;/authors&gt;&lt;/contributors&gt;&lt;section&gt;441&lt;/section&gt;&lt;added-date format="utc"&gt;1633012639&lt;/added-date&gt;&lt;ref-type name="Journal Article"&gt;17&lt;/ref-type&gt;&lt;dates&gt;&lt;year&gt;2005&lt;/year&gt;&lt;/dates&gt;&lt;rec-number&gt;16&lt;/rec-number&gt;&lt;last-updated-date format="utc"&gt;1633534253&lt;/last-updated-date&gt;&lt;electronic-resource-num&gt;10.1093/erae/jbi025&lt;/electronic-resource-num&gt;&lt;volume&gt;32&lt;/volume&gt;&lt;/record&gt;&lt;/Cite&gt;&lt;/EndNote&gt;</w:instrText>
      </w:r>
      <w:r w:rsidRPr="00F11B06">
        <w:rPr>
          <w:sz w:val="22"/>
          <w:szCs w:val="22"/>
        </w:rPr>
        <w:fldChar w:fldCharType="separate"/>
      </w:r>
      <w:r w:rsidR="00C653FF">
        <w:rPr>
          <w:noProof/>
          <w:sz w:val="22"/>
          <w:szCs w:val="22"/>
        </w:rPr>
        <w:t>[33]</w:t>
      </w:r>
      <w:r w:rsidRPr="00F11B06">
        <w:rPr>
          <w:sz w:val="22"/>
          <w:szCs w:val="22"/>
        </w:rPr>
        <w:fldChar w:fldCharType="end"/>
      </w:r>
      <w:r w:rsidRPr="00F11B06">
        <w:rPr>
          <w:sz w:val="22"/>
          <w:szCs w:val="22"/>
        </w:rPr>
        <w:t xml:space="preserve"> as medium and high risk levels to human health and bird effects, respectively. Following the same logic, the baseline risk levels from the study by </w:t>
      </w:r>
      <w:proofErr w:type="spellStart"/>
      <w:r w:rsidRPr="00F11B06">
        <w:rPr>
          <w:sz w:val="22"/>
          <w:szCs w:val="22"/>
        </w:rPr>
        <w:t>Travisi</w:t>
      </w:r>
      <w:proofErr w:type="spellEnd"/>
      <w:r w:rsidRPr="00F11B06">
        <w:rPr>
          <w:sz w:val="22"/>
          <w:szCs w:val="22"/>
        </w:rPr>
        <w:t xml:space="preserve"> and Nijkamp  </w:t>
      </w:r>
      <w:r w:rsidRPr="00F11B06">
        <w:rPr>
          <w:sz w:val="22"/>
          <w:szCs w:val="22"/>
        </w:rPr>
        <w:fldChar w:fldCharType="begin"/>
      </w:r>
      <w:r w:rsidR="00C653FF">
        <w:rPr>
          <w:sz w:val="22"/>
          <w:szCs w:val="22"/>
        </w:rPr>
        <w:instrText xml:space="preserve"> ADDIN EN.CITE &lt;EndNote&gt;&lt;Cite ExcludeAuth="1"&gt;&lt;Author&gt;Travisi&lt;/Author&gt;&lt;Year&gt;2008&lt;/Year&gt;&lt;RecNum&gt;140&lt;/RecNum&gt;&lt;IDText&gt;Valuing environmental and health risk in agriculture: A choice experiment approach to pesticides in Italy&lt;/IDText&gt;&lt;DisplayText&gt;[58]&lt;/DisplayText&gt;&lt;record&gt;&lt;rec-number&gt;140&lt;/rec-number&gt;&lt;foreign-keys&gt;&lt;key app="EN" db-id="0pstftvvb2s0x4e5tetxztsizs92vtrvp2vx" timestamp="1674160631" guid="f5123f46-0376-41a6-ba14-3b344c3ac1f9"&gt;140&lt;/key&gt;&lt;/foreign-keys&gt;&lt;ref-type name="Journal Article"&gt;17&lt;/ref-type&gt;&lt;contributors&gt;&lt;authors&gt;&lt;author&gt;Travisi, Chiara Maria&lt;/author&gt;&lt;author&gt;Nijkamp, Peter&lt;/author&gt;&lt;/authors&gt;&lt;/contributors&gt;&lt;titles&gt;&lt;title&gt;Valuing environmental and health risk in agriculture: A choice experiment approach to pesticides in Italy&lt;/title&gt;&lt;secondary-title&gt;Ecological Economics&lt;/secondary-title&gt;&lt;/titles&gt;&lt;periodical&gt;&lt;full-title&gt;Ecological Economics&lt;/full-title&gt;&lt;/periodical&gt;&lt;pages&gt;598-607&lt;/pages&gt;&lt;volume&gt;67&lt;/volume&gt;&lt;number&gt;4&lt;/number&gt;&lt;dates&gt;&lt;year&gt;2008&lt;/year&gt;&lt;/dates&gt;&lt;isbn&gt;0921-8009&lt;/isbn&gt;&lt;urls&gt;&lt;/urls&gt;&lt;/record&gt;&lt;/Cite&gt;&lt;/EndNote&gt;</w:instrText>
      </w:r>
      <w:r w:rsidRPr="00F11B06">
        <w:rPr>
          <w:sz w:val="22"/>
          <w:szCs w:val="22"/>
        </w:rPr>
        <w:fldChar w:fldCharType="separate"/>
      </w:r>
      <w:r w:rsidR="00C653FF">
        <w:rPr>
          <w:noProof/>
          <w:sz w:val="22"/>
          <w:szCs w:val="22"/>
        </w:rPr>
        <w:t>[58]</w:t>
      </w:r>
      <w:r w:rsidRPr="00F11B06">
        <w:rPr>
          <w:sz w:val="22"/>
          <w:szCs w:val="22"/>
        </w:rPr>
        <w:fldChar w:fldCharType="end"/>
      </w:r>
      <w:r w:rsidRPr="00F11B06">
        <w:rPr>
          <w:sz w:val="22"/>
          <w:szCs w:val="22"/>
        </w:rPr>
        <w:t xml:space="preserve"> report acute effects to consumers as 200 of cases of intoxication per year and biodiversity as 15 endangered farmland species, which were categorized as medium and high, respectively. Key information to classify the risk levels from Wilson </w:t>
      </w:r>
      <w:r w:rsidRPr="00F11B06">
        <w:rPr>
          <w:sz w:val="22"/>
          <w:szCs w:val="22"/>
        </w:rPr>
        <w:fldChar w:fldCharType="begin"/>
      </w:r>
      <w:r w:rsidR="00C653FF">
        <w:rPr>
          <w:sz w:val="22"/>
          <w:szCs w:val="22"/>
        </w:rPr>
        <w:instrText xml:space="preserve"> ADDIN EN.CITE &lt;EndNote&gt;&lt;Cite ExcludeAuth="1"&gt;&lt;Author&gt;Wilson&lt;/Author&gt;&lt;Year&gt;2002&lt;/Year&gt;&lt;RecNum&gt;169&lt;/RecNum&gt;&lt;IDText&gt;Pesticide avoidance: results from a Sri Lankan study with health policy implications&lt;/IDText&gt;&lt;DisplayText&gt;[59]&lt;/DisplayText&gt;&lt;record&gt;&lt;rec-number&gt;169&lt;/rec-number&gt;&lt;foreign-keys&gt;&lt;key app="EN" db-id="0pstftvvb2s0x4e5tetxztsizs92vtrvp2vx" timestamp="1674160632" guid="562acfcb-4e17-4b83-9fc7-19c2093f77ff"&gt;169&lt;/key&gt;&lt;/foreign-keys&gt;&lt;ref-type name="Book Section"&gt;5&lt;/ref-type&gt;&lt;contributors&gt;&lt;authors&gt;&lt;author&gt;Wilson, Clevo&lt;/author&gt;&lt;/authors&gt;&lt;/contributors&gt;&lt;titles&gt;&lt;title&gt;Pesticide avoidance: results from a Sri Lankan study with health policy implications&lt;/title&gt;&lt;secondary-title&gt;Economics of Pesticides, Sustainable Food Production, and Organic Food Markets&lt;/secondary-title&gt;&lt;/titles&gt;&lt;dates&gt;&lt;year&gt;2002&lt;/year&gt;&lt;/dates&gt;&lt;publisher&gt;Emerald Group Publishing Limited&lt;/publisher&gt;&lt;isbn&gt;0762308508&lt;/isbn&gt;&lt;urls&gt;&lt;/urls&gt;&lt;/record&gt;&lt;/Cite&gt;&lt;/EndNote&gt;</w:instrText>
      </w:r>
      <w:r w:rsidRPr="00F11B06">
        <w:rPr>
          <w:sz w:val="22"/>
          <w:szCs w:val="22"/>
        </w:rPr>
        <w:fldChar w:fldCharType="separate"/>
      </w:r>
      <w:r w:rsidR="00C653FF">
        <w:rPr>
          <w:noProof/>
          <w:sz w:val="22"/>
          <w:szCs w:val="22"/>
        </w:rPr>
        <w:t>[59]</w:t>
      </w:r>
      <w:r w:rsidRPr="00F11B06">
        <w:rPr>
          <w:sz w:val="22"/>
          <w:szCs w:val="22"/>
        </w:rPr>
        <w:fldChar w:fldCharType="end"/>
      </w:r>
      <w:r w:rsidRPr="00F11B06">
        <w:rPr>
          <w:sz w:val="22"/>
          <w:szCs w:val="22"/>
        </w:rPr>
        <w:t xml:space="preserve"> was found in </w:t>
      </w:r>
      <w:proofErr w:type="spellStart"/>
      <w:r w:rsidRPr="00F11B06">
        <w:rPr>
          <w:sz w:val="22"/>
          <w:szCs w:val="22"/>
        </w:rPr>
        <w:t>Sivayoganathan</w:t>
      </w:r>
      <w:proofErr w:type="spellEnd"/>
      <w:r w:rsidRPr="00F11B06">
        <w:rPr>
          <w:sz w:val="22"/>
          <w:szCs w:val="22"/>
        </w:rPr>
        <w:t xml:space="preserve"> et al. </w:t>
      </w:r>
      <w:r w:rsidRPr="00F11B06">
        <w:rPr>
          <w:sz w:val="22"/>
          <w:szCs w:val="22"/>
        </w:rPr>
        <w:fldChar w:fldCharType="begin"/>
      </w:r>
      <w:r w:rsidR="00C653FF">
        <w:rPr>
          <w:sz w:val="22"/>
          <w:szCs w:val="22"/>
        </w:rPr>
        <w:instrText xml:space="preserve"> ADDIN EN.CITE &lt;EndNote&gt;&lt;Cite ExcludeAuth="1"&gt;&lt;Author&gt;Sivayoganathan&lt;/Author&gt;&lt;Year&gt;1995&lt;/Year&gt;&lt;RecNum&gt;175&lt;/RecNum&gt;&lt;IDText&gt;Protective measure use and symptoms among agropesticide applicators in Sri Lanka&lt;/IDText&gt;&lt;DisplayText&gt;[60]&lt;/DisplayText&gt;&lt;record&gt;&lt;rec-number&gt;175&lt;/rec-number&gt;&lt;foreign-keys&gt;&lt;key app="EN" db-id="0pstftvvb2s0x4e5tetxztsizs92vtrvp2vx" timestamp="1674160632" guid="83006df0-ead0-41b7-8aa9-ccaabf79e469"&gt;175&lt;/key&gt;&lt;/foreign-keys&gt;&lt;ref-type name="Journal Article"&gt;17&lt;/ref-type&gt;&lt;contributors&gt;&lt;authors&gt;&lt;author&gt;Sivayoganathan, C&lt;/author&gt;&lt;author&gt;Gnanachandran, S&lt;/author&gt;&lt;author&gt;Lewis, J&lt;/author&gt;&lt;author&gt;Fernando, M&lt;/author&gt;&lt;/authors&gt;&lt;/contributors&gt;&lt;titles&gt;&lt;title&gt;Protective measure use and symptoms among agropesticide applicators in Sri Lanka&lt;/title&gt;&lt;secondary-title&gt;Social Science &amp;amp; Medicine&lt;/secondary-title&gt;&lt;/titles&gt;&lt;periodical&gt;&lt;full-title&gt;Social Science &amp;amp; Medicine&lt;/full-title&gt;&lt;/periodical&gt;&lt;pages&gt;431-436&lt;/pages&gt;&lt;volume&gt;40&lt;/volume&gt;&lt;number&gt;4&lt;/number&gt;&lt;dates&gt;&lt;year&gt;1995&lt;/year&gt;&lt;/dates&gt;&lt;isbn&gt;0277-9536&lt;/isbn&gt;&lt;urls&gt;&lt;/urls&gt;&lt;/record&gt;&lt;/Cite&gt;&lt;/EndNote&gt;</w:instrText>
      </w:r>
      <w:r w:rsidRPr="00F11B06">
        <w:rPr>
          <w:sz w:val="22"/>
          <w:szCs w:val="22"/>
        </w:rPr>
        <w:fldChar w:fldCharType="separate"/>
      </w:r>
      <w:r w:rsidR="00C653FF">
        <w:rPr>
          <w:noProof/>
          <w:sz w:val="22"/>
          <w:szCs w:val="22"/>
        </w:rPr>
        <w:t>[60]</w:t>
      </w:r>
      <w:r w:rsidRPr="00F11B06">
        <w:rPr>
          <w:sz w:val="22"/>
          <w:szCs w:val="22"/>
        </w:rPr>
        <w:fldChar w:fldCharType="end"/>
      </w:r>
      <w:r w:rsidRPr="00F11B06">
        <w:rPr>
          <w:sz w:val="22"/>
          <w:szCs w:val="22"/>
        </w:rPr>
        <w:t>, which allowed to classify the corresponding risks to farmers’ health as high. Additionally</w:t>
      </w:r>
      <w:r>
        <w:rPr>
          <w:sz w:val="22"/>
          <w:szCs w:val="22"/>
        </w:rPr>
        <w:t xml:space="preserve">, </w:t>
      </w:r>
      <w:r>
        <w:rPr>
          <w:sz w:val="22"/>
          <w:szCs w:val="22"/>
        </w:rPr>
        <w:fldChar w:fldCharType="begin"/>
      </w:r>
      <w:r w:rsidR="00C653FF">
        <w:rPr>
          <w:sz w:val="22"/>
          <w:szCs w:val="22"/>
        </w:rPr>
        <w:instrText xml:space="preserve"> ADDIN EN.CITE &lt;EndNote&gt;&lt;Cite AuthorYear="1"&gt;&lt;Author&gt;Van Ravenswaay&lt;/Author&gt;&lt;Year&gt;1991&lt;/Year&gt;&lt;RecNum&gt;149&lt;/RecNum&gt;&lt;DisplayText&gt;Van Ravenswaay and Hoehn [61]&lt;/DisplayText&gt;&lt;record&gt;&lt;rec-number&gt;149&lt;/rec-number&gt;&lt;foreign-keys&gt;&lt;key app="EN" db-id="0pstftvvb2s0x4e5tetxztsizs92vtrvp2vx" timestamp="1674160632" guid="ba7b39fa-786e-44cd-afa4-ae9599350373"&gt;149&lt;/key&gt;&lt;/foreign-keys&gt;&lt;ref-type name="Book Section"&gt;5&lt;/ref-type&gt;&lt;contributors&gt;&lt;authors&gt;&lt;author&gt;Van Ravenswaay, Eileen O&lt;/author&gt;&lt;author&gt;Hoehn, John P&lt;/author&gt;&lt;/authors&gt;&lt;/contributors&gt;&lt;titles&gt;&lt;title&gt;The impact of health risk information on food demand: a case study of alar and apples&lt;/title&gt;&lt;secondary-title&gt;Economics of food safety&lt;/secondary-title&gt;&lt;/titles&gt;&lt;pages&gt;155-174&lt;/pages&gt;&lt;dates&gt;&lt;year&gt;1991&lt;/year&gt;&lt;/dates&gt;&lt;publisher&gt;Springer&lt;/publisher&gt;&lt;urls&gt;&lt;/urls&gt;&lt;/record&gt;&lt;/Cite&gt;&lt;/EndNote&gt;</w:instrText>
      </w:r>
      <w:r>
        <w:rPr>
          <w:sz w:val="22"/>
          <w:szCs w:val="22"/>
        </w:rPr>
        <w:fldChar w:fldCharType="separate"/>
      </w:r>
      <w:r w:rsidR="00C653FF">
        <w:rPr>
          <w:noProof/>
          <w:sz w:val="22"/>
          <w:szCs w:val="22"/>
        </w:rPr>
        <w:t>Van Ravenswaay and Hoehn [61]</w:t>
      </w:r>
      <w:r>
        <w:rPr>
          <w:sz w:val="22"/>
          <w:szCs w:val="22"/>
        </w:rPr>
        <w:fldChar w:fldCharType="end"/>
      </w:r>
      <w:r w:rsidRPr="00F35B25">
        <w:rPr>
          <w:sz w:val="22"/>
          <w:szCs w:val="22"/>
          <w:lang w:val="nb-NO"/>
        </w:rPr>
        <w:t xml:space="preserve">, </w:t>
      </w:r>
      <w:proofErr w:type="spellStart"/>
      <w:r w:rsidRPr="00F35B25">
        <w:rPr>
          <w:sz w:val="22"/>
          <w:szCs w:val="22"/>
          <w:lang w:val="nb-NO"/>
        </w:rPr>
        <w:t>Eom</w:t>
      </w:r>
      <w:proofErr w:type="spellEnd"/>
      <w:r w:rsidRPr="00F35B25">
        <w:rPr>
          <w:sz w:val="22"/>
          <w:szCs w:val="22"/>
          <w:lang w:val="nb-NO"/>
        </w:rPr>
        <w:t xml:space="preserve"> </w:t>
      </w:r>
      <w:r w:rsidRPr="00F11B06">
        <w:rPr>
          <w:sz w:val="22"/>
          <w:szCs w:val="22"/>
        </w:rPr>
        <w:fldChar w:fldCharType="begin"/>
      </w:r>
      <w:r w:rsidR="00C653FF">
        <w:rPr>
          <w:sz w:val="22"/>
          <w:szCs w:val="22"/>
        </w:rPr>
        <w:instrText xml:space="preserve"> ADDIN EN.CITE &lt;EndNote&gt;&lt;Cite ExcludeAuth="1"&gt;&lt;Author&gt;Eom&lt;/Author&gt;&lt;Year&gt;1994&lt;/Year&gt;&lt;RecNum&gt;150&lt;/RecNum&gt;&lt;IDText&gt;Pesticide residue risk and food safety valuation: A random utility approach&lt;/IDText&gt;&lt;DisplayText&gt;[62]&lt;/DisplayText&gt;&lt;record&gt;&lt;rec-number&gt;150&lt;/rec-number&gt;&lt;foreign-keys&gt;&lt;key app="EN" db-id="0pstftvvb2s0x4e5tetxztsizs92vtrvp2vx" timestamp="1674160632" guid="fcf04876-582b-46cb-b3b8-cee8496cc646"&gt;150&lt;/key&gt;&lt;/foreign-keys&gt;&lt;ref-type name="Journal Article"&gt;17&lt;/ref-type&gt;&lt;contributors&gt;&lt;authors&gt;&lt;author&gt;Eom, Young Sook&lt;/author&gt;&lt;/authors&gt;&lt;/contributors&gt;&lt;titles&gt;&lt;title&gt;Pesticide residue risk and food safety valuation: A random utility approach&lt;/title&gt;&lt;secondary-title&gt;American Journal of Agricultural Economics&lt;/secondary-title&gt;&lt;/titles&gt;&lt;periodical&gt;&lt;full-title&gt;American Journal of Agricultural Economics&lt;/full-title&gt;&lt;/periodical&gt;&lt;pages&gt;760-771&lt;/pages&gt;&lt;volume&gt;76&lt;/volume&gt;&lt;number&gt;4&lt;/number&gt;&lt;dates&gt;&lt;year&gt;1994&lt;/year&gt;&lt;/dates&gt;&lt;isbn&gt;0002-9092&lt;/isbn&gt;&lt;urls&gt;&lt;/urls&gt;&lt;/record&gt;&lt;/Cite&gt;&lt;/EndNote&gt;</w:instrText>
      </w:r>
      <w:r w:rsidRPr="00F11B06">
        <w:rPr>
          <w:sz w:val="22"/>
          <w:szCs w:val="22"/>
        </w:rPr>
        <w:fldChar w:fldCharType="separate"/>
      </w:r>
      <w:r w:rsidR="00C653FF">
        <w:rPr>
          <w:noProof/>
          <w:sz w:val="22"/>
          <w:szCs w:val="22"/>
        </w:rPr>
        <w:t>[62]</w:t>
      </w:r>
      <w:r w:rsidRPr="00F11B06">
        <w:rPr>
          <w:sz w:val="22"/>
          <w:szCs w:val="22"/>
        </w:rPr>
        <w:fldChar w:fldCharType="end"/>
      </w:r>
      <w:r w:rsidRPr="00F35B25">
        <w:rPr>
          <w:sz w:val="22"/>
          <w:szCs w:val="22"/>
          <w:lang w:val="nb-NO"/>
        </w:rPr>
        <w:t xml:space="preserve">, </w:t>
      </w:r>
      <w:proofErr w:type="spellStart"/>
      <w:r w:rsidRPr="00F35B25">
        <w:rPr>
          <w:sz w:val="22"/>
          <w:szCs w:val="22"/>
          <w:lang w:val="nb-NO"/>
        </w:rPr>
        <w:t>Buzby</w:t>
      </w:r>
      <w:proofErr w:type="spellEnd"/>
      <w:r w:rsidRPr="00F35B25">
        <w:rPr>
          <w:sz w:val="22"/>
          <w:szCs w:val="22"/>
          <w:lang w:val="nb-NO"/>
        </w:rPr>
        <w:t xml:space="preserve"> et al. </w:t>
      </w:r>
      <w:r w:rsidRPr="00F11B06">
        <w:rPr>
          <w:sz w:val="22"/>
          <w:szCs w:val="22"/>
        </w:rPr>
        <w:fldChar w:fldCharType="begin"/>
      </w:r>
      <w:r w:rsidR="00C653FF">
        <w:rPr>
          <w:sz w:val="22"/>
          <w:szCs w:val="22"/>
        </w:rPr>
        <w:instrText xml:space="preserve"> ADDIN EN.CITE &lt;EndNote&gt;&lt;Cite ExcludeAuth="1"&gt;&lt;Author&gt;Buzby&lt;/Author&gt;&lt;Year&gt;1995&lt;/Year&gt;&lt;RecNum&gt;0&lt;/RecNum&gt;&lt;IDText&gt;Contingent valuation in food policy analysis: a case study of a pesticide-residue risk reduction&lt;/IDText&gt;&lt;DisplayText&gt;[63]&lt;/DisplayText&gt;&lt;record&gt;&lt;isbn&gt;1074-0708&lt;/isbn&gt;&lt;titles&gt;&lt;title&gt;Contingent valuation in food policy analysis: a case study of a pesticide-residue risk reduction&lt;/title&gt;&lt;secondary-title&gt;Journal of Agricultural and Applied Economics&lt;/secondary-title&gt;&lt;/titles&gt;&lt;pages&gt;613-625&lt;/pages&gt;&lt;number&gt;2&lt;/number&gt;&lt;contributors&gt;&lt;authors&gt;&lt;author&gt;Buzby, Jean C&lt;/author&gt;&lt;author&gt;Ready, Richard C&lt;/author&gt;&lt;author&gt;Skees, Jerry R&lt;/author&gt;&lt;/authors&gt;&lt;/contributors&gt;&lt;added-date format="utc"&gt;1643596059&lt;/added-date&gt;&lt;ref-type name="Journal Article"&gt;17&lt;/ref-type&gt;&lt;dates&gt;&lt;year&gt;1995&lt;/year&gt;&lt;/dates&gt;&lt;rec-number&gt;157&lt;/rec-number&gt;&lt;last-updated-date format="utc"&gt;1643596059&lt;/last-updated-date&gt;&lt;volume&gt;27&lt;/volume&gt;&lt;/record&gt;&lt;/Cite&gt;&lt;/EndNote&gt;</w:instrText>
      </w:r>
      <w:r w:rsidRPr="00F11B06">
        <w:rPr>
          <w:sz w:val="22"/>
          <w:szCs w:val="22"/>
        </w:rPr>
        <w:fldChar w:fldCharType="separate"/>
      </w:r>
      <w:r w:rsidR="00C653FF">
        <w:rPr>
          <w:noProof/>
          <w:sz w:val="22"/>
          <w:szCs w:val="22"/>
        </w:rPr>
        <w:t>[63]</w:t>
      </w:r>
      <w:r w:rsidRPr="00F11B06">
        <w:rPr>
          <w:sz w:val="22"/>
          <w:szCs w:val="22"/>
        </w:rPr>
        <w:fldChar w:fldCharType="end"/>
      </w:r>
      <w:r w:rsidRPr="00F35B25">
        <w:rPr>
          <w:sz w:val="22"/>
          <w:szCs w:val="22"/>
          <w:lang w:val="nb-NO"/>
        </w:rPr>
        <w:t xml:space="preserve"> and Fu et al. </w:t>
      </w:r>
      <w:r w:rsidRPr="00F11B06">
        <w:rPr>
          <w:sz w:val="22"/>
          <w:szCs w:val="22"/>
        </w:rPr>
        <w:fldChar w:fldCharType="begin"/>
      </w:r>
      <w:r w:rsidR="00C653FF">
        <w:rPr>
          <w:sz w:val="22"/>
          <w:szCs w:val="22"/>
        </w:rPr>
        <w:instrText xml:space="preserve"> ADDIN EN.CITE &lt;EndNote&gt;&lt;Cite ExcludeAuth="1"&gt;&lt;Author&gt;Fu&lt;/Author&gt;&lt;Year&gt;1999&lt;/Year&gt;&lt;RecNum&gt;172&lt;/RecNum&gt;&lt;IDText&gt;Consumer willingness to pay for low‐pesticide fresh produce in Taiwan&lt;/IDText&gt;&lt;DisplayText&gt;[64]&lt;/DisplayText&gt;&lt;record&gt;&lt;rec-number&gt;172&lt;/rec-number&gt;&lt;foreign-keys&gt;&lt;key app="EN" db-id="0pstftvvb2s0x4e5tetxztsizs92vtrvp2vx" timestamp="1674160632" guid="1ccd592e-740e-4c69-bd90-4b6b9794b68f"&gt;172&lt;/key&gt;&lt;/foreign-keys&gt;&lt;ref-type name="Journal Article"&gt;17&lt;/ref-type&gt;&lt;contributors&gt;&lt;authors&gt;&lt;author&gt;Fu, Tsu‐Tan&lt;/author&gt;&lt;author&gt;Liu, Jin‐Tan&lt;/author&gt;&lt;author&gt;Hammitt, James K&lt;/author&gt;&lt;/authors&gt;&lt;/contributors&gt;&lt;titles&gt;&lt;title&gt;Consumer willingness to pay for low‐pesticide fresh produce in Taiwan&lt;/title&gt;&lt;secondary-title&gt;Journal of Agricultural Economics&lt;/secondary-title&gt;&lt;/titles&gt;&lt;periodical&gt;&lt;full-title&gt;Journal of Agricultural Economics&lt;/full-title&gt;&lt;/periodical&gt;&lt;pages&gt;220-233&lt;/pages&gt;&lt;volume&gt;50&lt;/volume&gt;&lt;number&gt;2&lt;/number&gt;&lt;dates&gt;&lt;year&gt;1999&lt;/year&gt;&lt;/dates&gt;&lt;isbn&gt;0021-857X&lt;/isbn&gt;&lt;urls&gt;&lt;/urls&gt;&lt;/record&gt;&lt;/Cite&gt;&lt;/EndNote&gt;</w:instrText>
      </w:r>
      <w:r w:rsidRPr="00F11B06">
        <w:rPr>
          <w:sz w:val="22"/>
          <w:szCs w:val="22"/>
        </w:rPr>
        <w:fldChar w:fldCharType="separate"/>
      </w:r>
      <w:r w:rsidR="00C653FF">
        <w:rPr>
          <w:noProof/>
          <w:sz w:val="22"/>
          <w:szCs w:val="22"/>
        </w:rPr>
        <w:t>[64]</w:t>
      </w:r>
      <w:r w:rsidRPr="00F11B06">
        <w:rPr>
          <w:sz w:val="22"/>
          <w:szCs w:val="22"/>
        </w:rPr>
        <w:fldChar w:fldCharType="end"/>
      </w:r>
      <w:r w:rsidRPr="00F35B25">
        <w:rPr>
          <w:sz w:val="22"/>
          <w:szCs w:val="22"/>
          <w:lang w:val="nb-NO"/>
        </w:rPr>
        <w:t xml:space="preserve"> report cancer risk </w:t>
      </w:r>
      <w:proofErr w:type="spellStart"/>
      <w:r w:rsidRPr="00F35B25">
        <w:rPr>
          <w:sz w:val="22"/>
          <w:szCs w:val="22"/>
          <w:lang w:val="nb-NO"/>
        </w:rPr>
        <w:t>measured</w:t>
      </w:r>
      <w:proofErr w:type="spellEnd"/>
      <w:r w:rsidRPr="00F35B25">
        <w:rPr>
          <w:sz w:val="22"/>
          <w:szCs w:val="22"/>
          <w:lang w:val="nb-NO"/>
        </w:rPr>
        <w:t xml:space="preserve"> as the </w:t>
      </w:r>
      <w:proofErr w:type="spellStart"/>
      <w:r w:rsidRPr="00F35B25">
        <w:rPr>
          <w:sz w:val="22"/>
          <w:szCs w:val="22"/>
          <w:lang w:val="nb-NO"/>
        </w:rPr>
        <w:t>number</w:t>
      </w:r>
      <w:proofErr w:type="spellEnd"/>
      <w:r w:rsidRPr="00F35B25">
        <w:rPr>
          <w:sz w:val="22"/>
          <w:szCs w:val="22"/>
          <w:lang w:val="nb-NO"/>
        </w:rPr>
        <w:t xml:space="preserve"> </w:t>
      </w:r>
      <w:proofErr w:type="spellStart"/>
      <w:r w:rsidRPr="00F35B25">
        <w:rPr>
          <w:sz w:val="22"/>
          <w:szCs w:val="22"/>
          <w:lang w:val="nb-NO"/>
        </w:rPr>
        <w:t>of</w:t>
      </w:r>
      <w:proofErr w:type="spellEnd"/>
      <w:r w:rsidRPr="00F35B25">
        <w:rPr>
          <w:sz w:val="22"/>
          <w:szCs w:val="22"/>
          <w:lang w:val="nb-NO"/>
        </w:rPr>
        <w:t xml:space="preserve"> cases per 10,000 or 100,000 </w:t>
      </w:r>
      <w:proofErr w:type="spellStart"/>
      <w:r w:rsidRPr="00F35B25">
        <w:rPr>
          <w:sz w:val="22"/>
          <w:szCs w:val="22"/>
          <w:lang w:val="nb-NO"/>
        </w:rPr>
        <w:t>people</w:t>
      </w:r>
      <w:proofErr w:type="spellEnd"/>
      <w:r w:rsidRPr="00F35B25">
        <w:rPr>
          <w:sz w:val="22"/>
          <w:szCs w:val="22"/>
          <w:lang w:val="nb-NO"/>
        </w:rPr>
        <w:t xml:space="preserve">, </w:t>
      </w:r>
      <w:proofErr w:type="spellStart"/>
      <w:r w:rsidRPr="00F35B25">
        <w:rPr>
          <w:sz w:val="22"/>
          <w:szCs w:val="22"/>
          <w:lang w:val="nb-NO"/>
        </w:rPr>
        <w:t>which</w:t>
      </w:r>
      <w:proofErr w:type="spellEnd"/>
      <w:r w:rsidRPr="00F35B25">
        <w:rPr>
          <w:sz w:val="22"/>
          <w:szCs w:val="22"/>
          <w:lang w:val="nb-NO"/>
        </w:rPr>
        <w:t xml:space="preserve"> Florax et al. </w:t>
      </w:r>
      <w:r w:rsidRPr="00F11B06">
        <w:rPr>
          <w:sz w:val="22"/>
          <w:szCs w:val="22"/>
        </w:rPr>
        <w:fldChar w:fldCharType="begin"/>
      </w:r>
      <w:r w:rsidR="00C653FF">
        <w:rPr>
          <w:sz w:val="22"/>
          <w:szCs w:val="22"/>
        </w:rPr>
        <w:instrText xml:space="preserve"> ADDIN EN.CITE &lt;EndNote&gt;&lt;Cite ExcludeAuth="1"&gt;&lt;Author&gt;Florax&lt;/Author&gt;&lt;Year&gt;2005&lt;/Year&gt;&lt;RecNum&gt;0&lt;/RecNum&gt;&lt;IDText&gt;A meta-analysis of the willingness to pay for reductions in pesticide risk exposure&lt;/IDText&gt;&lt;DisplayText&gt;[33]&lt;/DisplayText&gt;&lt;record&gt;&lt;isbn&gt;0165-1587&amp;#xD;1464-3618&lt;/isbn&gt;&lt;titles&gt;&lt;title&gt;A meta-analysis of the willingness to pay for reductions in pesticide risk exposure&lt;/title&gt;&lt;secondary-title&gt;European Review of Agricultural Economics&lt;/secondary-title&gt;&lt;/titles&gt;&lt;pages&gt;441-467&lt;/pages&gt;&lt;number&gt;4&lt;/number&gt;&lt;contributors&gt;&lt;authors&gt;&lt;author&gt;Florax, R. J. G. M.&lt;/author&gt;&lt;author&gt;Travisi, C. M.&lt;/author&gt;&lt;author&gt;Nijkamp, P.&lt;/author&gt;&lt;/authors&gt;&lt;/contributors&gt;&lt;section&gt;441&lt;/section&gt;&lt;added-date format="utc"&gt;1633012639&lt;/added-date&gt;&lt;ref-type name="Journal Article"&gt;17&lt;/ref-type&gt;&lt;dates&gt;&lt;year&gt;2005&lt;/year&gt;&lt;/dates&gt;&lt;rec-number&gt;16&lt;/rec-number&gt;&lt;last-updated-date format="utc"&gt;1633534253&lt;/last-updated-date&gt;&lt;electronic-resource-num&gt;10.1093/erae/jbi025&lt;/electronic-resource-num&gt;&lt;volume&gt;32&lt;/volume&gt;&lt;/record&gt;&lt;/Cite&gt;&lt;/EndNote&gt;</w:instrText>
      </w:r>
      <w:r w:rsidRPr="00F11B06">
        <w:rPr>
          <w:sz w:val="22"/>
          <w:szCs w:val="22"/>
        </w:rPr>
        <w:fldChar w:fldCharType="separate"/>
      </w:r>
      <w:r w:rsidR="00C653FF">
        <w:rPr>
          <w:noProof/>
          <w:sz w:val="22"/>
          <w:szCs w:val="22"/>
        </w:rPr>
        <w:t>[33]</w:t>
      </w:r>
      <w:r w:rsidRPr="00F11B06">
        <w:rPr>
          <w:sz w:val="22"/>
          <w:szCs w:val="22"/>
        </w:rPr>
        <w:fldChar w:fldCharType="end"/>
      </w:r>
      <w:r w:rsidRPr="00F11B06">
        <w:rPr>
          <w:sz w:val="22"/>
          <w:szCs w:val="22"/>
        </w:rPr>
        <w:t xml:space="preserve"> classifies as low, medium or high risk levels when the cancer risk was lower than 5 cases, between 5 and 12 cases and higher than 12 cases per 10,000 people, respectively. Baker </w:t>
      </w:r>
      <w:r w:rsidRPr="00F11B06">
        <w:rPr>
          <w:sz w:val="22"/>
          <w:szCs w:val="22"/>
        </w:rPr>
        <w:fldChar w:fldCharType="begin"/>
      </w:r>
      <w:r w:rsidR="00C653FF">
        <w:rPr>
          <w:sz w:val="22"/>
          <w:szCs w:val="22"/>
        </w:rPr>
        <w:instrText xml:space="preserve"> ADDIN EN.CITE &lt;EndNote&gt;&lt;Cite ExcludeAuth="1"&gt;&lt;Author&gt;Baker&lt;/Author&gt;&lt;Year&gt;1999&lt;/Year&gt;&lt;RecNum&gt;0&lt;/RecNum&gt;&lt;IDText&gt;Consumer preferences for food safety attributes in fresh apples: Market segments, consumer characteristics, and marketing opportunities&lt;/IDText&gt;&lt;DisplayText&gt;[65]&lt;/DisplayText&gt;&lt;record&gt;&lt;isbn&gt;1068-5502&lt;/isbn&gt;&lt;titles&gt;&lt;title&gt;Consumer preferences for food safety attributes in fresh apples: Market segments, consumer characteristics, and marketing opportunities&lt;/title&gt;&lt;secondary-title&gt;Journal of Agricultural and Resource Economics&lt;/secondary-title&gt;&lt;/titles&gt;&lt;pages&gt;80-97&lt;/pages&gt;&lt;contributors&gt;&lt;authors&gt;&lt;author&gt;Baker, Gregory A&lt;/author&gt;&lt;/authors&gt;&lt;/contributors&gt;&lt;added-date format="utc"&gt;1643596052&lt;/added-date&gt;&lt;ref-type name="Journal Article"&gt;17&lt;/ref-type&gt;&lt;dates&gt;&lt;year&gt;1999&lt;/year&gt;&lt;/dates&gt;&lt;rec-number&gt;156&lt;/rec-number&gt;&lt;last-updated-date format="utc"&gt;1643596052&lt;/last-updated-date&gt;&lt;/record&gt;&lt;/Cite&gt;&lt;/EndNote&gt;</w:instrText>
      </w:r>
      <w:r w:rsidRPr="00F11B06">
        <w:rPr>
          <w:sz w:val="22"/>
          <w:szCs w:val="22"/>
        </w:rPr>
        <w:fldChar w:fldCharType="separate"/>
      </w:r>
      <w:r w:rsidR="00C653FF">
        <w:rPr>
          <w:noProof/>
          <w:sz w:val="22"/>
          <w:szCs w:val="22"/>
        </w:rPr>
        <w:t>[65]</w:t>
      </w:r>
      <w:r w:rsidRPr="00F11B06">
        <w:rPr>
          <w:sz w:val="22"/>
          <w:szCs w:val="22"/>
        </w:rPr>
        <w:fldChar w:fldCharType="end"/>
      </w:r>
      <w:r w:rsidRPr="00F11B06">
        <w:rPr>
          <w:sz w:val="22"/>
          <w:szCs w:val="22"/>
        </w:rPr>
        <w:t xml:space="preserve"> reports cancer risk to consumers as 1 case per 1,000 people, which can consequently be classified as medium risk. In the studies by </w:t>
      </w:r>
      <w:r w:rsidRPr="00F11B06">
        <w:rPr>
          <w:sz w:val="22"/>
          <w:szCs w:val="22"/>
        </w:rPr>
        <w:fldChar w:fldCharType="begin"/>
      </w:r>
      <w:r w:rsidR="00C653FF">
        <w:rPr>
          <w:sz w:val="22"/>
          <w:szCs w:val="22"/>
        </w:rPr>
        <w:instrText xml:space="preserve"> ADDIN EN.CITE &lt;EndNote&gt;&lt;Cite AuthorYear="1"&gt;&lt;Author&gt;Baker&lt;/Author&gt;&lt;Year&gt;1993&lt;/Year&gt;&lt;RecNum&gt;137&lt;/RecNum&gt;&lt;DisplayText&gt;Baker and Crosbie [66]&lt;/DisplayText&gt;&lt;record&gt;&lt;rec-number&gt;137&lt;/rec-number&gt;&lt;foreign-keys&gt;&lt;key app="EN" db-id="0pstftvvb2s0x4e5tetxztsizs92vtrvp2vx" timestamp="1674160631" guid="c74f6294-b567-4cc3-a2ae-b2cbb3d31c5b"&gt;137&lt;/key&gt;&lt;/foreign-keys&gt;&lt;ref-type name="Journal Article"&gt;17&lt;/ref-type&gt;&lt;contributors&gt;&lt;authors&gt;&lt;author&gt;Baker, Gregory A&lt;/author&gt;&lt;author&gt;Crosbie, Peter J&lt;/author&gt;&lt;/authors&gt;&lt;/contributors&gt;&lt;titles&gt;&lt;title&gt;Measuring food safety preferences: identifying consumer segments&lt;/title&gt;&lt;secondary-title&gt;Journal of Agricultural and Resource Economics&lt;/secondary-title&gt;&lt;/titles&gt;&lt;periodical&gt;&lt;full-title&gt;Journal of Agricultural and Resource Economics&lt;/full-title&gt;&lt;/periodical&gt;&lt;pages&gt;277-287&lt;/pages&gt;&lt;dates&gt;&lt;year&gt;1993&lt;/year&gt;&lt;/dates&gt;&lt;isbn&gt;1068-5502&lt;/isbn&gt;&lt;urls&gt;&lt;/urls&gt;&lt;/record&gt;&lt;/Cite&gt;&lt;/EndNote&gt;</w:instrText>
      </w:r>
      <w:r w:rsidRPr="00F11B06">
        <w:rPr>
          <w:sz w:val="22"/>
          <w:szCs w:val="22"/>
        </w:rPr>
        <w:fldChar w:fldCharType="separate"/>
      </w:r>
      <w:r w:rsidR="00C653FF">
        <w:rPr>
          <w:noProof/>
          <w:sz w:val="22"/>
          <w:szCs w:val="22"/>
        </w:rPr>
        <w:t>Baker and Crosbie [66]</w:t>
      </w:r>
      <w:r w:rsidRPr="00F11B06">
        <w:rPr>
          <w:sz w:val="22"/>
          <w:szCs w:val="22"/>
        </w:rPr>
        <w:fldChar w:fldCharType="end"/>
      </w:r>
      <w:r w:rsidRPr="00F11B06">
        <w:rPr>
          <w:sz w:val="22"/>
          <w:szCs w:val="22"/>
        </w:rPr>
        <w:t xml:space="preserve">, </w:t>
      </w:r>
      <w:proofErr w:type="spellStart"/>
      <w:r w:rsidRPr="00F11B06">
        <w:rPr>
          <w:sz w:val="22"/>
          <w:szCs w:val="22"/>
        </w:rPr>
        <w:t>Hammit</w:t>
      </w:r>
      <w:proofErr w:type="spellEnd"/>
      <w:r w:rsidRPr="00F11B06">
        <w:rPr>
          <w:sz w:val="22"/>
          <w:szCs w:val="22"/>
        </w:rPr>
        <w:t xml:space="preserve"> </w:t>
      </w:r>
      <w:r w:rsidRPr="00F11B06">
        <w:rPr>
          <w:sz w:val="22"/>
          <w:szCs w:val="22"/>
        </w:rPr>
        <w:fldChar w:fldCharType="begin"/>
      </w:r>
      <w:r w:rsidR="00C653FF">
        <w:rPr>
          <w:sz w:val="22"/>
          <w:szCs w:val="22"/>
        </w:rPr>
        <w:instrText xml:space="preserve"> ADDIN EN.CITE &lt;EndNote&gt;&lt;Cite ExcludeAuth="1"&gt;&lt;Author&gt;Hammitt&lt;/Author&gt;&lt;Year&gt;1993&lt;/Year&gt;&lt;RecNum&gt;148&lt;/RecNum&gt;&lt;DisplayText&gt;[32]&lt;/DisplayText&gt;&lt;record&gt;&lt;rec-number&gt;148&lt;/rec-number&gt;&lt;foreign-keys&gt;&lt;key app="EN" db-id="0pstftvvb2s0x4e5tetxztsizs92vtrvp2vx" timestamp="1674160632" guid="86885169-39c4-44ed-b669-66a78ad58bbd"&gt;148&lt;/key&gt;&lt;/foreign-keys&gt;&lt;ref-type name="Journal Article"&gt;17&lt;/ref-type&gt;&lt;contributors&gt;&lt;authors&gt;&lt;author&gt;Hammitt, James K&lt;/author&gt;&lt;/authors&gt;&lt;/contributors&gt;&lt;titles&gt;&lt;title&gt;Consumer willingness to pay to avoid pesticide residues&lt;/title&gt;&lt;secondary-title&gt;Statistica Sinica&lt;/secondary-title&gt;&lt;/titles&gt;&lt;periodical&gt;&lt;full-title&gt;Statistica Sinica&lt;/full-title&gt;&lt;/periodical&gt;&lt;pages&gt;351-366&lt;/pages&gt;&lt;dates&gt;&lt;year&gt;1993&lt;/year&gt;&lt;/dates&gt;&lt;isbn&gt;1017-0405&lt;/isbn&gt;&lt;urls&gt;&lt;/urls&gt;&lt;/record&gt;&lt;/Cite&gt;&lt;/EndNote&gt;</w:instrText>
      </w:r>
      <w:r w:rsidRPr="00F11B06">
        <w:rPr>
          <w:sz w:val="22"/>
          <w:szCs w:val="22"/>
        </w:rPr>
        <w:fldChar w:fldCharType="separate"/>
      </w:r>
      <w:r w:rsidR="00C653FF">
        <w:rPr>
          <w:noProof/>
          <w:sz w:val="22"/>
          <w:szCs w:val="22"/>
        </w:rPr>
        <w:t>[32]</w:t>
      </w:r>
      <w:r w:rsidRPr="00F11B06">
        <w:rPr>
          <w:sz w:val="22"/>
          <w:szCs w:val="22"/>
        </w:rPr>
        <w:fldChar w:fldCharType="end"/>
      </w:r>
      <w:r w:rsidRPr="00F11B06">
        <w:rPr>
          <w:sz w:val="22"/>
          <w:szCs w:val="22"/>
        </w:rPr>
        <w:t xml:space="preserve">, Misra et al. </w:t>
      </w:r>
      <w:r w:rsidRPr="00F11B06">
        <w:rPr>
          <w:sz w:val="22"/>
          <w:szCs w:val="22"/>
        </w:rPr>
        <w:fldChar w:fldCharType="begin"/>
      </w:r>
      <w:r w:rsidR="00C653FF">
        <w:rPr>
          <w:sz w:val="22"/>
          <w:szCs w:val="22"/>
        </w:rPr>
        <w:instrText xml:space="preserve"> ADDIN EN.CITE &lt;EndNote&gt;&lt;Cite ExcludeAuth="1"&gt;&lt;Author&gt;Misra&lt;/Author&gt;&lt;Year&gt;1991&lt;/Year&gt;&lt;RecNum&gt;170&lt;/RecNum&gt;&lt;IDText&gt;Consumer willingness to pay for pesticide-free fresh produce&lt;/IDText&gt;&lt;DisplayText&gt;[67]&lt;/DisplayText&gt;&lt;record&gt;&lt;rec-number&gt;170&lt;/rec-number&gt;&lt;foreign-keys&gt;&lt;key app="EN" db-id="0pstftvvb2s0x4e5tetxztsizs92vtrvp2vx" timestamp="1674160632" guid="6a447f09-aa15-47bf-b045-500ec7fb6dbc"&gt;170&lt;/key&gt;&lt;/foreign-keys&gt;&lt;ref-type name="Journal Article"&gt;17&lt;/ref-type&gt;&lt;contributors&gt;&lt;authors&gt;&lt;author&gt;Misra, Sukant K&lt;/author&gt;&lt;author&gt;Huang, Chung L&lt;/author&gt;&lt;author&gt;Ott, Stephen L&lt;/author&gt;&lt;/authors&gt;&lt;/contributors&gt;&lt;titles&gt;&lt;title&gt;Consumer willingness to pay for pesticide-free fresh produce&lt;/title&gt;&lt;secondary-title&gt;Western Journal of Agricultural Economics&lt;/secondary-title&gt;&lt;/titles&gt;&lt;periodical&gt;&lt;full-title&gt;Western Journal of Agricultural Economics&lt;/full-title&gt;&lt;/periodical&gt;&lt;pages&gt;218-227&lt;/pages&gt;&lt;dates&gt;&lt;year&gt;1991&lt;/year&gt;&lt;/dates&gt;&lt;isbn&gt;0162-1912&lt;/isbn&gt;&lt;urls&gt;&lt;/urls&gt;&lt;/record&gt;&lt;/Cite&gt;&lt;/EndNote&gt;</w:instrText>
      </w:r>
      <w:r w:rsidRPr="00F11B06">
        <w:rPr>
          <w:sz w:val="22"/>
          <w:szCs w:val="22"/>
        </w:rPr>
        <w:fldChar w:fldCharType="separate"/>
      </w:r>
      <w:r w:rsidR="00C653FF">
        <w:rPr>
          <w:noProof/>
          <w:sz w:val="22"/>
          <w:szCs w:val="22"/>
        </w:rPr>
        <w:t>[67]</w:t>
      </w:r>
      <w:r w:rsidRPr="00F11B06">
        <w:rPr>
          <w:sz w:val="22"/>
          <w:szCs w:val="22"/>
        </w:rPr>
        <w:fldChar w:fldCharType="end"/>
      </w:r>
      <w:r w:rsidRPr="00F11B06">
        <w:rPr>
          <w:sz w:val="22"/>
          <w:szCs w:val="22"/>
        </w:rPr>
        <w:t xml:space="preserve">, </w:t>
      </w:r>
      <w:proofErr w:type="spellStart"/>
      <w:r w:rsidRPr="00F11B06">
        <w:rPr>
          <w:sz w:val="22"/>
          <w:szCs w:val="22"/>
        </w:rPr>
        <w:t>Roosen</w:t>
      </w:r>
      <w:proofErr w:type="spellEnd"/>
      <w:r w:rsidRPr="00F11B06">
        <w:rPr>
          <w:sz w:val="22"/>
          <w:szCs w:val="22"/>
        </w:rPr>
        <w:t xml:space="preserve"> et al. </w:t>
      </w:r>
      <w:r w:rsidRPr="00F11B06">
        <w:rPr>
          <w:sz w:val="22"/>
          <w:szCs w:val="22"/>
        </w:rPr>
        <w:fldChar w:fldCharType="begin"/>
      </w:r>
      <w:r w:rsidR="00C653FF">
        <w:rPr>
          <w:sz w:val="22"/>
          <w:szCs w:val="22"/>
        </w:rPr>
        <w:instrText xml:space="preserve"> ADDIN EN.CITE &lt;EndNote&gt;&lt;Cite ExcludeAuth="1"&gt;&lt;Author&gt;Roosen&lt;/Author&gt;&lt;Year&gt;1998&lt;/Year&gt;&lt;RecNum&gt;153&lt;/RecNum&gt;&lt;DisplayText&gt;[68]&lt;/DisplayText&gt;&lt;record&gt;&lt;rec-number&gt;153&lt;/rec-number&gt;&lt;foreign-keys&gt;&lt;key app="EN" db-id="0pstftvvb2s0x4e5tetxztsizs92vtrvp2vx" timestamp="1674160632" guid="211182b7-cd1b-469b-8fbc-33284bce8931"&gt;153&lt;/key&gt;&lt;/foreign-keys&gt;&lt;ref-type name="Journal Article"&gt;17&lt;/ref-type&gt;&lt;contributors&gt;&lt;authors&gt;&lt;author&gt;Roosen, Jutta&lt;/author&gt;&lt;author&gt;Fox, John A&lt;/author&gt;&lt;author&gt;Hennessy, David A&lt;/author&gt;&lt;author&gt;Schreiber, Alan&lt;/author&gt;&lt;/authors&gt;&lt;/contributors&gt;&lt;titles&gt;&lt;title&gt;Consumers&amp;apos; valuation of insecticide use restrictions: an application to apples&lt;/title&gt;&lt;secondary-title&gt;Journal of Agricultural and Resource Economics&lt;/secondary-title&gt;&lt;/titles&gt;&lt;periodical&gt;&lt;full-title&gt;Journal of Agricultural and Resource Economics&lt;/full-title&gt;&lt;/periodical&gt;&lt;pages&gt;367-384&lt;/pages&gt;&lt;dates&gt;&lt;year&gt;1998&lt;/year&gt;&lt;/dates&gt;&lt;isbn&gt;1068-5502&lt;/isbn&gt;&lt;urls&gt;&lt;/urls&gt;&lt;/record&gt;&lt;/Cite&gt;&lt;/EndNote&gt;</w:instrText>
      </w:r>
      <w:r w:rsidRPr="00F11B06">
        <w:rPr>
          <w:sz w:val="22"/>
          <w:szCs w:val="22"/>
        </w:rPr>
        <w:fldChar w:fldCharType="separate"/>
      </w:r>
      <w:r w:rsidR="00C653FF">
        <w:rPr>
          <w:noProof/>
          <w:sz w:val="22"/>
          <w:szCs w:val="22"/>
        </w:rPr>
        <w:t>[68]</w:t>
      </w:r>
      <w:r w:rsidRPr="00F11B06">
        <w:rPr>
          <w:sz w:val="22"/>
          <w:szCs w:val="22"/>
        </w:rPr>
        <w:fldChar w:fldCharType="end"/>
      </w:r>
      <w:r w:rsidRPr="00F11B06">
        <w:rPr>
          <w:sz w:val="22"/>
          <w:szCs w:val="22"/>
        </w:rPr>
        <w:t xml:space="preserve"> and van </w:t>
      </w:r>
      <w:proofErr w:type="spellStart"/>
      <w:r w:rsidRPr="00F11B06">
        <w:rPr>
          <w:sz w:val="22"/>
          <w:szCs w:val="22"/>
        </w:rPr>
        <w:t>Ravenswaay</w:t>
      </w:r>
      <w:proofErr w:type="spellEnd"/>
      <w:r w:rsidRPr="00F11B06">
        <w:rPr>
          <w:sz w:val="22"/>
          <w:szCs w:val="22"/>
        </w:rPr>
        <w:t xml:space="preserve"> and Hoehn </w:t>
      </w:r>
      <w:r w:rsidRPr="00F11B06">
        <w:rPr>
          <w:sz w:val="22"/>
          <w:szCs w:val="22"/>
        </w:rPr>
        <w:fldChar w:fldCharType="begin"/>
      </w:r>
      <w:r w:rsidR="00C653FF">
        <w:rPr>
          <w:sz w:val="22"/>
          <w:szCs w:val="22"/>
        </w:rPr>
        <w:instrText xml:space="preserve"> ADDIN EN.CITE &lt;EndNote&gt;&lt;Cite ExcludeAuth="1"&gt;&lt;Author&gt;Ravenswaay&lt;/Author&gt;&lt;Year&gt;1991&lt;/Year&gt;&lt;RecNum&gt;310&lt;/RecNum&gt;&lt;DisplayText&gt;[69]&lt;/DisplayText&gt;&lt;record&gt;&lt;rec-number&gt;310&lt;/rec-number&gt;&lt;foreign-keys&gt;&lt;key app="EN" db-id="0pstftvvb2s0x4e5tetxztsizs92vtrvp2vx" timestamp="1688051166" guid="370adbc1-97e9-45d3-a282-91a3a1bc12f2"&gt;310&lt;/key&gt;&lt;/foreign-keys&gt;&lt;ref-type name="Report"&gt;27&lt;/ref-type&gt;&lt;contributors&gt;&lt;authors&gt;&lt;author&gt;Ravenswaay, Eileen O van&lt;/author&gt;&lt;author&gt;Hoehn, John P&lt;/author&gt;&lt;/authors&gt;&lt;/contributors&gt;&lt;titles&gt;&lt;title&gt;Contingent Valuation and Food Safety: The Case of Pesticide Residues in Food&lt;/title&gt;&lt;/titles&gt;&lt;dates&gt;&lt;year&gt;1991&lt;/year&gt;&lt;/dates&gt;&lt;urls&gt;&lt;/urls&gt;&lt;/record&gt;&lt;/Cite&gt;&lt;/EndNote&gt;</w:instrText>
      </w:r>
      <w:r w:rsidRPr="00F11B06">
        <w:rPr>
          <w:sz w:val="22"/>
          <w:szCs w:val="22"/>
        </w:rPr>
        <w:fldChar w:fldCharType="separate"/>
      </w:r>
      <w:r w:rsidR="00C653FF">
        <w:rPr>
          <w:noProof/>
          <w:sz w:val="22"/>
          <w:szCs w:val="22"/>
        </w:rPr>
        <w:t>[69]</w:t>
      </w:r>
      <w:r w:rsidRPr="00F11B06">
        <w:rPr>
          <w:sz w:val="22"/>
          <w:szCs w:val="22"/>
        </w:rPr>
        <w:fldChar w:fldCharType="end"/>
      </w:r>
      <w:r w:rsidRPr="00F11B06">
        <w:rPr>
          <w:sz w:val="22"/>
          <w:szCs w:val="22"/>
        </w:rPr>
        <w:t xml:space="preserve">, following Florax et al. </w:t>
      </w:r>
      <w:r w:rsidRPr="00F11B06">
        <w:rPr>
          <w:sz w:val="22"/>
          <w:szCs w:val="22"/>
        </w:rPr>
        <w:fldChar w:fldCharType="begin"/>
      </w:r>
      <w:r w:rsidR="00C653FF">
        <w:rPr>
          <w:sz w:val="22"/>
          <w:szCs w:val="22"/>
        </w:rPr>
        <w:instrText xml:space="preserve"> ADDIN EN.CITE &lt;EndNote&gt;&lt;Cite ExcludeAuth="1"&gt;&lt;Author&gt;Florax&lt;/Author&gt;&lt;Year&gt;2005&lt;/Year&gt;&lt;RecNum&gt;0&lt;/RecNum&gt;&lt;IDText&gt;A meta-analysis of the willingness to pay for reductions in pesticide risk exposure&lt;/IDText&gt;&lt;DisplayText&gt;[33]&lt;/DisplayText&gt;&lt;record&gt;&lt;isbn&gt;0165-1587&amp;#xD;1464-3618&lt;/isbn&gt;&lt;titles&gt;&lt;title&gt;A meta-analysis of the willingness to pay for reductions in pesticide risk exposure&lt;/title&gt;&lt;secondary-title&gt;European Review of Agricultural Economics&lt;/secondary-title&gt;&lt;/titles&gt;&lt;pages&gt;441-467&lt;/pages&gt;&lt;number&gt;4&lt;/number&gt;&lt;contributors&gt;&lt;authors&gt;&lt;author&gt;Florax, R. J. G. M.&lt;/author&gt;&lt;author&gt;Travisi, C. M.&lt;/author&gt;&lt;author&gt;Nijkamp, P.&lt;/author&gt;&lt;/authors&gt;&lt;/contributors&gt;&lt;section&gt;441&lt;/section&gt;&lt;added-date format="utc"&gt;1633012639&lt;/added-date&gt;&lt;ref-type name="Journal Article"&gt;17&lt;/ref-type&gt;&lt;dates&gt;&lt;year&gt;2005&lt;/year&gt;&lt;/dates&gt;&lt;rec-number&gt;16&lt;/rec-number&gt;&lt;last-updated-date format="utc"&gt;1633534253&lt;/last-updated-date&gt;&lt;electronic-resource-num&gt;10.1093/erae/jbi025&lt;/electronic-resource-num&gt;&lt;volume&gt;32&lt;/volume&gt;&lt;/record&gt;&lt;/Cite&gt;&lt;/EndNote&gt;</w:instrText>
      </w:r>
      <w:r w:rsidRPr="00F11B06">
        <w:rPr>
          <w:sz w:val="22"/>
          <w:szCs w:val="22"/>
        </w:rPr>
        <w:fldChar w:fldCharType="separate"/>
      </w:r>
      <w:r w:rsidR="00C653FF">
        <w:rPr>
          <w:noProof/>
          <w:sz w:val="22"/>
          <w:szCs w:val="22"/>
        </w:rPr>
        <w:t>[33]</w:t>
      </w:r>
      <w:r w:rsidRPr="00F11B06">
        <w:rPr>
          <w:sz w:val="22"/>
          <w:szCs w:val="22"/>
        </w:rPr>
        <w:fldChar w:fldCharType="end"/>
      </w:r>
      <w:r w:rsidRPr="00F11B06">
        <w:rPr>
          <w:sz w:val="22"/>
          <w:szCs w:val="22"/>
        </w:rPr>
        <w:t xml:space="preserve">, the risk level to human health was categorized based on the percentage of products that violated national pesticide residue regulations as low, medium or high if the percentage of products violating national regulations was lower than or equal to 0.5, between 0.5 and 2, and higher than 2, respectively. Moreover, the baseline risk levels from Barbosa Júnior et al. </w:t>
      </w:r>
      <w:r w:rsidRPr="00F11B06">
        <w:rPr>
          <w:sz w:val="22"/>
          <w:szCs w:val="22"/>
        </w:rPr>
        <w:fldChar w:fldCharType="begin"/>
      </w:r>
      <w:r w:rsidR="00C653FF">
        <w:rPr>
          <w:sz w:val="22"/>
          <w:szCs w:val="22"/>
        </w:rPr>
        <w:instrText xml:space="preserve"> ADDIN EN.CITE &lt;EndNote&gt;&lt;Cite ExcludeAuth="1"&gt;&lt;Author&gt;Júnior&lt;/Author&gt;&lt;Year&gt;2012&lt;/Year&gt;&lt;RecNum&gt;171&lt;/RecNum&gt;&lt;IDText&gt;Preferência por alimentos seguros: estudo de caso do consumo de morango em um município de minas gerais&lt;/IDText&gt;&lt;DisplayText&gt;[70]&lt;/DisplayText&gt;&lt;record&gt;&lt;rec-number&gt;171&lt;/rec-number&gt;&lt;foreign-keys&gt;&lt;key app="EN" db-id="0pstftvvb2s0x4e5tetxztsizs92vtrvp2vx" timestamp="1674160632" guid="d71085e0-8a87-468e-8169-59e576fe746a"&gt;171&lt;/key&gt;&lt;/foreign-keys&gt;&lt;ref-type name="Journal Article"&gt;17&lt;/ref-type&gt;&lt;contributors&gt;&lt;authors&gt;&lt;author&gt;Júnior, Djalma Adão Barbosa&lt;/author&gt;&lt;author&gt;Amorim, Airton Lopes&lt;/author&gt;&lt;author&gt;de Faria, Franciane Rocha&lt;/author&gt;&lt;author&gt;Priore, Silvia Eloiza&lt;/author&gt;&lt;author&gt;Gomes, Marília Fernandes Maciel&lt;/author&gt;&lt;/authors&gt;&lt;/contributors&gt;&lt;titles&gt;&lt;title&gt;Preferência por alimentos seguros: estudo de caso do consumo de morango em um município de minas gerais&lt;/title&gt;&lt;secondary-title&gt;Revista de Economia e Agronegócio&lt;/secondary-title&gt;&lt;/titles&gt;&lt;periodical&gt;&lt;full-title&gt;Revista de Economia e Agronegócio&lt;/full-title&gt;&lt;/periodical&gt;&lt;volume&gt;10&lt;/volume&gt;&lt;number&gt;2&lt;/number&gt;&lt;dates&gt;&lt;year&gt;2012&lt;/year&gt;&lt;/dates&gt;&lt;isbn&gt;2526-5539&lt;/isbn&gt;&lt;urls&gt;&lt;/urls&gt;&lt;/record&gt;&lt;/Cite&gt;&lt;/EndNote&gt;</w:instrText>
      </w:r>
      <w:r w:rsidRPr="00F11B06">
        <w:rPr>
          <w:sz w:val="22"/>
          <w:szCs w:val="22"/>
        </w:rPr>
        <w:fldChar w:fldCharType="separate"/>
      </w:r>
      <w:r w:rsidR="00C653FF">
        <w:rPr>
          <w:noProof/>
          <w:sz w:val="22"/>
          <w:szCs w:val="22"/>
        </w:rPr>
        <w:t>[70]</w:t>
      </w:r>
      <w:r w:rsidRPr="00F11B06">
        <w:rPr>
          <w:sz w:val="22"/>
          <w:szCs w:val="22"/>
        </w:rPr>
        <w:fldChar w:fldCharType="end"/>
      </w:r>
      <w:bookmarkStart w:id="2" w:name="_Hlk94495662"/>
      <w:r w:rsidRPr="00F11B06">
        <w:rPr>
          <w:sz w:val="22"/>
          <w:szCs w:val="22"/>
        </w:rPr>
        <w:t xml:space="preserve">, Gallardo and Wang </w:t>
      </w:r>
      <w:r w:rsidRPr="00F11B06">
        <w:rPr>
          <w:sz w:val="22"/>
          <w:szCs w:val="22"/>
        </w:rPr>
        <w:fldChar w:fldCharType="begin"/>
      </w:r>
      <w:r w:rsidR="00C653FF">
        <w:rPr>
          <w:sz w:val="22"/>
          <w:szCs w:val="22"/>
        </w:rPr>
        <w:instrText xml:space="preserve"> ADDIN EN.CITE &lt;EndNote&gt;&lt;Cite ExcludeAuth="1"&gt;&lt;Author&gt;Gallardo&lt;/Author&gt;&lt;Year&gt;2013&lt;/Year&gt;&lt;RecNum&gt;146&lt;/RecNum&gt;&lt;IDText&gt;Willingness to pay for pesticides&amp;apos; environmental features and social desirability bias: The case of apple and pear growers&lt;/IDText&gt;&lt;DisplayText&gt;[71]&lt;/DisplayText&gt;&lt;record&gt;&lt;rec-number&gt;146&lt;/rec-number&gt;&lt;foreign-keys&gt;&lt;key app="EN" db-id="0pstftvvb2s0x4e5tetxztsizs92vtrvp2vx" timestamp="1674160632" guid="20c439f1-8e17-4284-b3a4-1f3783339dcb"&gt;146&lt;/key&gt;&lt;/foreign-keys&gt;&lt;ref-type name="Journal Article"&gt;17&lt;/ref-type&gt;&lt;contributors&gt;&lt;authors&gt;&lt;author&gt;Gallardo, R Karina&lt;/author&gt;&lt;author&gt;Wang, Qianqian&lt;/author&gt;&lt;/authors&gt;&lt;/contributors&gt;&lt;titles&gt;&lt;title&gt;Willingness to pay for pesticides&amp;apos; environmental features and social desirability bias: The case of apple and pear growers&lt;/title&gt;&lt;secondary-title&gt;Journal of Agricultural and Resource Economics&lt;/secondary-title&gt;&lt;/titles&gt;&lt;periodical&gt;&lt;full-title&gt;Journal of Agricultural and Resource Economics&lt;/full-title&gt;&lt;/periodical&gt;&lt;pages&gt;124-139&lt;/pages&gt;&lt;dates&gt;&lt;year&gt;2013&lt;/year&gt;&lt;/dates&gt;&lt;isbn&gt;1068-5502&lt;/isbn&gt;&lt;urls&gt;&lt;/urls&gt;&lt;/record&gt;&lt;/Cite&gt;&lt;/EndNote&gt;</w:instrText>
      </w:r>
      <w:r w:rsidRPr="00F11B06">
        <w:rPr>
          <w:sz w:val="22"/>
          <w:szCs w:val="22"/>
        </w:rPr>
        <w:fldChar w:fldCharType="separate"/>
      </w:r>
      <w:r w:rsidR="00C653FF">
        <w:rPr>
          <w:noProof/>
          <w:sz w:val="22"/>
          <w:szCs w:val="22"/>
        </w:rPr>
        <w:t>[71]</w:t>
      </w:r>
      <w:r w:rsidRPr="00F11B06">
        <w:rPr>
          <w:sz w:val="22"/>
          <w:szCs w:val="22"/>
        </w:rPr>
        <w:fldChar w:fldCharType="end"/>
      </w:r>
      <w:bookmarkEnd w:id="2"/>
      <w:r w:rsidRPr="00F11B06">
        <w:rPr>
          <w:sz w:val="22"/>
          <w:szCs w:val="22"/>
        </w:rPr>
        <w:t xml:space="preserve"> and </w:t>
      </w:r>
      <w:r w:rsidRPr="00F11B06">
        <w:rPr>
          <w:sz w:val="22"/>
          <w:szCs w:val="22"/>
        </w:rPr>
        <w:fldChar w:fldCharType="begin"/>
      </w:r>
      <w:r w:rsidR="00C653FF">
        <w:rPr>
          <w:sz w:val="22"/>
          <w:szCs w:val="22"/>
        </w:rPr>
        <w:instrText xml:space="preserve"> ADDIN EN.CITE &lt;EndNote&gt;&lt;Cite AuthorYear="1"&gt;&lt;Author&gt;Garcia-Yi&lt;/Author&gt;&lt;Year&gt;2015&lt;/Year&gt;&lt;RecNum&gt;281&lt;/RecNum&gt;&lt;DisplayText&gt;Garcia-Yi [72]&lt;/DisplayText&gt;&lt;record&gt;&lt;rec-number&gt;281&lt;/rec-number&gt;&lt;foreign-keys&gt;&lt;key app="EN" db-id="0pstftvvb2s0x4e5tetxztsizs92vtrvp2vx" timestamp="1684080294" guid="922330e1-b1de-43f9-b630-407d7faca542"&gt;281&lt;/key&gt;&lt;/foreign-keys&gt;&lt;ref-type name="Journal Article"&gt;17&lt;/ref-type&gt;&lt;contributors&gt;&lt;authors&gt;&lt;author&gt;Garcia-Yi, Jaqueline&lt;/author&gt;&lt;/authors&gt;&lt;/contributors&gt;&lt;titles&gt;&lt;title&gt;Willingness to pay for organic and Fairtrade certified yellow chili peppers: Evidence from middle and high income districts in Lima, Peru&lt;/title&gt;&lt;secondary-title&gt;British Food Journal&lt;/secondary-title&gt;&lt;/titles&gt;&lt;periodical&gt;&lt;full-title&gt;British Food Journal&lt;/full-title&gt;&lt;/periodical&gt;&lt;pages&gt;929-942&lt;/pages&gt;&lt;volume&gt;117&lt;/volume&gt;&lt;number&gt;2&lt;/number&gt;&lt;dates&gt;&lt;year&gt;2015&lt;/year&gt;&lt;/dates&gt;&lt;isbn&gt;0007-070X&lt;/isbn&gt;&lt;urls&gt;&lt;/urls&gt;&lt;/record&gt;&lt;/Cite&gt;&lt;/EndNote&gt;</w:instrText>
      </w:r>
      <w:r w:rsidRPr="00F11B06">
        <w:rPr>
          <w:sz w:val="22"/>
          <w:szCs w:val="22"/>
        </w:rPr>
        <w:fldChar w:fldCharType="separate"/>
      </w:r>
      <w:r w:rsidR="00C653FF">
        <w:rPr>
          <w:noProof/>
          <w:sz w:val="22"/>
          <w:szCs w:val="22"/>
        </w:rPr>
        <w:t>Garcia-Yi [72]</w:t>
      </w:r>
      <w:r w:rsidRPr="00F11B06">
        <w:rPr>
          <w:sz w:val="22"/>
          <w:szCs w:val="22"/>
        </w:rPr>
        <w:fldChar w:fldCharType="end"/>
      </w:r>
      <w:r w:rsidRPr="00F11B06">
        <w:rPr>
          <w:sz w:val="22"/>
          <w:szCs w:val="22"/>
        </w:rPr>
        <w:t xml:space="preserve"> were obtained through a literature review. First, the risks of cancer from pesticides in strawberries evaluated by Barbosa Júnior et al. </w:t>
      </w:r>
      <w:r w:rsidRPr="00F11B06">
        <w:rPr>
          <w:sz w:val="22"/>
          <w:szCs w:val="22"/>
        </w:rPr>
        <w:fldChar w:fldCharType="begin"/>
      </w:r>
      <w:r w:rsidR="00C653FF">
        <w:rPr>
          <w:sz w:val="22"/>
          <w:szCs w:val="22"/>
        </w:rPr>
        <w:instrText xml:space="preserve"> ADDIN EN.CITE &lt;EndNote&gt;&lt;Cite ExcludeAuth="1"&gt;&lt;Author&gt;Júnior&lt;/Author&gt;&lt;Year&gt;2012&lt;/Year&gt;&lt;RecNum&gt;171&lt;/RecNum&gt;&lt;IDText&gt;Preferência por alimentos seguros: estudo de caso do consumo de morango em um município de minas gerais&lt;/IDText&gt;&lt;DisplayText&gt;[70]&lt;/DisplayText&gt;&lt;record&gt;&lt;rec-number&gt;171&lt;/rec-number&gt;&lt;foreign-keys&gt;&lt;key app="EN" db-id="0pstftvvb2s0x4e5tetxztsizs92vtrvp2vx" timestamp="1674160632" guid="d71085e0-8a87-468e-8169-59e576fe746a"&gt;171&lt;/key&gt;&lt;/foreign-keys&gt;&lt;ref-type name="Journal Article"&gt;17&lt;/ref-type&gt;&lt;contributors&gt;&lt;authors&gt;&lt;author&gt;Júnior, Djalma Adão Barbosa&lt;/author&gt;&lt;author&gt;Amorim, Airton Lopes&lt;/author&gt;&lt;author&gt;de Faria, Franciane Rocha&lt;/author&gt;&lt;author&gt;Priore, Silvia Eloiza&lt;/author&gt;&lt;author&gt;Gomes, Marília Fernandes Maciel&lt;/author&gt;&lt;/authors&gt;&lt;/contributors&gt;&lt;titles&gt;&lt;title&gt;Preferência por alimentos seguros: estudo de caso do consumo de morango em um município de minas gerais&lt;/title&gt;&lt;secondary-title&gt;Revista de Economia e Agronegócio&lt;/secondary-title&gt;&lt;/titles&gt;&lt;periodical&gt;&lt;full-title&gt;Revista de Economia e Agronegócio&lt;/full-title&gt;&lt;/periodical&gt;&lt;volume&gt;10&lt;/volume&gt;&lt;number&gt;2&lt;/number&gt;&lt;dates&gt;&lt;year&gt;2012&lt;/year&gt;&lt;/dates&gt;&lt;isbn&gt;2526-5539&lt;/isbn&gt;&lt;urls&gt;&lt;/urls&gt;&lt;/record&gt;&lt;/Cite&gt;&lt;/EndNote&gt;</w:instrText>
      </w:r>
      <w:r w:rsidRPr="00F11B06">
        <w:rPr>
          <w:sz w:val="22"/>
          <w:szCs w:val="22"/>
        </w:rPr>
        <w:fldChar w:fldCharType="separate"/>
      </w:r>
      <w:r w:rsidR="00C653FF">
        <w:rPr>
          <w:noProof/>
          <w:sz w:val="22"/>
          <w:szCs w:val="22"/>
        </w:rPr>
        <w:t>[70]</w:t>
      </w:r>
      <w:r w:rsidRPr="00F11B06">
        <w:rPr>
          <w:sz w:val="22"/>
          <w:szCs w:val="22"/>
        </w:rPr>
        <w:fldChar w:fldCharType="end"/>
      </w:r>
      <w:r w:rsidRPr="00F11B06">
        <w:rPr>
          <w:sz w:val="22"/>
          <w:szCs w:val="22"/>
        </w:rPr>
        <w:t xml:space="preserve"> can be categorized as high </w:t>
      </w:r>
      <w:r w:rsidRPr="00F11B06">
        <w:rPr>
          <w:sz w:val="22"/>
          <w:szCs w:val="22"/>
        </w:rPr>
        <w:fldChar w:fldCharType="begin"/>
      </w:r>
      <w:r w:rsidR="00C653FF">
        <w:rPr>
          <w:sz w:val="22"/>
          <w:szCs w:val="22"/>
        </w:rPr>
        <w:instrText xml:space="preserve"> ADDIN EN.CITE &lt;EndNote&gt;&lt;Cite&gt;&lt;Author&gt;Lima&lt;/Author&gt;&lt;Year&gt;2015&lt;/Year&gt;&lt;RecNum&gt;134&lt;/RecNum&gt;&lt;IDText&gt;Qualidade de morango quanto à segurança&lt;/IDText&gt;&lt;DisplayText&gt;[73]&lt;/DisplayText&gt;&lt;record&gt;&lt;rec-number&gt;134&lt;/rec-number&gt;&lt;foreign-keys&gt;&lt;key app="EN" db-id="0pstftvvb2s0x4e5tetxztsizs92vtrvp2vx" timestamp="1674160631" guid="0c304d57-5b28-4a2a-8ac6-fdbdcf6cd12f"&gt;134&lt;/key&gt;&lt;/foreign-keys&gt;&lt;ref-type name="Journal Article"&gt;17&lt;/ref-type&gt;&lt;contributors&gt;&lt;authors&gt;&lt;author&gt;Lima, Maria Aparecida&lt;/author&gt;&lt;/authors&gt;&lt;/contributors&gt;&lt;titles&gt;&lt;title&gt;Qualidade de morango quanto à segurança&lt;/title&gt;&lt;secondary-title&gt;Vigilância Sanitária em Debate: Sociedade, Ciência &amp;amp; Tecnologia&lt;/secondary-title&gt;&lt;/titles&gt;&lt;periodical&gt;&lt;full-title&gt;Vigilância Sanitária em Debate: Sociedade, Ciência &amp;amp; Tecnologia&lt;/full-title&gt;&lt;/periodical&gt;&lt;pages&gt;50-54&lt;/pages&gt;&lt;volume&gt;3&lt;/volume&gt;&lt;number&gt;4&lt;/number&gt;&lt;dates&gt;&lt;year&gt;2015&lt;/year&gt;&lt;/dates&gt;&lt;isbn&gt;2317-269X&lt;/isbn&gt;&lt;urls&gt;&lt;/urls&gt;&lt;/record&gt;&lt;/Cite&gt;&lt;/EndNote&gt;</w:instrText>
      </w:r>
      <w:r w:rsidRPr="00F11B06">
        <w:rPr>
          <w:sz w:val="22"/>
          <w:szCs w:val="22"/>
        </w:rPr>
        <w:fldChar w:fldCharType="separate"/>
      </w:r>
      <w:r w:rsidR="00C653FF">
        <w:rPr>
          <w:noProof/>
          <w:sz w:val="22"/>
          <w:szCs w:val="22"/>
        </w:rPr>
        <w:t>[73]</w:t>
      </w:r>
      <w:r w:rsidRPr="00F11B06">
        <w:rPr>
          <w:sz w:val="22"/>
          <w:szCs w:val="22"/>
        </w:rPr>
        <w:fldChar w:fldCharType="end"/>
      </w:r>
      <w:r w:rsidRPr="00F11B06">
        <w:rPr>
          <w:sz w:val="22"/>
          <w:szCs w:val="22"/>
        </w:rPr>
        <w:t xml:space="preserve">, second, information from reports by WHO </w:t>
      </w:r>
      <w:r w:rsidRPr="00F11B06">
        <w:rPr>
          <w:sz w:val="22"/>
          <w:szCs w:val="22"/>
        </w:rPr>
        <w:fldChar w:fldCharType="begin"/>
      </w:r>
      <w:r w:rsidR="00C653FF">
        <w:rPr>
          <w:sz w:val="22"/>
          <w:szCs w:val="22"/>
        </w:rPr>
        <w:instrText xml:space="preserve"> ADDIN EN.CITE &lt;EndNote&gt;&lt;Cite ExcludeAuth="1"&gt;&lt;Author&gt;WHO&lt;/Author&gt;&lt;Year&gt;2005&lt;/Year&gt;&lt;RecNum&gt;174&lt;/RecNum&gt;&lt;IDText&gt;The WHO recommended classification of pesticides by hazard and guidelines to classification 2004&lt;/IDText&gt;&lt;DisplayText&gt;[74]&lt;/DisplayText&gt;&lt;record&gt;&lt;rec-number&gt;174&lt;/rec-number&gt;&lt;foreign-keys&gt;&lt;key app="EN" db-id="0pstftvvb2s0x4e5tetxztsizs92vtrvp2vx" timestamp="1674160632" guid="76a55ed9-a2c8-4b32-a96e-de68f806e4b5"&gt;174&lt;/key&gt;&lt;/foreign-keys&gt;&lt;ref-type name="Book"&gt;6&lt;/ref-type&gt;&lt;contributors&gt;&lt;authors&gt;&lt;author&gt;WHO&lt;/author&gt;&lt;/authors&gt;&lt;/contributors&gt;&lt;titles&gt;&lt;title&gt;The WHO recommended classification of pesticides by hazard and guidelines to classification 2004&lt;/title&gt;&lt;/titles&gt;&lt;dates&gt;&lt;year&gt;2005&lt;/year&gt;&lt;/dates&gt;&lt;publisher&gt;World Health Organization&lt;/publisher&gt;&lt;urls&gt;&lt;/urls&gt;&lt;/record&gt;&lt;/Cite&gt;&lt;/EndNote&gt;</w:instrText>
      </w:r>
      <w:r w:rsidRPr="00F11B06">
        <w:rPr>
          <w:sz w:val="22"/>
          <w:szCs w:val="22"/>
        </w:rPr>
        <w:fldChar w:fldCharType="separate"/>
      </w:r>
      <w:r w:rsidR="00C653FF">
        <w:rPr>
          <w:noProof/>
          <w:sz w:val="22"/>
          <w:szCs w:val="22"/>
        </w:rPr>
        <w:t>[74]</w:t>
      </w:r>
      <w:r w:rsidRPr="00F11B06">
        <w:rPr>
          <w:sz w:val="22"/>
          <w:szCs w:val="22"/>
        </w:rPr>
        <w:fldChar w:fldCharType="end"/>
      </w:r>
      <w:r w:rsidRPr="00F11B06">
        <w:rPr>
          <w:sz w:val="22"/>
          <w:szCs w:val="22"/>
        </w:rPr>
        <w:t xml:space="preserve"> and</w:t>
      </w:r>
      <w:r w:rsidR="00CF6520">
        <w:rPr>
          <w:sz w:val="22"/>
          <w:szCs w:val="22"/>
        </w:rPr>
        <w:t xml:space="preserve"> Lewis et al.</w:t>
      </w:r>
      <w:r w:rsidRPr="00F11B06">
        <w:rPr>
          <w:sz w:val="22"/>
          <w:szCs w:val="22"/>
        </w:rPr>
        <w:t xml:space="preserve"> </w:t>
      </w:r>
      <w:r>
        <w:rPr>
          <w:sz w:val="22"/>
          <w:szCs w:val="22"/>
        </w:rPr>
        <w:fldChar w:fldCharType="begin"/>
      </w:r>
      <w:r w:rsidR="00CF6520">
        <w:rPr>
          <w:sz w:val="22"/>
          <w:szCs w:val="22"/>
        </w:rPr>
        <w:instrText xml:space="preserve"> ADDIN EN.CITE &lt;EndNote&gt;&lt;Cite&gt;&lt;Author&gt;Lewis&lt;/Author&gt;&lt;Year&gt;2016&lt;/Year&gt;&lt;RecNum&gt;339&lt;/RecNum&gt;&lt;DisplayText&gt;[75]&lt;/DisplayText&gt;&lt;record&gt;&lt;rec-number&gt;339&lt;/rec-number&gt;&lt;foreign-keys&gt;&lt;key app="EN" db-id="0pstftvvb2s0x4e5tetxztsizs92vtrvp2vx" timestamp="1709569778" guid="55861c5a-3510-47ff-a9e5-b11fdb4a3e93"&gt;339&lt;/key&gt;&lt;/foreign-keys&gt;&lt;ref-type name="Journal Article"&gt;17&lt;/ref-type&gt;&lt;contributors&gt;&lt;authors&gt;&lt;author&gt;Lewis, Kathleen A&lt;/author&gt;&lt;author&gt;Tzilivakis, John&lt;/author&gt;&lt;author&gt;Warner, Douglas J&lt;/author&gt;&lt;author&gt;Green, Andrew&lt;/author&gt;&lt;/authors&gt;&lt;/contributors&gt;&lt;titles&gt;&lt;title&gt;An international database for pesticide risk assessments and management&lt;/title&gt;&lt;secondary-title&gt;Human and Ecological Risk Assessment: An International Journal&lt;/secondary-title&gt;&lt;/titles&gt;&lt;periodical&gt;&lt;full-title&gt;Human and Ecological Risk Assessment: An International Journal&lt;/full-title&gt;&lt;/periodical&gt;&lt;pages&gt;1050-1064&lt;/pages&gt;&lt;volume&gt;22&lt;/volume&gt;&lt;number&gt;4&lt;/number&gt;&lt;dates&gt;&lt;year&gt;2016&lt;/year&gt;&lt;/dates&gt;&lt;isbn&gt;1080-7039&lt;/isbn&gt;&lt;urls&gt;&lt;/urls&gt;&lt;/record&gt;&lt;/Cite&gt;&lt;/EndNote&gt;</w:instrText>
      </w:r>
      <w:r>
        <w:rPr>
          <w:sz w:val="22"/>
          <w:szCs w:val="22"/>
        </w:rPr>
        <w:fldChar w:fldCharType="separate"/>
      </w:r>
      <w:r w:rsidR="00CF6520">
        <w:rPr>
          <w:noProof/>
          <w:sz w:val="22"/>
          <w:szCs w:val="22"/>
        </w:rPr>
        <w:t>[75]</w:t>
      </w:r>
      <w:r>
        <w:rPr>
          <w:sz w:val="22"/>
          <w:szCs w:val="22"/>
        </w:rPr>
        <w:fldChar w:fldCharType="end"/>
      </w:r>
      <w:r w:rsidRPr="00F11B06">
        <w:rPr>
          <w:sz w:val="22"/>
          <w:szCs w:val="22"/>
        </w:rPr>
        <w:t xml:space="preserve"> confirm that the risks to human health, beneficial insects, biodiversity and birds reported in Gallardo and Wang </w:t>
      </w:r>
      <w:r w:rsidRPr="00F11B06">
        <w:rPr>
          <w:sz w:val="22"/>
          <w:szCs w:val="22"/>
        </w:rPr>
        <w:fldChar w:fldCharType="begin"/>
      </w:r>
      <w:r w:rsidR="00C653FF">
        <w:rPr>
          <w:sz w:val="22"/>
          <w:szCs w:val="22"/>
        </w:rPr>
        <w:instrText xml:space="preserve"> ADDIN EN.CITE &lt;EndNote&gt;&lt;Cite ExcludeAuth="1"&gt;&lt;Author&gt;Gallardo&lt;/Author&gt;&lt;Year&gt;2013&lt;/Year&gt;&lt;RecNum&gt;146&lt;/RecNum&gt;&lt;IDText&gt;Willingness to pay for pesticides&amp;apos; environmental features and social desirability bias: The case of apple and pear growers&lt;/IDText&gt;&lt;DisplayText&gt;[71]&lt;/DisplayText&gt;&lt;record&gt;&lt;rec-number&gt;146&lt;/rec-number&gt;&lt;foreign-keys&gt;&lt;key app="EN" db-id="0pstftvvb2s0x4e5tetxztsizs92vtrvp2vx" timestamp="1674160632" guid="20c439f1-8e17-4284-b3a4-1f3783339dcb"&gt;146&lt;/key&gt;&lt;/foreign-keys&gt;&lt;ref-type name="Journal Article"&gt;17&lt;/ref-type&gt;&lt;contributors&gt;&lt;authors&gt;&lt;author&gt;Gallardo, R Karina&lt;/author&gt;&lt;author&gt;Wang, Qianqian&lt;/author&gt;&lt;/authors&gt;&lt;/contributors&gt;&lt;titles&gt;&lt;title&gt;Willingness to pay for pesticides&amp;apos; environmental features and social desirability bias: The case of apple and pear growers&lt;/title&gt;&lt;secondary-title&gt;Journal of Agricultural and Resource Economics&lt;/secondary-title&gt;&lt;/titles&gt;&lt;periodical&gt;&lt;full-title&gt;Journal of Agricultural and Resource Economics&lt;/full-title&gt;&lt;/periodical&gt;&lt;pages&gt;124-139&lt;/pages&gt;&lt;dates&gt;&lt;year&gt;2013&lt;/year&gt;&lt;/dates&gt;&lt;isbn&gt;1068-5502&lt;/isbn&gt;&lt;urls&gt;&lt;/urls&gt;&lt;/record&gt;&lt;/Cite&gt;&lt;/EndNote&gt;</w:instrText>
      </w:r>
      <w:r w:rsidRPr="00F11B06">
        <w:rPr>
          <w:sz w:val="22"/>
          <w:szCs w:val="22"/>
        </w:rPr>
        <w:fldChar w:fldCharType="separate"/>
      </w:r>
      <w:r w:rsidR="00C653FF">
        <w:rPr>
          <w:noProof/>
          <w:sz w:val="22"/>
          <w:szCs w:val="22"/>
        </w:rPr>
        <w:t>[71]</w:t>
      </w:r>
      <w:r w:rsidRPr="00F11B06">
        <w:rPr>
          <w:sz w:val="22"/>
          <w:szCs w:val="22"/>
        </w:rPr>
        <w:fldChar w:fldCharType="end"/>
      </w:r>
      <w:r w:rsidRPr="00F11B06">
        <w:rPr>
          <w:sz w:val="22"/>
          <w:szCs w:val="22"/>
        </w:rPr>
        <w:t xml:space="preserve"> were high, and third, the 2019 report from the Peruvian SENASA </w:t>
      </w:r>
      <w:r w:rsidRPr="00F11B06">
        <w:rPr>
          <w:sz w:val="22"/>
          <w:szCs w:val="22"/>
        </w:rPr>
        <w:fldChar w:fldCharType="begin"/>
      </w:r>
      <w:r w:rsidR="00C653FF">
        <w:rPr>
          <w:sz w:val="22"/>
          <w:szCs w:val="22"/>
        </w:rPr>
        <w:instrText xml:space="preserve"> ADDIN EN.CITE &lt;EndNote&gt;&lt;Cite&gt;&lt;Author&gt;Servicio Nacional de Sanidad Agraria&lt;/Author&gt;&lt;Year&gt;2019&lt;/Year&gt;&lt;RecNum&gt;285&lt;/RecNum&gt;&lt;DisplayText&gt;[76]&lt;/DisplayText&gt;&lt;record&gt;&lt;rec-number&gt;285&lt;/rec-number&gt;&lt;foreign-keys&gt;&lt;key app="EN" db-id="0pstftvvb2s0x4e5tetxztsizs92vtrvp2vx" timestamp="1684141676" guid="4c4c6029-69cd-4b15-ad7b-5ec8e2bde7a3"&gt;285&lt;/key&gt;&lt;/foreign-keys&gt;&lt;ref-type name="Report"&gt;27&lt;/ref-type&gt;&lt;contributors&gt;&lt;authors&gt;&lt;author&gt;Servicio Nacional de Sanidad Agraria,&lt;/author&gt;&lt;/authors&gt;&lt;subsidiary-authors&gt;&lt;author&gt;Subdireccion de Inocuidad Agroalimentaria/DIAIA&lt;/author&gt;&lt;/subsidiary-authors&gt;&lt;/contributors&gt;&lt;titles&gt;&lt;title&gt;Informe del Monitoreo de residuos quimicos y otros contaminantes en Alimentos Agropecuarios Primarios, año 2019&lt;/title&gt;&lt;secondary-title&gt;Informe del Monitoreo de contaminantes en Alimentos Agropecuarios Primarios, año 2019&lt;/secondary-title&gt;&lt;/titles&gt;&lt;pages&gt;1-41&lt;/pages&gt;&lt;dates&gt;&lt;year&gt;2019&lt;/year&gt;&lt;/dates&gt;&lt;pub-location&gt;senasa.gob.pe&lt;/pub-location&gt;&lt;publisher&gt;Ministerio de Agricultura y Riego Peru&lt;/publisher&gt;&lt;urls&gt;&lt;related-urls&gt;&lt;url&gt;https://www.senasa.gob.pe/senasa/descargasarchivos/2017/08/INFORME-PLAN-DE-MONITOREO-2019-FINAL.pdf&lt;/url&gt;&lt;/related-urls&gt;&lt;/urls&gt;&lt;/record&gt;&lt;/Cite&gt;&lt;/EndNote&gt;</w:instrText>
      </w:r>
      <w:r w:rsidRPr="00F11B06">
        <w:rPr>
          <w:sz w:val="22"/>
          <w:szCs w:val="22"/>
        </w:rPr>
        <w:fldChar w:fldCharType="separate"/>
      </w:r>
      <w:r w:rsidR="00C653FF">
        <w:rPr>
          <w:noProof/>
          <w:sz w:val="22"/>
          <w:szCs w:val="22"/>
        </w:rPr>
        <w:t>[76]</w:t>
      </w:r>
      <w:r w:rsidRPr="00F11B06">
        <w:rPr>
          <w:sz w:val="22"/>
          <w:szCs w:val="22"/>
        </w:rPr>
        <w:fldChar w:fldCharType="end"/>
      </w:r>
      <w:r w:rsidRPr="00F11B06">
        <w:rPr>
          <w:sz w:val="22"/>
          <w:szCs w:val="22"/>
        </w:rPr>
        <w:t xml:space="preserve"> allowed to classify the risks to consumers’ health reported in </w:t>
      </w:r>
      <w:r w:rsidR="00B536BB">
        <w:rPr>
          <w:sz w:val="22"/>
          <w:szCs w:val="22"/>
        </w:rPr>
        <w:t xml:space="preserve">Garcia-Yi </w:t>
      </w:r>
      <w:r w:rsidRPr="00F11B06">
        <w:rPr>
          <w:sz w:val="22"/>
          <w:szCs w:val="22"/>
        </w:rPr>
        <w:fldChar w:fldCharType="begin"/>
      </w:r>
      <w:r w:rsidR="00C653FF">
        <w:rPr>
          <w:sz w:val="22"/>
          <w:szCs w:val="22"/>
        </w:rPr>
        <w:instrText xml:space="preserve"> ADDIN EN.CITE &lt;EndNote&gt;&lt;Cite&gt;&lt;Author&gt;Garcia-Yi&lt;/Author&gt;&lt;Year&gt;2015&lt;/Year&gt;&lt;RecNum&gt;281&lt;/RecNum&gt;&lt;DisplayText&gt;[72]&lt;/DisplayText&gt;&lt;record&gt;&lt;rec-number&gt;281&lt;/rec-number&gt;&lt;foreign-keys&gt;&lt;key app="EN" db-id="0pstftvvb2s0x4e5tetxztsizs92vtrvp2vx" timestamp="1684080294" guid="922330e1-b1de-43f9-b630-407d7faca542"&gt;281&lt;/key&gt;&lt;/foreign-keys&gt;&lt;ref-type name="Journal Article"&gt;17&lt;/ref-type&gt;&lt;contributors&gt;&lt;authors&gt;&lt;author&gt;Garcia-Yi, Jaqueline&lt;/author&gt;&lt;/authors&gt;&lt;/contributors&gt;&lt;titles&gt;&lt;title&gt;Willingness to pay for organic and Fairtrade certified yellow chili peppers: Evidence from middle and high income districts in Lima, Peru&lt;/title&gt;&lt;secondary-title&gt;British Food Journal&lt;/secondary-title&gt;&lt;/titles&gt;&lt;periodical&gt;&lt;full-title&gt;British Food Journal&lt;/full-title&gt;&lt;/periodical&gt;&lt;pages&gt;929-942&lt;/pages&gt;&lt;volume&gt;117&lt;/volume&gt;&lt;number&gt;2&lt;/number&gt;&lt;dates&gt;&lt;year&gt;2015&lt;/year&gt;&lt;/dates&gt;&lt;isbn&gt;0007-070X&lt;/isbn&gt;&lt;urls&gt;&lt;/urls&gt;&lt;/record&gt;&lt;/Cite&gt;&lt;/EndNote&gt;</w:instrText>
      </w:r>
      <w:r w:rsidRPr="00F11B06">
        <w:rPr>
          <w:sz w:val="22"/>
          <w:szCs w:val="22"/>
        </w:rPr>
        <w:fldChar w:fldCharType="separate"/>
      </w:r>
      <w:r w:rsidR="00C653FF">
        <w:rPr>
          <w:noProof/>
          <w:sz w:val="22"/>
          <w:szCs w:val="22"/>
        </w:rPr>
        <w:t>[72]</w:t>
      </w:r>
      <w:r w:rsidRPr="00F11B06">
        <w:rPr>
          <w:sz w:val="22"/>
          <w:szCs w:val="22"/>
        </w:rPr>
        <w:fldChar w:fldCharType="end"/>
      </w:r>
      <w:r w:rsidRPr="00F11B06">
        <w:rPr>
          <w:sz w:val="22"/>
          <w:szCs w:val="22"/>
        </w:rPr>
        <w:t xml:space="preserve"> as high.</w:t>
      </w:r>
    </w:p>
    <w:p w14:paraId="3DA82EB6" w14:textId="77777777" w:rsidR="00D87925" w:rsidRPr="00F11B06" w:rsidRDefault="00D87925" w:rsidP="00D87925">
      <w:pPr>
        <w:pStyle w:val="ListParagraph"/>
        <w:tabs>
          <w:tab w:val="left" w:pos="851"/>
        </w:tabs>
        <w:spacing w:line="480" w:lineRule="auto"/>
        <w:ind w:left="0"/>
        <w:contextualSpacing w:val="0"/>
        <w:rPr>
          <w:sz w:val="22"/>
          <w:szCs w:val="22"/>
        </w:rPr>
      </w:pPr>
    </w:p>
    <w:p w14:paraId="7814D966" w14:textId="3E3EC848" w:rsidR="00D87925" w:rsidRPr="00A260DF" w:rsidRDefault="00D87925" w:rsidP="00D87925">
      <w:pPr>
        <w:pStyle w:val="Caption"/>
        <w:keepNext/>
        <w:spacing w:after="0" w:line="480" w:lineRule="auto"/>
        <w:rPr>
          <w:i w:val="0"/>
          <w:iCs w:val="0"/>
          <w:color w:val="auto"/>
          <w:sz w:val="22"/>
          <w:szCs w:val="22"/>
        </w:rPr>
      </w:pPr>
      <w:r w:rsidRPr="00A260DF">
        <w:rPr>
          <w:i w:val="0"/>
          <w:iCs w:val="0"/>
          <w:color w:val="auto"/>
          <w:sz w:val="22"/>
          <w:szCs w:val="22"/>
        </w:rPr>
        <w:t xml:space="preserve">Lastly, it should be noted that it is likely that Florax et al. </w:t>
      </w:r>
      <w:r w:rsidRPr="00A260DF">
        <w:rPr>
          <w:i w:val="0"/>
          <w:iCs w:val="0"/>
          <w:color w:val="auto"/>
          <w:sz w:val="22"/>
          <w:szCs w:val="22"/>
        </w:rPr>
        <w:fldChar w:fldCharType="begin"/>
      </w:r>
      <w:r w:rsidR="00C653FF">
        <w:rPr>
          <w:i w:val="0"/>
          <w:iCs w:val="0"/>
          <w:color w:val="auto"/>
          <w:sz w:val="22"/>
          <w:szCs w:val="22"/>
        </w:rPr>
        <w:instrText xml:space="preserve"> ADDIN EN.CITE &lt;EndNote&gt;&lt;Cite ExcludeAuth="1"&gt;&lt;Author&gt;Florax&lt;/Author&gt;&lt;Year&gt;2005&lt;/Year&gt;&lt;RecNum&gt;0&lt;/RecNum&gt;&lt;IDText&gt;A meta-analysis of the willingness to pay for reductions in pesticide risk exposure&lt;/IDText&gt;&lt;DisplayText&gt;[33]&lt;/DisplayText&gt;&lt;record&gt;&lt;isbn&gt;0165-1587&amp;#xD;1464-3618&lt;/isbn&gt;&lt;titles&gt;&lt;title&gt;A meta-analysis of the willingness to pay for reductions in pesticide risk exposure&lt;/title&gt;&lt;secondary-title&gt;European Review of Agricultural Economics&lt;/secondary-title&gt;&lt;/titles&gt;&lt;pages&gt;441-467&lt;/pages&gt;&lt;number&gt;4&lt;/number&gt;&lt;contributors&gt;&lt;authors&gt;&lt;author&gt;Florax, R. J. G. M.&lt;/author&gt;&lt;author&gt;Travisi, C. M.&lt;/author&gt;&lt;author&gt;Nijkamp, P.&lt;/author&gt;&lt;/authors&gt;&lt;/contributors&gt;&lt;section&gt;441&lt;/section&gt;&lt;added-date format="utc"&gt;1633012639&lt;/added-date&gt;&lt;ref-type name="Journal Article"&gt;17&lt;/ref-type&gt;&lt;dates&gt;&lt;year&gt;2005&lt;/year&gt;&lt;/dates&gt;&lt;rec-number&gt;16&lt;/rec-number&gt;&lt;last-updated-date format="utc"&gt;1633534253&lt;/last-updated-date&gt;&lt;electronic-resource-num&gt;10.1093/erae/jbi025&lt;/electronic-resource-num&gt;&lt;volume&gt;32&lt;/volume&gt;&lt;/record&gt;&lt;/Cite&gt;&lt;/EndNote&gt;</w:instrText>
      </w:r>
      <w:r w:rsidRPr="00A260DF">
        <w:rPr>
          <w:i w:val="0"/>
          <w:iCs w:val="0"/>
          <w:color w:val="auto"/>
          <w:sz w:val="22"/>
          <w:szCs w:val="22"/>
        </w:rPr>
        <w:fldChar w:fldCharType="separate"/>
      </w:r>
      <w:r w:rsidR="00C653FF">
        <w:rPr>
          <w:i w:val="0"/>
          <w:iCs w:val="0"/>
          <w:noProof/>
          <w:color w:val="auto"/>
          <w:sz w:val="22"/>
          <w:szCs w:val="22"/>
        </w:rPr>
        <w:t>[33]</w:t>
      </w:r>
      <w:r w:rsidRPr="00A260DF">
        <w:rPr>
          <w:i w:val="0"/>
          <w:iCs w:val="0"/>
          <w:color w:val="auto"/>
          <w:sz w:val="22"/>
          <w:szCs w:val="22"/>
        </w:rPr>
        <w:fldChar w:fldCharType="end"/>
      </w:r>
      <w:r w:rsidRPr="00A260DF">
        <w:rPr>
          <w:i w:val="0"/>
          <w:iCs w:val="0"/>
          <w:color w:val="auto"/>
          <w:sz w:val="22"/>
          <w:szCs w:val="22"/>
        </w:rPr>
        <w:t xml:space="preserve"> classified </w:t>
      </w:r>
      <w:proofErr w:type="spellStart"/>
      <w:r w:rsidRPr="00A260DF">
        <w:rPr>
          <w:i w:val="0"/>
          <w:iCs w:val="0"/>
          <w:color w:val="auto"/>
          <w:sz w:val="22"/>
          <w:szCs w:val="22"/>
        </w:rPr>
        <w:t>Cuyno</w:t>
      </w:r>
      <w:proofErr w:type="spellEnd"/>
      <w:r w:rsidR="008D5AD1">
        <w:rPr>
          <w:i w:val="0"/>
          <w:iCs w:val="0"/>
          <w:color w:val="auto"/>
          <w:sz w:val="22"/>
          <w:szCs w:val="22"/>
        </w:rPr>
        <w:t xml:space="preserve"> et al.</w:t>
      </w:r>
      <w:r w:rsidRPr="00A260DF">
        <w:rPr>
          <w:i w:val="0"/>
          <w:iCs w:val="0"/>
          <w:color w:val="auto"/>
          <w:sz w:val="22"/>
          <w:szCs w:val="22"/>
        </w:rPr>
        <w:t xml:space="preserve">’s </w:t>
      </w:r>
      <w:r w:rsidRPr="00A260DF">
        <w:rPr>
          <w:i w:val="0"/>
          <w:iCs w:val="0"/>
          <w:color w:val="auto"/>
          <w:sz w:val="22"/>
          <w:szCs w:val="22"/>
        </w:rPr>
        <w:fldChar w:fldCharType="begin"/>
      </w:r>
      <w:r w:rsidR="00C653FF">
        <w:rPr>
          <w:i w:val="0"/>
          <w:iCs w:val="0"/>
          <w:color w:val="auto"/>
          <w:sz w:val="22"/>
          <w:szCs w:val="22"/>
        </w:rPr>
        <w:instrText xml:space="preserve"> ADDIN EN.CITE &lt;EndNote&gt;&lt;Cite ExcludeAuth="1"&gt;&lt;Author&gt;Cuyno&lt;/Author&gt;&lt;Year&gt;2001&lt;/Year&gt;&lt;RecNum&gt;147&lt;/RecNum&gt;&lt;IDText&gt;Economic analysis of environmental benefits of integrated pest management: a Philippine case study&lt;/IDText&gt;&lt;DisplayText&gt;[39]&lt;/DisplayText&gt;&lt;record&gt;&lt;rec-number&gt;147&lt;/rec-number&gt;&lt;foreign-keys&gt;&lt;key app="EN" db-id="0pstftvvb2s0x4e5tetxztsizs92vtrvp2vx" timestamp="1674160632" guid="6ef30ec8-fccd-4b8f-9e23-ad7b3bc7a185"&gt;147&lt;/key&gt;&lt;/foreign-keys&gt;&lt;ref-type name="Journal Article"&gt;17&lt;/ref-type&gt;&lt;contributors&gt;&lt;authors&gt;&lt;author&gt;Cuyno, Leah CM&lt;/author&gt;&lt;author&gt;Norton, George W&lt;/author&gt;&lt;author&gt;Rola, Agnes&lt;/author&gt;&lt;/authors&gt;&lt;/contributors&gt;&lt;titles&gt;&lt;title&gt;Economic analysis of environmental benefits of integrated pest management: a Philippine case study&lt;/title&gt;&lt;secondary-title&gt;Agricultural Economics&lt;/secondary-title&gt;&lt;/titles&gt;&lt;periodical&gt;&lt;full-title&gt;Agricultural Economics&lt;/full-title&gt;&lt;/periodical&gt;&lt;pages&gt;227-233&lt;/pages&gt;&lt;volume&gt;25&lt;/volume&gt;&lt;number&gt;2-3&lt;/number&gt;&lt;dates&gt;&lt;year&gt;2001&lt;/year&gt;&lt;/dates&gt;&lt;isbn&gt;0169-5150&lt;/isbn&gt;&lt;urls&gt;&lt;/urls&gt;&lt;/record&gt;&lt;/Cite&gt;&lt;/EndNote&gt;</w:instrText>
      </w:r>
      <w:r w:rsidRPr="00A260DF">
        <w:rPr>
          <w:i w:val="0"/>
          <w:iCs w:val="0"/>
          <w:color w:val="auto"/>
          <w:sz w:val="22"/>
          <w:szCs w:val="22"/>
        </w:rPr>
        <w:fldChar w:fldCharType="separate"/>
      </w:r>
      <w:r w:rsidR="00C653FF">
        <w:rPr>
          <w:i w:val="0"/>
          <w:iCs w:val="0"/>
          <w:noProof/>
          <w:color w:val="auto"/>
          <w:sz w:val="22"/>
          <w:szCs w:val="22"/>
        </w:rPr>
        <w:t>[39]</w:t>
      </w:r>
      <w:r w:rsidRPr="00A260DF">
        <w:rPr>
          <w:i w:val="0"/>
          <w:iCs w:val="0"/>
          <w:color w:val="auto"/>
          <w:sz w:val="22"/>
          <w:szCs w:val="22"/>
        </w:rPr>
        <w:fldChar w:fldCharType="end"/>
      </w:r>
      <w:r w:rsidRPr="00A260DF">
        <w:rPr>
          <w:i w:val="0"/>
          <w:iCs w:val="0"/>
          <w:color w:val="auto"/>
          <w:sz w:val="22"/>
          <w:szCs w:val="22"/>
        </w:rPr>
        <w:t xml:space="preserve"> “aquatic organisms” WTP value as surface water. Instead, this meta-analysis categorized it as aquatic organisms.</w:t>
      </w:r>
    </w:p>
    <w:p w14:paraId="52E523BA" w14:textId="77777777" w:rsidR="00D87925" w:rsidRDefault="00D87925" w:rsidP="00D87925">
      <w:pPr>
        <w:spacing w:after="160" w:line="259" w:lineRule="auto"/>
      </w:pPr>
      <w:r>
        <w:br w:type="page"/>
      </w:r>
    </w:p>
    <w:p w14:paraId="65B779DF" w14:textId="3B130F0A" w:rsidR="00E30685" w:rsidRPr="00EA2CB2" w:rsidRDefault="00E30685" w:rsidP="00EA2CB2">
      <w:pPr>
        <w:pStyle w:val="Caption"/>
        <w:spacing w:after="0" w:line="480" w:lineRule="auto"/>
        <w:rPr>
          <w:i w:val="0"/>
          <w:iCs w:val="0"/>
          <w:color w:val="000000" w:themeColor="text1"/>
          <w:sz w:val="22"/>
          <w:szCs w:val="22"/>
        </w:rPr>
      </w:pPr>
      <w:r w:rsidRPr="00EA2CB2">
        <w:rPr>
          <w:i w:val="0"/>
          <w:iCs w:val="0"/>
          <w:color w:val="000000" w:themeColor="text1"/>
          <w:sz w:val="22"/>
          <w:szCs w:val="22"/>
        </w:rPr>
        <w:lastRenderedPageBreak/>
        <w:t xml:space="preserve">Table </w:t>
      </w:r>
      <w:r w:rsidR="00EA2CB2">
        <w:rPr>
          <w:i w:val="0"/>
          <w:iCs w:val="0"/>
          <w:color w:val="000000" w:themeColor="text1"/>
          <w:sz w:val="22"/>
          <w:szCs w:val="22"/>
        </w:rPr>
        <w:t>1</w:t>
      </w:r>
      <w:r w:rsidRPr="00EA2CB2">
        <w:rPr>
          <w:i w:val="0"/>
          <w:iCs w:val="0"/>
          <w:color w:val="000000" w:themeColor="text1"/>
          <w:sz w:val="22"/>
          <w:szCs w:val="22"/>
        </w:rPr>
        <w:t>: Univariate summary statistics (average WTP per person per year in 2021 US$)</w:t>
      </w:r>
    </w:p>
    <w:tbl>
      <w:tblPr>
        <w:tblpPr w:leftFromText="180" w:rightFromText="180" w:vertAnchor="text" w:horzAnchor="margin" w:tblpY="-1177"/>
        <w:tblW w:w="7152" w:type="dxa"/>
        <w:tblLook w:val="04A0" w:firstRow="1" w:lastRow="0" w:firstColumn="1" w:lastColumn="0" w:noHBand="0" w:noVBand="1"/>
      </w:tblPr>
      <w:tblGrid>
        <w:gridCol w:w="3389"/>
        <w:gridCol w:w="1157"/>
        <w:gridCol w:w="804"/>
        <w:gridCol w:w="858"/>
        <w:gridCol w:w="944"/>
      </w:tblGrid>
      <w:tr w:rsidR="00E30685" w:rsidRPr="007B6369" w14:paraId="1338C98B" w14:textId="77777777" w:rsidTr="00E730DF">
        <w:trPr>
          <w:trHeight w:val="80"/>
        </w:trPr>
        <w:tc>
          <w:tcPr>
            <w:tcW w:w="3389" w:type="dxa"/>
            <w:tcBorders>
              <w:top w:val="single" w:sz="4" w:space="0" w:color="auto"/>
              <w:bottom w:val="single" w:sz="4" w:space="0" w:color="auto"/>
            </w:tcBorders>
            <w:shd w:val="clear" w:color="auto" w:fill="auto"/>
            <w:noWrap/>
            <w:vAlign w:val="bottom"/>
            <w:hideMark/>
          </w:tcPr>
          <w:p w14:paraId="4ACB4CCF" w14:textId="77777777" w:rsidR="00E30685" w:rsidRPr="00985E84" w:rsidRDefault="00E30685" w:rsidP="00E730DF">
            <w:pPr>
              <w:rPr>
                <w:rFonts w:ascii="Corbel" w:hAnsi="Corbel" w:cs="Calibri"/>
                <w:b/>
                <w:bCs/>
                <w:sz w:val="18"/>
                <w:szCs w:val="18"/>
              </w:rPr>
            </w:pPr>
            <w:r w:rsidRPr="00985E84">
              <w:rPr>
                <w:rFonts w:ascii="Corbel" w:hAnsi="Corbel" w:cs="Calibri"/>
                <w:b/>
                <w:bCs/>
                <w:sz w:val="18"/>
                <w:szCs w:val="18"/>
              </w:rPr>
              <w:lastRenderedPageBreak/>
              <w:t> </w:t>
            </w:r>
          </w:p>
        </w:tc>
        <w:tc>
          <w:tcPr>
            <w:tcW w:w="1157" w:type="dxa"/>
            <w:tcBorders>
              <w:top w:val="single" w:sz="4" w:space="0" w:color="auto"/>
              <w:bottom w:val="single" w:sz="4" w:space="0" w:color="auto"/>
            </w:tcBorders>
            <w:shd w:val="clear" w:color="auto" w:fill="auto"/>
            <w:noWrap/>
            <w:vAlign w:val="center"/>
            <w:hideMark/>
          </w:tcPr>
          <w:p w14:paraId="744E7125" w14:textId="77777777" w:rsidR="00E30685" w:rsidRPr="00985E84" w:rsidRDefault="00E30685" w:rsidP="00E730DF">
            <w:pPr>
              <w:jc w:val="center"/>
              <w:rPr>
                <w:rFonts w:ascii="Corbel" w:hAnsi="Corbel" w:cs="Calibri"/>
                <w:b/>
                <w:bCs/>
                <w:sz w:val="18"/>
                <w:szCs w:val="18"/>
              </w:rPr>
            </w:pPr>
            <w:r w:rsidRPr="00985E84">
              <w:rPr>
                <w:rFonts w:ascii="Corbel" w:hAnsi="Corbel" w:cs="Calibri"/>
                <w:b/>
                <w:bCs/>
                <w:sz w:val="18"/>
                <w:szCs w:val="18"/>
              </w:rPr>
              <w:t>No. of obs.</w:t>
            </w:r>
          </w:p>
        </w:tc>
        <w:tc>
          <w:tcPr>
            <w:tcW w:w="804" w:type="dxa"/>
            <w:tcBorders>
              <w:top w:val="single" w:sz="4" w:space="0" w:color="auto"/>
              <w:bottom w:val="single" w:sz="4" w:space="0" w:color="auto"/>
            </w:tcBorders>
            <w:shd w:val="clear" w:color="auto" w:fill="auto"/>
            <w:noWrap/>
            <w:vAlign w:val="center"/>
            <w:hideMark/>
          </w:tcPr>
          <w:p w14:paraId="00579161" w14:textId="77777777" w:rsidR="00E30685" w:rsidRPr="00985E84" w:rsidRDefault="00E30685" w:rsidP="00E730DF">
            <w:pPr>
              <w:jc w:val="center"/>
              <w:rPr>
                <w:rFonts w:ascii="Corbel" w:hAnsi="Corbel" w:cs="Calibri"/>
                <w:b/>
                <w:bCs/>
                <w:sz w:val="18"/>
                <w:szCs w:val="18"/>
              </w:rPr>
            </w:pPr>
            <w:r w:rsidRPr="00985E84">
              <w:rPr>
                <w:rFonts w:ascii="Corbel" w:hAnsi="Corbel" w:cs="Calibri"/>
                <w:b/>
                <w:bCs/>
                <w:sz w:val="18"/>
                <w:szCs w:val="18"/>
              </w:rPr>
              <w:t>Mean</w:t>
            </w:r>
          </w:p>
        </w:tc>
        <w:tc>
          <w:tcPr>
            <w:tcW w:w="858" w:type="dxa"/>
            <w:tcBorders>
              <w:top w:val="single" w:sz="4" w:space="0" w:color="auto"/>
              <w:bottom w:val="single" w:sz="4" w:space="0" w:color="auto"/>
            </w:tcBorders>
            <w:shd w:val="clear" w:color="auto" w:fill="auto"/>
            <w:noWrap/>
            <w:vAlign w:val="center"/>
            <w:hideMark/>
          </w:tcPr>
          <w:p w14:paraId="3A70F029" w14:textId="77777777" w:rsidR="00E30685" w:rsidRPr="00985E84" w:rsidRDefault="00E30685" w:rsidP="00E730DF">
            <w:pPr>
              <w:jc w:val="center"/>
              <w:rPr>
                <w:rFonts w:ascii="Corbel" w:hAnsi="Corbel" w:cs="Calibri"/>
                <w:b/>
                <w:bCs/>
                <w:sz w:val="18"/>
                <w:szCs w:val="18"/>
              </w:rPr>
            </w:pPr>
            <w:r w:rsidRPr="00985E84">
              <w:rPr>
                <w:rFonts w:ascii="Corbel" w:hAnsi="Corbel" w:cs="Calibri"/>
                <w:b/>
                <w:bCs/>
                <w:sz w:val="18"/>
                <w:szCs w:val="18"/>
              </w:rPr>
              <w:t>St. Dev.</w:t>
            </w:r>
          </w:p>
        </w:tc>
        <w:tc>
          <w:tcPr>
            <w:tcW w:w="944" w:type="dxa"/>
            <w:tcBorders>
              <w:top w:val="single" w:sz="4" w:space="0" w:color="auto"/>
              <w:bottom w:val="single" w:sz="4" w:space="0" w:color="auto"/>
            </w:tcBorders>
            <w:shd w:val="clear" w:color="auto" w:fill="auto"/>
            <w:noWrap/>
            <w:vAlign w:val="center"/>
            <w:hideMark/>
          </w:tcPr>
          <w:p w14:paraId="19BA1809" w14:textId="77777777" w:rsidR="00E30685" w:rsidRPr="00985E84" w:rsidRDefault="00E30685" w:rsidP="00E730DF">
            <w:pPr>
              <w:jc w:val="center"/>
              <w:rPr>
                <w:rFonts w:ascii="Corbel" w:hAnsi="Corbel" w:cs="Calibri"/>
                <w:b/>
                <w:bCs/>
                <w:sz w:val="18"/>
                <w:szCs w:val="18"/>
              </w:rPr>
            </w:pPr>
            <w:r w:rsidRPr="00985E84">
              <w:rPr>
                <w:rFonts w:ascii="Corbel" w:hAnsi="Corbel" w:cs="Calibri"/>
                <w:b/>
                <w:bCs/>
                <w:sz w:val="18"/>
                <w:szCs w:val="18"/>
              </w:rPr>
              <w:t>Median</w:t>
            </w:r>
          </w:p>
        </w:tc>
      </w:tr>
      <w:tr w:rsidR="00E30685" w14:paraId="5CA48449" w14:textId="77777777" w:rsidTr="00E730DF">
        <w:trPr>
          <w:trHeight w:val="300"/>
        </w:trPr>
        <w:tc>
          <w:tcPr>
            <w:tcW w:w="3389" w:type="dxa"/>
            <w:tcBorders>
              <w:top w:val="single" w:sz="4" w:space="0" w:color="auto"/>
              <w:bottom w:val="single" w:sz="4" w:space="0" w:color="auto"/>
            </w:tcBorders>
            <w:shd w:val="clear" w:color="auto" w:fill="auto"/>
            <w:noWrap/>
            <w:vAlign w:val="center"/>
            <w:hideMark/>
          </w:tcPr>
          <w:p w14:paraId="04989CC9" w14:textId="77777777" w:rsidR="00E30685" w:rsidRPr="00985E84" w:rsidRDefault="00E30685" w:rsidP="00E730DF">
            <w:pPr>
              <w:rPr>
                <w:rFonts w:ascii="Corbel" w:hAnsi="Corbel" w:cs="Calibri"/>
                <w:b/>
                <w:bCs/>
                <w:sz w:val="18"/>
                <w:szCs w:val="18"/>
              </w:rPr>
            </w:pPr>
            <w:r w:rsidRPr="00985E84">
              <w:rPr>
                <w:rFonts w:ascii="Corbel" w:hAnsi="Corbel" w:cs="Calibri"/>
                <w:b/>
                <w:bCs/>
                <w:sz w:val="18"/>
                <w:szCs w:val="18"/>
              </w:rPr>
              <w:t xml:space="preserve">Complete sample of observations </w:t>
            </w:r>
          </w:p>
        </w:tc>
        <w:tc>
          <w:tcPr>
            <w:tcW w:w="1157" w:type="dxa"/>
            <w:tcBorders>
              <w:top w:val="single" w:sz="4" w:space="0" w:color="auto"/>
              <w:bottom w:val="single" w:sz="4" w:space="0" w:color="auto"/>
            </w:tcBorders>
            <w:shd w:val="clear" w:color="auto" w:fill="auto"/>
            <w:noWrap/>
            <w:vAlign w:val="center"/>
            <w:hideMark/>
          </w:tcPr>
          <w:p w14:paraId="6DC382D7" w14:textId="77777777" w:rsidR="00E30685" w:rsidRDefault="00E30685" w:rsidP="00E730DF">
            <w:pPr>
              <w:jc w:val="center"/>
              <w:rPr>
                <w:rFonts w:ascii="Corbel" w:hAnsi="Corbel" w:cs="Calibri"/>
                <w:sz w:val="18"/>
                <w:szCs w:val="18"/>
              </w:rPr>
            </w:pPr>
            <w:r>
              <w:rPr>
                <w:rFonts w:ascii="Corbel" w:hAnsi="Corbel" w:cs="Calibri"/>
                <w:sz w:val="18"/>
                <w:szCs w:val="18"/>
              </w:rPr>
              <w:t>302</w:t>
            </w:r>
          </w:p>
        </w:tc>
        <w:tc>
          <w:tcPr>
            <w:tcW w:w="804" w:type="dxa"/>
            <w:tcBorders>
              <w:top w:val="single" w:sz="4" w:space="0" w:color="auto"/>
              <w:bottom w:val="single" w:sz="4" w:space="0" w:color="auto"/>
            </w:tcBorders>
            <w:shd w:val="clear" w:color="auto" w:fill="auto"/>
            <w:noWrap/>
            <w:vAlign w:val="center"/>
            <w:hideMark/>
          </w:tcPr>
          <w:p w14:paraId="007F5850" w14:textId="77777777" w:rsidR="00E30685" w:rsidRDefault="00E30685" w:rsidP="00E730DF">
            <w:pPr>
              <w:jc w:val="center"/>
              <w:rPr>
                <w:rFonts w:ascii="Corbel" w:hAnsi="Corbel" w:cs="Calibri"/>
                <w:sz w:val="18"/>
                <w:szCs w:val="18"/>
              </w:rPr>
            </w:pPr>
            <w:r>
              <w:rPr>
                <w:rFonts w:ascii="Corbel" w:hAnsi="Corbel" w:cs="Calibri"/>
                <w:sz w:val="18"/>
                <w:szCs w:val="18"/>
              </w:rPr>
              <w:t>51.36</w:t>
            </w:r>
          </w:p>
        </w:tc>
        <w:tc>
          <w:tcPr>
            <w:tcW w:w="858" w:type="dxa"/>
            <w:tcBorders>
              <w:top w:val="single" w:sz="4" w:space="0" w:color="auto"/>
              <w:bottom w:val="single" w:sz="4" w:space="0" w:color="auto"/>
            </w:tcBorders>
            <w:shd w:val="clear" w:color="auto" w:fill="auto"/>
            <w:noWrap/>
            <w:vAlign w:val="center"/>
            <w:hideMark/>
          </w:tcPr>
          <w:p w14:paraId="306B9F40" w14:textId="77777777" w:rsidR="00E30685" w:rsidRDefault="00E30685" w:rsidP="00E730DF">
            <w:pPr>
              <w:jc w:val="center"/>
              <w:rPr>
                <w:rFonts w:ascii="Corbel" w:hAnsi="Corbel" w:cs="Calibri"/>
                <w:sz w:val="18"/>
                <w:szCs w:val="18"/>
              </w:rPr>
            </w:pPr>
            <w:r>
              <w:rPr>
                <w:rFonts w:ascii="Corbel" w:hAnsi="Corbel" w:cs="Calibri"/>
                <w:sz w:val="18"/>
                <w:szCs w:val="18"/>
              </w:rPr>
              <w:t>115.52</w:t>
            </w:r>
          </w:p>
        </w:tc>
        <w:tc>
          <w:tcPr>
            <w:tcW w:w="944" w:type="dxa"/>
            <w:tcBorders>
              <w:top w:val="single" w:sz="4" w:space="0" w:color="auto"/>
              <w:bottom w:val="single" w:sz="4" w:space="0" w:color="auto"/>
            </w:tcBorders>
            <w:shd w:val="clear" w:color="auto" w:fill="auto"/>
            <w:noWrap/>
            <w:vAlign w:val="center"/>
            <w:hideMark/>
          </w:tcPr>
          <w:p w14:paraId="2BC917D8" w14:textId="77777777" w:rsidR="00E30685" w:rsidRDefault="00E30685" w:rsidP="00E730DF">
            <w:pPr>
              <w:jc w:val="center"/>
              <w:rPr>
                <w:rFonts w:ascii="Corbel" w:hAnsi="Corbel" w:cs="Calibri"/>
                <w:sz w:val="18"/>
                <w:szCs w:val="18"/>
              </w:rPr>
            </w:pPr>
            <w:r>
              <w:rPr>
                <w:rFonts w:ascii="Corbel" w:hAnsi="Corbel" w:cs="Calibri"/>
                <w:sz w:val="18"/>
                <w:szCs w:val="18"/>
              </w:rPr>
              <w:t>21.27</w:t>
            </w:r>
          </w:p>
        </w:tc>
      </w:tr>
      <w:tr w:rsidR="00E30685" w14:paraId="09309338"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2E73B94D" w14:textId="77777777" w:rsidR="00E30685" w:rsidRPr="00D36733" w:rsidRDefault="00E30685" w:rsidP="00E730DF">
            <w:pPr>
              <w:rPr>
                <w:rFonts w:ascii="Corbel" w:hAnsi="Corbel" w:cs="Calibri"/>
                <w:b/>
                <w:bCs/>
                <w:i/>
                <w:iCs/>
                <w:sz w:val="18"/>
                <w:szCs w:val="18"/>
              </w:rPr>
            </w:pPr>
            <w:r w:rsidRPr="00D36733">
              <w:rPr>
                <w:rFonts w:ascii="Corbel" w:hAnsi="Corbel" w:cs="Calibri"/>
                <w:b/>
                <w:bCs/>
                <w:i/>
                <w:iCs/>
                <w:sz w:val="18"/>
                <w:szCs w:val="18"/>
              </w:rPr>
              <w:t>Sample characteristics</w:t>
            </w:r>
          </w:p>
        </w:tc>
        <w:tc>
          <w:tcPr>
            <w:tcW w:w="1157" w:type="dxa"/>
            <w:tcBorders>
              <w:top w:val="single" w:sz="4" w:space="0" w:color="auto"/>
              <w:bottom w:val="single" w:sz="4" w:space="0" w:color="auto"/>
            </w:tcBorders>
            <w:shd w:val="clear" w:color="auto" w:fill="auto"/>
            <w:noWrap/>
            <w:vAlign w:val="center"/>
          </w:tcPr>
          <w:p w14:paraId="289899DD"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0153736E"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797FE2A7"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3A271A81" w14:textId="77777777" w:rsidR="00E30685" w:rsidRDefault="00E30685" w:rsidP="00E730DF">
            <w:pPr>
              <w:jc w:val="center"/>
              <w:rPr>
                <w:rFonts w:ascii="Corbel" w:hAnsi="Corbel" w:cs="Calibri"/>
                <w:sz w:val="18"/>
                <w:szCs w:val="18"/>
              </w:rPr>
            </w:pPr>
          </w:p>
        </w:tc>
      </w:tr>
      <w:tr w:rsidR="00E30685" w14:paraId="7711DE05"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278C8258" w14:textId="77777777" w:rsidR="00E30685" w:rsidRPr="00E6523E" w:rsidRDefault="00E30685" w:rsidP="00E730DF">
            <w:pPr>
              <w:rPr>
                <w:rFonts w:ascii="Corbel" w:hAnsi="Corbel" w:cs="Calibri"/>
                <w:b/>
                <w:bCs/>
                <w:sz w:val="18"/>
                <w:szCs w:val="18"/>
              </w:rPr>
            </w:pPr>
            <w:r>
              <w:rPr>
                <w:rFonts w:ascii="Corbel" w:hAnsi="Corbel" w:cs="Calibri"/>
                <w:b/>
                <w:bCs/>
                <w:sz w:val="18"/>
                <w:szCs w:val="18"/>
              </w:rPr>
              <w:t>Geographical study location</w:t>
            </w:r>
          </w:p>
        </w:tc>
        <w:tc>
          <w:tcPr>
            <w:tcW w:w="1157" w:type="dxa"/>
            <w:tcBorders>
              <w:top w:val="single" w:sz="4" w:space="0" w:color="auto"/>
              <w:bottom w:val="single" w:sz="4" w:space="0" w:color="auto"/>
            </w:tcBorders>
            <w:shd w:val="clear" w:color="auto" w:fill="auto"/>
            <w:noWrap/>
            <w:vAlign w:val="center"/>
          </w:tcPr>
          <w:p w14:paraId="547129E2"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14609A9F"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59187F3B"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1BD5E07D" w14:textId="77777777" w:rsidR="00E30685" w:rsidRDefault="00E30685" w:rsidP="00E730DF">
            <w:pPr>
              <w:jc w:val="center"/>
              <w:rPr>
                <w:rFonts w:ascii="Corbel" w:hAnsi="Corbel" w:cs="Calibri"/>
                <w:sz w:val="18"/>
                <w:szCs w:val="18"/>
              </w:rPr>
            </w:pPr>
          </w:p>
        </w:tc>
      </w:tr>
      <w:tr w:rsidR="00E30685" w14:paraId="42F74B9D" w14:textId="77777777" w:rsidTr="00E730DF">
        <w:trPr>
          <w:trHeight w:val="139"/>
        </w:trPr>
        <w:tc>
          <w:tcPr>
            <w:tcW w:w="3389" w:type="dxa"/>
            <w:tcBorders>
              <w:top w:val="single" w:sz="4" w:space="0" w:color="auto"/>
            </w:tcBorders>
            <w:shd w:val="clear" w:color="auto" w:fill="auto"/>
            <w:noWrap/>
            <w:vAlign w:val="center"/>
          </w:tcPr>
          <w:p w14:paraId="037F5204" w14:textId="77777777" w:rsidR="00E30685" w:rsidRPr="00E6523E" w:rsidRDefault="00E30685" w:rsidP="00E730DF">
            <w:pPr>
              <w:rPr>
                <w:rFonts w:ascii="Corbel" w:hAnsi="Corbel" w:cs="Calibri"/>
                <w:b/>
                <w:bCs/>
                <w:sz w:val="18"/>
                <w:szCs w:val="18"/>
              </w:rPr>
            </w:pPr>
            <w:r>
              <w:rPr>
                <w:rFonts w:ascii="Corbel" w:hAnsi="Corbel" w:cs="Calibri"/>
                <w:bCs/>
                <w:sz w:val="18"/>
                <w:szCs w:val="18"/>
              </w:rPr>
              <w:t>Asia</w:t>
            </w:r>
          </w:p>
        </w:tc>
        <w:tc>
          <w:tcPr>
            <w:tcW w:w="1157" w:type="dxa"/>
            <w:tcBorders>
              <w:top w:val="single" w:sz="4" w:space="0" w:color="auto"/>
            </w:tcBorders>
            <w:shd w:val="clear" w:color="auto" w:fill="auto"/>
            <w:noWrap/>
            <w:vAlign w:val="center"/>
          </w:tcPr>
          <w:p w14:paraId="467A2205" w14:textId="77777777" w:rsidR="00E30685" w:rsidRDefault="00E30685" w:rsidP="00E730DF">
            <w:pPr>
              <w:jc w:val="center"/>
              <w:rPr>
                <w:rFonts w:ascii="Corbel" w:hAnsi="Corbel" w:cs="Calibri"/>
                <w:sz w:val="18"/>
                <w:szCs w:val="18"/>
              </w:rPr>
            </w:pPr>
            <w:r>
              <w:rPr>
                <w:rFonts w:ascii="Corbel" w:hAnsi="Corbel" w:cs="Calibri"/>
                <w:sz w:val="18"/>
                <w:szCs w:val="18"/>
              </w:rPr>
              <w:t>33</w:t>
            </w:r>
          </w:p>
        </w:tc>
        <w:tc>
          <w:tcPr>
            <w:tcW w:w="804" w:type="dxa"/>
            <w:tcBorders>
              <w:top w:val="single" w:sz="4" w:space="0" w:color="auto"/>
            </w:tcBorders>
            <w:shd w:val="clear" w:color="auto" w:fill="auto"/>
            <w:noWrap/>
            <w:vAlign w:val="center"/>
          </w:tcPr>
          <w:p w14:paraId="5677E6FE" w14:textId="77777777" w:rsidR="00E30685" w:rsidRDefault="00E30685" w:rsidP="00E730DF">
            <w:pPr>
              <w:jc w:val="center"/>
              <w:rPr>
                <w:rFonts w:ascii="Corbel" w:hAnsi="Corbel" w:cs="Calibri"/>
                <w:sz w:val="18"/>
                <w:szCs w:val="18"/>
              </w:rPr>
            </w:pPr>
            <w:r>
              <w:rPr>
                <w:rFonts w:ascii="Corbel" w:hAnsi="Corbel" w:cs="Calibri"/>
                <w:sz w:val="18"/>
                <w:szCs w:val="18"/>
              </w:rPr>
              <w:t>25.31</w:t>
            </w:r>
          </w:p>
        </w:tc>
        <w:tc>
          <w:tcPr>
            <w:tcW w:w="858" w:type="dxa"/>
            <w:tcBorders>
              <w:top w:val="single" w:sz="4" w:space="0" w:color="auto"/>
            </w:tcBorders>
            <w:shd w:val="clear" w:color="auto" w:fill="auto"/>
            <w:noWrap/>
            <w:vAlign w:val="center"/>
          </w:tcPr>
          <w:p w14:paraId="50E57B8F" w14:textId="77777777" w:rsidR="00E30685" w:rsidRDefault="00E30685" w:rsidP="00E730DF">
            <w:pPr>
              <w:jc w:val="center"/>
              <w:rPr>
                <w:rFonts w:ascii="Corbel" w:hAnsi="Corbel" w:cs="Calibri"/>
                <w:sz w:val="18"/>
                <w:szCs w:val="18"/>
              </w:rPr>
            </w:pPr>
            <w:r>
              <w:rPr>
                <w:rFonts w:ascii="Corbel" w:hAnsi="Corbel" w:cs="Calibri"/>
                <w:sz w:val="18"/>
                <w:szCs w:val="18"/>
              </w:rPr>
              <w:t>25.36</w:t>
            </w:r>
          </w:p>
        </w:tc>
        <w:tc>
          <w:tcPr>
            <w:tcW w:w="944" w:type="dxa"/>
            <w:tcBorders>
              <w:top w:val="single" w:sz="4" w:space="0" w:color="auto"/>
            </w:tcBorders>
            <w:shd w:val="clear" w:color="auto" w:fill="auto"/>
            <w:noWrap/>
            <w:vAlign w:val="center"/>
          </w:tcPr>
          <w:p w14:paraId="0EC1FC43" w14:textId="77777777" w:rsidR="00E30685" w:rsidRDefault="00E30685" w:rsidP="00E730DF">
            <w:pPr>
              <w:jc w:val="center"/>
              <w:rPr>
                <w:rFonts w:ascii="Corbel" w:hAnsi="Corbel" w:cs="Calibri"/>
                <w:sz w:val="18"/>
                <w:szCs w:val="18"/>
              </w:rPr>
            </w:pPr>
            <w:r>
              <w:rPr>
                <w:rFonts w:ascii="Corbel" w:hAnsi="Corbel" w:cs="Calibri"/>
                <w:sz w:val="18"/>
                <w:szCs w:val="18"/>
              </w:rPr>
              <w:t>21.48</w:t>
            </w:r>
          </w:p>
        </w:tc>
      </w:tr>
      <w:tr w:rsidR="00E30685" w14:paraId="117A115E" w14:textId="77777777" w:rsidTr="00E730DF">
        <w:trPr>
          <w:trHeight w:val="139"/>
        </w:trPr>
        <w:tc>
          <w:tcPr>
            <w:tcW w:w="3389" w:type="dxa"/>
            <w:shd w:val="clear" w:color="auto" w:fill="auto"/>
            <w:noWrap/>
            <w:vAlign w:val="center"/>
          </w:tcPr>
          <w:p w14:paraId="241CA57F" w14:textId="77777777" w:rsidR="00E30685" w:rsidRPr="00E6523E" w:rsidRDefault="00E30685" w:rsidP="00E730DF">
            <w:pPr>
              <w:rPr>
                <w:rFonts w:ascii="Corbel" w:hAnsi="Corbel" w:cs="Calibri"/>
                <w:b/>
                <w:bCs/>
                <w:sz w:val="18"/>
                <w:szCs w:val="18"/>
              </w:rPr>
            </w:pPr>
            <w:r w:rsidRPr="005C7EE5">
              <w:rPr>
                <w:rFonts w:ascii="Corbel" w:hAnsi="Corbel" w:cs="Calibri"/>
                <w:bCs/>
                <w:sz w:val="18"/>
                <w:szCs w:val="18"/>
              </w:rPr>
              <w:t>Europe</w:t>
            </w:r>
          </w:p>
        </w:tc>
        <w:tc>
          <w:tcPr>
            <w:tcW w:w="1157" w:type="dxa"/>
            <w:shd w:val="clear" w:color="auto" w:fill="auto"/>
            <w:noWrap/>
            <w:vAlign w:val="center"/>
          </w:tcPr>
          <w:p w14:paraId="7A05BC58" w14:textId="77777777" w:rsidR="00E30685" w:rsidRDefault="00E30685" w:rsidP="00E730DF">
            <w:pPr>
              <w:jc w:val="center"/>
              <w:rPr>
                <w:rFonts w:ascii="Corbel" w:hAnsi="Corbel" w:cs="Calibri"/>
                <w:sz w:val="18"/>
                <w:szCs w:val="18"/>
              </w:rPr>
            </w:pPr>
            <w:r>
              <w:rPr>
                <w:rFonts w:ascii="Corbel" w:hAnsi="Corbel" w:cs="Calibri"/>
                <w:sz w:val="18"/>
                <w:szCs w:val="18"/>
              </w:rPr>
              <w:t>42</w:t>
            </w:r>
          </w:p>
        </w:tc>
        <w:tc>
          <w:tcPr>
            <w:tcW w:w="804" w:type="dxa"/>
            <w:shd w:val="clear" w:color="auto" w:fill="auto"/>
            <w:noWrap/>
            <w:vAlign w:val="center"/>
          </w:tcPr>
          <w:p w14:paraId="4917798C" w14:textId="77777777" w:rsidR="00E30685" w:rsidRDefault="00E30685" w:rsidP="00E730DF">
            <w:pPr>
              <w:jc w:val="center"/>
              <w:rPr>
                <w:rFonts w:ascii="Corbel" w:hAnsi="Corbel" w:cs="Calibri"/>
                <w:sz w:val="18"/>
                <w:szCs w:val="18"/>
              </w:rPr>
            </w:pPr>
            <w:r>
              <w:rPr>
                <w:rFonts w:ascii="Corbel" w:hAnsi="Corbel" w:cs="Calibri"/>
                <w:sz w:val="18"/>
                <w:szCs w:val="18"/>
              </w:rPr>
              <w:t>38.43</w:t>
            </w:r>
          </w:p>
        </w:tc>
        <w:tc>
          <w:tcPr>
            <w:tcW w:w="858" w:type="dxa"/>
            <w:shd w:val="clear" w:color="auto" w:fill="auto"/>
            <w:noWrap/>
            <w:vAlign w:val="center"/>
          </w:tcPr>
          <w:p w14:paraId="249EDA2F" w14:textId="77777777" w:rsidR="00E30685" w:rsidRDefault="00E30685" w:rsidP="00E730DF">
            <w:pPr>
              <w:jc w:val="center"/>
              <w:rPr>
                <w:rFonts w:ascii="Corbel" w:hAnsi="Corbel" w:cs="Calibri"/>
                <w:sz w:val="18"/>
                <w:szCs w:val="18"/>
              </w:rPr>
            </w:pPr>
            <w:r>
              <w:rPr>
                <w:rFonts w:ascii="Corbel" w:hAnsi="Corbel" w:cs="Calibri"/>
                <w:sz w:val="18"/>
                <w:szCs w:val="18"/>
              </w:rPr>
              <w:t>134.43</w:t>
            </w:r>
          </w:p>
        </w:tc>
        <w:tc>
          <w:tcPr>
            <w:tcW w:w="944" w:type="dxa"/>
            <w:shd w:val="clear" w:color="auto" w:fill="auto"/>
            <w:noWrap/>
            <w:vAlign w:val="center"/>
          </w:tcPr>
          <w:p w14:paraId="7D250D3E" w14:textId="77777777" w:rsidR="00E30685" w:rsidRDefault="00E30685" w:rsidP="00E730DF">
            <w:pPr>
              <w:jc w:val="center"/>
              <w:rPr>
                <w:rFonts w:ascii="Corbel" w:hAnsi="Corbel" w:cs="Calibri"/>
                <w:sz w:val="18"/>
                <w:szCs w:val="18"/>
              </w:rPr>
            </w:pPr>
            <w:r>
              <w:rPr>
                <w:rFonts w:ascii="Corbel" w:hAnsi="Corbel" w:cs="Calibri"/>
                <w:sz w:val="18"/>
                <w:szCs w:val="18"/>
              </w:rPr>
              <w:t>3.98</w:t>
            </w:r>
          </w:p>
        </w:tc>
      </w:tr>
      <w:tr w:rsidR="00E30685" w14:paraId="62D3CE51" w14:textId="77777777" w:rsidTr="00E730DF">
        <w:trPr>
          <w:trHeight w:val="139"/>
        </w:trPr>
        <w:tc>
          <w:tcPr>
            <w:tcW w:w="3389" w:type="dxa"/>
            <w:shd w:val="clear" w:color="auto" w:fill="auto"/>
            <w:noWrap/>
            <w:vAlign w:val="center"/>
          </w:tcPr>
          <w:p w14:paraId="12F8F0C8" w14:textId="77777777" w:rsidR="00E30685" w:rsidRPr="00E6523E" w:rsidRDefault="00E30685" w:rsidP="00E730DF">
            <w:pPr>
              <w:rPr>
                <w:rFonts w:ascii="Corbel" w:hAnsi="Corbel" w:cs="Calibri"/>
                <w:b/>
                <w:bCs/>
                <w:sz w:val="18"/>
                <w:szCs w:val="18"/>
              </w:rPr>
            </w:pPr>
            <w:r>
              <w:rPr>
                <w:rFonts w:ascii="Corbel" w:hAnsi="Corbel" w:cs="Calibri"/>
                <w:bCs/>
                <w:sz w:val="18"/>
                <w:szCs w:val="18"/>
              </w:rPr>
              <w:t>USA</w:t>
            </w:r>
          </w:p>
        </w:tc>
        <w:tc>
          <w:tcPr>
            <w:tcW w:w="1157" w:type="dxa"/>
            <w:shd w:val="clear" w:color="auto" w:fill="auto"/>
            <w:noWrap/>
            <w:vAlign w:val="center"/>
          </w:tcPr>
          <w:p w14:paraId="7339F3E2" w14:textId="77777777" w:rsidR="00E30685" w:rsidRDefault="00E30685" w:rsidP="00E730DF">
            <w:pPr>
              <w:jc w:val="center"/>
              <w:rPr>
                <w:rFonts w:ascii="Corbel" w:hAnsi="Corbel" w:cs="Calibri"/>
                <w:sz w:val="18"/>
                <w:szCs w:val="18"/>
              </w:rPr>
            </w:pPr>
            <w:r>
              <w:rPr>
                <w:rFonts w:ascii="Corbel" w:hAnsi="Corbel" w:cs="Calibri"/>
                <w:sz w:val="18"/>
                <w:szCs w:val="18"/>
              </w:rPr>
              <w:t>219</w:t>
            </w:r>
          </w:p>
        </w:tc>
        <w:tc>
          <w:tcPr>
            <w:tcW w:w="804" w:type="dxa"/>
            <w:shd w:val="clear" w:color="auto" w:fill="auto"/>
            <w:noWrap/>
            <w:vAlign w:val="center"/>
          </w:tcPr>
          <w:p w14:paraId="114E0D08" w14:textId="77777777" w:rsidR="00E30685" w:rsidRDefault="00E30685" w:rsidP="00E730DF">
            <w:pPr>
              <w:jc w:val="center"/>
              <w:rPr>
                <w:rFonts w:ascii="Corbel" w:hAnsi="Corbel" w:cs="Calibri"/>
                <w:sz w:val="18"/>
                <w:szCs w:val="18"/>
              </w:rPr>
            </w:pPr>
            <w:r>
              <w:rPr>
                <w:rFonts w:ascii="Corbel" w:hAnsi="Corbel" w:cs="Calibri"/>
                <w:sz w:val="18"/>
                <w:szCs w:val="18"/>
              </w:rPr>
              <w:t>56.97</w:t>
            </w:r>
          </w:p>
        </w:tc>
        <w:tc>
          <w:tcPr>
            <w:tcW w:w="858" w:type="dxa"/>
            <w:shd w:val="clear" w:color="auto" w:fill="auto"/>
            <w:noWrap/>
            <w:vAlign w:val="center"/>
          </w:tcPr>
          <w:p w14:paraId="7A569CFB" w14:textId="77777777" w:rsidR="00E30685" w:rsidRDefault="00E30685" w:rsidP="00E730DF">
            <w:pPr>
              <w:jc w:val="center"/>
              <w:rPr>
                <w:rFonts w:ascii="Corbel" w:hAnsi="Corbel" w:cs="Calibri"/>
                <w:sz w:val="18"/>
                <w:szCs w:val="18"/>
              </w:rPr>
            </w:pPr>
            <w:r>
              <w:rPr>
                <w:rFonts w:ascii="Corbel" w:hAnsi="Corbel" w:cs="Calibri"/>
                <w:sz w:val="18"/>
                <w:szCs w:val="18"/>
              </w:rPr>
              <w:t>119.71</w:t>
            </w:r>
          </w:p>
        </w:tc>
        <w:tc>
          <w:tcPr>
            <w:tcW w:w="944" w:type="dxa"/>
            <w:shd w:val="clear" w:color="auto" w:fill="auto"/>
            <w:noWrap/>
            <w:vAlign w:val="center"/>
          </w:tcPr>
          <w:p w14:paraId="67D14869" w14:textId="77777777" w:rsidR="00E30685" w:rsidRDefault="00E30685" w:rsidP="00E730DF">
            <w:pPr>
              <w:jc w:val="center"/>
              <w:rPr>
                <w:rFonts w:ascii="Corbel" w:hAnsi="Corbel" w:cs="Calibri"/>
                <w:sz w:val="18"/>
                <w:szCs w:val="18"/>
              </w:rPr>
            </w:pPr>
            <w:r>
              <w:rPr>
                <w:rFonts w:ascii="Corbel" w:hAnsi="Corbel" w:cs="Calibri"/>
                <w:sz w:val="18"/>
                <w:szCs w:val="18"/>
              </w:rPr>
              <w:t>23.24</w:t>
            </w:r>
          </w:p>
        </w:tc>
      </w:tr>
      <w:tr w:rsidR="00E30685" w14:paraId="33C147BC" w14:textId="77777777" w:rsidTr="00E730DF">
        <w:trPr>
          <w:trHeight w:val="139"/>
        </w:trPr>
        <w:tc>
          <w:tcPr>
            <w:tcW w:w="3389" w:type="dxa"/>
            <w:shd w:val="clear" w:color="auto" w:fill="auto"/>
            <w:noWrap/>
            <w:vAlign w:val="center"/>
          </w:tcPr>
          <w:p w14:paraId="729EE206" w14:textId="77777777" w:rsidR="00E30685" w:rsidRPr="00E6523E" w:rsidRDefault="00E30685" w:rsidP="00E730DF">
            <w:pPr>
              <w:rPr>
                <w:rFonts w:ascii="Corbel" w:hAnsi="Corbel" w:cs="Calibri"/>
                <w:b/>
                <w:bCs/>
                <w:sz w:val="18"/>
                <w:szCs w:val="18"/>
              </w:rPr>
            </w:pPr>
            <w:r w:rsidRPr="00E6523E">
              <w:rPr>
                <w:rFonts w:ascii="Corbel" w:hAnsi="Corbel" w:cs="Calibri"/>
                <w:bCs/>
                <w:sz w:val="18"/>
                <w:szCs w:val="18"/>
              </w:rPr>
              <w:t>South America</w:t>
            </w:r>
          </w:p>
        </w:tc>
        <w:tc>
          <w:tcPr>
            <w:tcW w:w="1157" w:type="dxa"/>
            <w:shd w:val="clear" w:color="auto" w:fill="auto"/>
            <w:noWrap/>
            <w:vAlign w:val="center"/>
          </w:tcPr>
          <w:p w14:paraId="5451EFE6" w14:textId="77777777" w:rsidR="00E30685" w:rsidRDefault="00E30685" w:rsidP="00E730DF">
            <w:pPr>
              <w:jc w:val="center"/>
              <w:rPr>
                <w:rFonts w:ascii="Corbel" w:hAnsi="Corbel" w:cs="Calibri"/>
                <w:sz w:val="18"/>
                <w:szCs w:val="18"/>
              </w:rPr>
            </w:pPr>
            <w:r w:rsidRPr="00E6523E">
              <w:rPr>
                <w:rFonts w:ascii="Corbel" w:hAnsi="Corbel" w:cs="Calibri"/>
                <w:sz w:val="18"/>
                <w:szCs w:val="18"/>
              </w:rPr>
              <w:t>5</w:t>
            </w:r>
          </w:p>
        </w:tc>
        <w:tc>
          <w:tcPr>
            <w:tcW w:w="804" w:type="dxa"/>
            <w:shd w:val="clear" w:color="auto" w:fill="auto"/>
            <w:noWrap/>
            <w:vAlign w:val="center"/>
          </w:tcPr>
          <w:p w14:paraId="666D1DCC" w14:textId="77777777" w:rsidR="00E30685" w:rsidRDefault="00E30685" w:rsidP="00E730DF">
            <w:pPr>
              <w:jc w:val="center"/>
              <w:rPr>
                <w:rFonts w:ascii="Corbel" w:hAnsi="Corbel" w:cs="Calibri"/>
                <w:sz w:val="18"/>
                <w:szCs w:val="18"/>
              </w:rPr>
            </w:pPr>
            <w:r w:rsidRPr="00E6523E">
              <w:rPr>
                <w:rFonts w:ascii="Corbel" w:hAnsi="Corbel" w:cs="Calibri"/>
                <w:sz w:val="18"/>
                <w:szCs w:val="18"/>
              </w:rPr>
              <w:t>52.12</w:t>
            </w:r>
          </w:p>
        </w:tc>
        <w:tc>
          <w:tcPr>
            <w:tcW w:w="858" w:type="dxa"/>
            <w:shd w:val="clear" w:color="auto" w:fill="auto"/>
            <w:noWrap/>
            <w:vAlign w:val="center"/>
          </w:tcPr>
          <w:p w14:paraId="031D13BF" w14:textId="77777777" w:rsidR="00E30685" w:rsidRDefault="00E30685" w:rsidP="00E730DF">
            <w:pPr>
              <w:jc w:val="center"/>
              <w:rPr>
                <w:rFonts w:ascii="Corbel" w:hAnsi="Corbel" w:cs="Calibri"/>
                <w:sz w:val="18"/>
                <w:szCs w:val="18"/>
              </w:rPr>
            </w:pPr>
            <w:r w:rsidRPr="00E6523E">
              <w:rPr>
                <w:rFonts w:ascii="Corbel" w:hAnsi="Corbel" w:cs="Calibri"/>
                <w:sz w:val="18"/>
                <w:szCs w:val="18"/>
              </w:rPr>
              <w:t>74.83</w:t>
            </w:r>
          </w:p>
        </w:tc>
        <w:tc>
          <w:tcPr>
            <w:tcW w:w="944" w:type="dxa"/>
            <w:shd w:val="clear" w:color="auto" w:fill="auto"/>
            <w:noWrap/>
            <w:vAlign w:val="center"/>
          </w:tcPr>
          <w:p w14:paraId="0D8B4ACD" w14:textId="77777777" w:rsidR="00E30685" w:rsidRDefault="00E30685" w:rsidP="00E730DF">
            <w:pPr>
              <w:jc w:val="center"/>
              <w:rPr>
                <w:rFonts w:ascii="Corbel" w:hAnsi="Corbel" w:cs="Calibri"/>
                <w:sz w:val="18"/>
                <w:szCs w:val="18"/>
              </w:rPr>
            </w:pPr>
            <w:r>
              <w:rPr>
                <w:rFonts w:ascii="Corbel" w:hAnsi="Corbel" w:cs="Calibri"/>
                <w:sz w:val="18"/>
                <w:szCs w:val="18"/>
              </w:rPr>
              <w:t>2.61</w:t>
            </w:r>
          </w:p>
        </w:tc>
      </w:tr>
      <w:tr w:rsidR="00E30685" w14:paraId="5730046F" w14:textId="77777777" w:rsidTr="00E730DF">
        <w:trPr>
          <w:trHeight w:val="139"/>
        </w:trPr>
        <w:tc>
          <w:tcPr>
            <w:tcW w:w="3389" w:type="dxa"/>
            <w:shd w:val="clear" w:color="auto" w:fill="auto"/>
            <w:noWrap/>
            <w:vAlign w:val="center"/>
          </w:tcPr>
          <w:p w14:paraId="18E9B6B0" w14:textId="77777777" w:rsidR="00E30685" w:rsidRPr="00E6523E" w:rsidRDefault="00E30685" w:rsidP="00E730DF">
            <w:pPr>
              <w:rPr>
                <w:rFonts w:ascii="Corbel" w:hAnsi="Corbel" w:cs="Calibri"/>
                <w:b/>
                <w:bCs/>
                <w:sz w:val="18"/>
                <w:szCs w:val="18"/>
              </w:rPr>
            </w:pPr>
            <w:r w:rsidRPr="00E6523E">
              <w:rPr>
                <w:rFonts w:ascii="Corbel" w:hAnsi="Corbel" w:cs="Calibri"/>
                <w:bCs/>
                <w:sz w:val="18"/>
                <w:szCs w:val="18"/>
              </w:rPr>
              <w:t>Africa</w:t>
            </w:r>
          </w:p>
        </w:tc>
        <w:tc>
          <w:tcPr>
            <w:tcW w:w="1157" w:type="dxa"/>
            <w:shd w:val="clear" w:color="auto" w:fill="auto"/>
            <w:noWrap/>
            <w:vAlign w:val="center"/>
          </w:tcPr>
          <w:p w14:paraId="59124B0A" w14:textId="77777777" w:rsidR="00E30685" w:rsidRDefault="00E30685" w:rsidP="00E730DF">
            <w:pPr>
              <w:jc w:val="center"/>
              <w:rPr>
                <w:rFonts w:ascii="Corbel" w:hAnsi="Corbel" w:cs="Calibri"/>
                <w:sz w:val="18"/>
                <w:szCs w:val="18"/>
              </w:rPr>
            </w:pPr>
            <w:r w:rsidRPr="00E6523E">
              <w:rPr>
                <w:rFonts w:ascii="Corbel" w:hAnsi="Corbel" w:cs="Calibri"/>
                <w:sz w:val="18"/>
                <w:szCs w:val="18"/>
              </w:rPr>
              <w:t>3</w:t>
            </w:r>
          </w:p>
        </w:tc>
        <w:tc>
          <w:tcPr>
            <w:tcW w:w="804" w:type="dxa"/>
            <w:shd w:val="clear" w:color="auto" w:fill="auto"/>
            <w:noWrap/>
            <w:vAlign w:val="center"/>
          </w:tcPr>
          <w:p w14:paraId="2DD594F4" w14:textId="77777777" w:rsidR="00E30685" w:rsidRDefault="00E30685" w:rsidP="00E730DF">
            <w:pPr>
              <w:jc w:val="center"/>
              <w:rPr>
                <w:rFonts w:ascii="Corbel" w:hAnsi="Corbel" w:cs="Calibri"/>
                <w:sz w:val="18"/>
                <w:szCs w:val="18"/>
              </w:rPr>
            </w:pPr>
            <w:r w:rsidRPr="00E6523E">
              <w:rPr>
                <w:rFonts w:ascii="Corbel" w:hAnsi="Corbel" w:cs="Calibri"/>
                <w:sz w:val="18"/>
                <w:szCs w:val="18"/>
              </w:rPr>
              <w:t>107.60</w:t>
            </w:r>
          </w:p>
        </w:tc>
        <w:tc>
          <w:tcPr>
            <w:tcW w:w="858" w:type="dxa"/>
            <w:shd w:val="clear" w:color="auto" w:fill="auto"/>
            <w:noWrap/>
            <w:vAlign w:val="center"/>
          </w:tcPr>
          <w:p w14:paraId="75C011B4" w14:textId="77777777" w:rsidR="00E30685" w:rsidRDefault="00E30685" w:rsidP="00E730DF">
            <w:pPr>
              <w:jc w:val="center"/>
              <w:rPr>
                <w:rFonts w:ascii="Corbel" w:hAnsi="Corbel" w:cs="Calibri"/>
                <w:sz w:val="18"/>
                <w:szCs w:val="18"/>
              </w:rPr>
            </w:pPr>
            <w:r w:rsidRPr="00E6523E">
              <w:rPr>
                <w:rFonts w:ascii="Corbel" w:hAnsi="Corbel" w:cs="Calibri"/>
                <w:sz w:val="18"/>
                <w:szCs w:val="18"/>
              </w:rPr>
              <w:t>177.80</w:t>
            </w:r>
          </w:p>
        </w:tc>
        <w:tc>
          <w:tcPr>
            <w:tcW w:w="944" w:type="dxa"/>
            <w:shd w:val="clear" w:color="auto" w:fill="auto"/>
            <w:noWrap/>
            <w:vAlign w:val="center"/>
          </w:tcPr>
          <w:p w14:paraId="64742804" w14:textId="77777777" w:rsidR="00E30685" w:rsidRDefault="00E30685" w:rsidP="00E730DF">
            <w:pPr>
              <w:jc w:val="center"/>
              <w:rPr>
                <w:rFonts w:ascii="Corbel" w:hAnsi="Corbel" w:cs="Calibri"/>
                <w:sz w:val="18"/>
                <w:szCs w:val="18"/>
              </w:rPr>
            </w:pPr>
            <w:r>
              <w:rPr>
                <w:rFonts w:ascii="Corbel" w:hAnsi="Corbel" w:cs="Calibri"/>
                <w:sz w:val="18"/>
                <w:szCs w:val="18"/>
              </w:rPr>
              <w:t>9.21</w:t>
            </w:r>
          </w:p>
        </w:tc>
      </w:tr>
      <w:tr w:rsidR="00E30685" w14:paraId="2A089007" w14:textId="77777777" w:rsidTr="00E730DF">
        <w:trPr>
          <w:trHeight w:val="139"/>
        </w:trPr>
        <w:tc>
          <w:tcPr>
            <w:tcW w:w="3389" w:type="dxa"/>
            <w:shd w:val="clear" w:color="auto" w:fill="auto"/>
            <w:noWrap/>
            <w:vAlign w:val="center"/>
          </w:tcPr>
          <w:p w14:paraId="6826EE23" w14:textId="77777777" w:rsidR="00E30685" w:rsidRPr="00E6523E" w:rsidRDefault="00E30685" w:rsidP="00E730DF">
            <w:pPr>
              <w:rPr>
                <w:rFonts w:ascii="Corbel" w:hAnsi="Corbel" w:cs="Calibri"/>
                <w:b/>
                <w:bCs/>
                <w:sz w:val="18"/>
                <w:szCs w:val="18"/>
              </w:rPr>
            </w:pPr>
            <w:r w:rsidRPr="00E6523E">
              <w:rPr>
                <w:rFonts w:ascii="Corbel" w:hAnsi="Corbel" w:cs="Calibri"/>
                <w:bCs/>
                <w:i/>
                <w:sz w:val="18"/>
                <w:szCs w:val="18"/>
              </w:rPr>
              <w:t>Kruskal-</w:t>
            </w:r>
            <w:proofErr w:type="gramStart"/>
            <w:r w:rsidRPr="00E6523E">
              <w:rPr>
                <w:rFonts w:ascii="Corbel" w:hAnsi="Corbel" w:cs="Calibri"/>
                <w:bCs/>
                <w:i/>
                <w:sz w:val="18"/>
                <w:szCs w:val="18"/>
              </w:rPr>
              <w:t>Wallis</w:t>
            </w:r>
            <w:proofErr w:type="gramEnd"/>
            <w:r w:rsidRPr="00E6523E">
              <w:rPr>
                <w:rFonts w:ascii="Corbel" w:hAnsi="Corbel" w:cs="Calibri"/>
                <w:bCs/>
                <w:i/>
                <w:sz w:val="18"/>
                <w:szCs w:val="18"/>
              </w:rPr>
              <w:t xml:space="preserve"> test</w:t>
            </w:r>
          </w:p>
        </w:tc>
        <w:tc>
          <w:tcPr>
            <w:tcW w:w="1157" w:type="dxa"/>
            <w:shd w:val="clear" w:color="auto" w:fill="auto"/>
            <w:noWrap/>
            <w:vAlign w:val="center"/>
          </w:tcPr>
          <w:p w14:paraId="388AB06C" w14:textId="77777777" w:rsidR="00E30685" w:rsidRDefault="00E30685" w:rsidP="00E730DF">
            <w:pPr>
              <w:jc w:val="center"/>
              <w:rPr>
                <w:rFonts w:ascii="Corbel" w:hAnsi="Corbel" w:cs="Calibri"/>
                <w:sz w:val="18"/>
                <w:szCs w:val="18"/>
              </w:rPr>
            </w:pPr>
            <w:r w:rsidRPr="00E6523E">
              <w:rPr>
                <w:rFonts w:ascii="Corbel" w:hAnsi="Corbel" w:cs="Calibri"/>
                <w:sz w:val="18"/>
                <w:szCs w:val="18"/>
              </w:rPr>
              <w:t>Χ</w:t>
            </w:r>
            <w:r w:rsidRPr="00E6523E">
              <w:rPr>
                <w:rFonts w:ascii="Corbel" w:hAnsi="Corbel" w:cs="Calibri"/>
                <w:sz w:val="18"/>
                <w:szCs w:val="18"/>
                <w:vertAlign w:val="superscript"/>
              </w:rPr>
              <w:t xml:space="preserve">2 </w:t>
            </w:r>
            <w:r w:rsidRPr="00E6523E">
              <w:rPr>
                <w:rFonts w:ascii="Corbel" w:hAnsi="Corbel" w:cs="Calibri"/>
                <w:sz w:val="18"/>
                <w:szCs w:val="18"/>
              </w:rPr>
              <w:t>= 39.103</w:t>
            </w:r>
          </w:p>
        </w:tc>
        <w:tc>
          <w:tcPr>
            <w:tcW w:w="1662" w:type="dxa"/>
            <w:gridSpan w:val="2"/>
            <w:shd w:val="clear" w:color="auto" w:fill="auto"/>
            <w:noWrap/>
            <w:vAlign w:val="center"/>
          </w:tcPr>
          <w:p w14:paraId="3B9EF4CE"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Pr>
                <w:rFonts w:ascii="Corbel" w:hAnsi="Corbel" w:cs="Calibri"/>
                <w:i/>
                <w:sz w:val="18"/>
                <w:szCs w:val="18"/>
              </w:rPr>
              <w:t xml:space="preserve"> &lt; </w:t>
            </w:r>
            <w:r w:rsidRPr="00E6523E">
              <w:rPr>
                <w:rFonts w:ascii="Corbel" w:hAnsi="Corbel" w:cs="Calibri"/>
                <w:sz w:val="18"/>
                <w:szCs w:val="18"/>
              </w:rPr>
              <w:t>0.001</w:t>
            </w:r>
          </w:p>
        </w:tc>
        <w:tc>
          <w:tcPr>
            <w:tcW w:w="944" w:type="dxa"/>
            <w:shd w:val="clear" w:color="auto" w:fill="auto"/>
            <w:noWrap/>
            <w:vAlign w:val="center"/>
          </w:tcPr>
          <w:p w14:paraId="5C2246F2" w14:textId="77777777" w:rsidR="00E30685" w:rsidRDefault="00E30685" w:rsidP="00E730DF">
            <w:pPr>
              <w:jc w:val="center"/>
              <w:rPr>
                <w:rFonts w:ascii="Corbel" w:hAnsi="Corbel" w:cs="Calibri"/>
                <w:sz w:val="18"/>
                <w:szCs w:val="18"/>
              </w:rPr>
            </w:pPr>
          </w:p>
        </w:tc>
      </w:tr>
      <w:tr w:rsidR="00E30685" w14:paraId="071946E7"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258A156A" w14:textId="77777777" w:rsidR="00E30685" w:rsidRDefault="00E30685" w:rsidP="00E730DF">
            <w:pPr>
              <w:rPr>
                <w:rFonts w:ascii="Corbel" w:hAnsi="Corbel" w:cs="Calibri"/>
                <w:b/>
                <w:bCs/>
                <w:sz w:val="18"/>
                <w:szCs w:val="18"/>
              </w:rPr>
            </w:pPr>
            <w:r w:rsidRPr="00E6523E">
              <w:rPr>
                <w:rFonts w:ascii="Corbel" w:hAnsi="Corbel" w:cs="Calibri"/>
                <w:b/>
                <w:bCs/>
                <w:sz w:val="18"/>
                <w:szCs w:val="18"/>
              </w:rPr>
              <w:t>T</w:t>
            </w:r>
            <w:r>
              <w:rPr>
                <w:rFonts w:ascii="Corbel" w:hAnsi="Corbel" w:cs="Calibri"/>
                <w:b/>
                <w:bCs/>
                <w:sz w:val="18"/>
                <w:szCs w:val="18"/>
              </w:rPr>
              <w:t>arget sample</w:t>
            </w:r>
          </w:p>
        </w:tc>
        <w:tc>
          <w:tcPr>
            <w:tcW w:w="1157" w:type="dxa"/>
            <w:tcBorders>
              <w:top w:val="single" w:sz="4" w:space="0" w:color="auto"/>
              <w:bottom w:val="single" w:sz="4" w:space="0" w:color="auto"/>
            </w:tcBorders>
            <w:shd w:val="clear" w:color="auto" w:fill="auto"/>
            <w:noWrap/>
            <w:vAlign w:val="center"/>
          </w:tcPr>
          <w:p w14:paraId="3D64582D"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4D9799ED"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4BF9024C"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2AD9F859" w14:textId="77777777" w:rsidR="00E30685" w:rsidRDefault="00E30685" w:rsidP="00E730DF">
            <w:pPr>
              <w:jc w:val="center"/>
              <w:rPr>
                <w:rFonts w:ascii="Corbel" w:hAnsi="Corbel" w:cs="Calibri"/>
                <w:sz w:val="18"/>
                <w:szCs w:val="18"/>
              </w:rPr>
            </w:pPr>
          </w:p>
        </w:tc>
      </w:tr>
      <w:tr w:rsidR="00E30685" w14:paraId="38B07BCF" w14:textId="77777777" w:rsidTr="00E730DF">
        <w:trPr>
          <w:trHeight w:val="139"/>
        </w:trPr>
        <w:tc>
          <w:tcPr>
            <w:tcW w:w="3389" w:type="dxa"/>
            <w:tcBorders>
              <w:top w:val="single" w:sz="4" w:space="0" w:color="auto"/>
            </w:tcBorders>
            <w:shd w:val="clear" w:color="auto" w:fill="auto"/>
            <w:noWrap/>
            <w:vAlign w:val="center"/>
          </w:tcPr>
          <w:p w14:paraId="6FC1B3DA"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Consumers</w:t>
            </w:r>
          </w:p>
        </w:tc>
        <w:tc>
          <w:tcPr>
            <w:tcW w:w="1157" w:type="dxa"/>
            <w:tcBorders>
              <w:top w:val="single" w:sz="4" w:space="0" w:color="auto"/>
            </w:tcBorders>
            <w:shd w:val="clear" w:color="auto" w:fill="auto"/>
            <w:noWrap/>
            <w:vAlign w:val="center"/>
          </w:tcPr>
          <w:p w14:paraId="751DAB47" w14:textId="77777777" w:rsidR="00E30685" w:rsidRDefault="00E30685" w:rsidP="00E730DF">
            <w:pPr>
              <w:jc w:val="center"/>
              <w:rPr>
                <w:rFonts w:ascii="Corbel" w:hAnsi="Corbel" w:cs="Calibri"/>
                <w:sz w:val="18"/>
                <w:szCs w:val="18"/>
              </w:rPr>
            </w:pPr>
            <w:r w:rsidRPr="00E6523E">
              <w:rPr>
                <w:rFonts w:ascii="Corbel" w:hAnsi="Corbel" w:cs="Calibri"/>
                <w:sz w:val="18"/>
                <w:szCs w:val="18"/>
              </w:rPr>
              <w:t>160</w:t>
            </w:r>
          </w:p>
        </w:tc>
        <w:tc>
          <w:tcPr>
            <w:tcW w:w="804" w:type="dxa"/>
            <w:tcBorders>
              <w:top w:val="single" w:sz="4" w:space="0" w:color="auto"/>
            </w:tcBorders>
            <w:shd w:val="clear" w:color="auto" w:fill="auto"/>
            <w:noWrap/>
            <w:vAlign w:val="center"/>
          </w:tcPr>
          <w:p w14:paraId="0E40B104" w14:textId="77777777" w:rsidR="00E30685" w:rsidRDefault="00E30685" w:rsidP="00E730DF">
            <w:pPr>
              <w:jc w:val="center"/>
              <w:rPr>
                <w:rFonts w:ascii="Corbel" w:hAnsi="Corbel" w:cs="Calibri"/>
                <w:sz w:val="18"/>
                <w:szCs w:val="18"/>
              </w:rPr>
            </w:pPr>
            <w:r w:rsidRPr="00E6523E">
              <w:rPr>
                <w:rFonts w:ascii="Corbel" w:hAnsi="Corbel" w:cs="Calibri"/>
                <w:sz w:val="18"/>
                <w:szCs w:val="18"/>
              </w:rPr>
              <w:t>62.22</w:t>
            </w:r>
          </w:p>
        </w:tc>
        <w:tc>
          <w:tcPr>
            <w:tcW w:w="858" w:type="dxa"/>
            <w:tcBorders>
              <w:top w:val="single" w:sz="4" w:space="0" w:color="auto"/>
            </w:tcBorders>
            <w:shd w:val="clear" w:color="auto" w:fill="auto"/>
            <w:noWrap/>
            <w:vAlign w:val="center"/>
          </w:tcPr>
          <w:p w14:paraId="62D3A16B" w14:textId="77777777" w:rsidR="00E30685" w:rsidRDefault="00E30685" w:rsidP="00E730DF">
            <w:pPr>
              <w:jc w:val="center"/>
              <w:rPr>
                <w:rFonts w:ascii="Corbel" w:hAnsi="Corbel" w:cs="Calibri"/>
                <w:sz w:val="18"/>
                <w:szCs w:val="18"/>
              </w:rPr>
            </w:pPr>
            <w:r w:rsidRPr="00E6523E">
              <w:rPr>
                <w:rFonts w:ascii="Corbel" w:hAnsi="Corbel" w:cs="Calibri"/>
                <w:sz w:val="18"/>
                <w:szCs w:val="18"/>
              </w:rPr>
              <w:t>147.29</w:t>
            </w:r>
          </w:p>
        </w:tc>
        <w:tc>
          <w:tcPr>
            <w:tcW w:w="944" w:type="dxa"/>
            <w:tcBorders>
              <w:top w:val="single" w:sz="4" w:space="0" w:color="auto"/>
            </w:tcBorders>
            <w:shd w:val="clear" w:color="auto" w:fill="auto"/>
            <w:noWrap/>
            <w:vAlign w:val="center"/>
          </w:tcPr>
          <w:p w14:paraId="6BE48433" w14:textId="77777777" w:rsidR="00E30685" w:rsidRDefault="00E30685" w:rsidP="00E730DF">
            <w:pPr>
              <w:jc w:val="center"/>
              <w:rPr>
                <w:rFonts w:ascii="Corbel" w:hAnsi="Corbel" w:cs="Calibri"/>
                <w:sz w:val="18"/>
                <w:szCs w:val="18"/>
              </w:rPr>
            </w:pPr>
            <w:r>
              <w:rPr>
                <w:rFonts w:ascii="Corbel" w:hAnsi="Corbel" w:cs="Calibri"/>
                <w:sz w:val="18"/>
                <w:szCs w:val="18"/>
              </w:rPr>
              <w:t>9.85</w:t>
            </w:r>
          </w:p>
        </w:tc>
      </w:tr>
      <w:tr w:rsidR="00E30685" w14:paraId="416D69DE" w14:textId="77777777" w:rsidTr="00E730DF">
        <w:trPr>
          <w:trHeight w:val="139"/>
        </w:trPr>
        <w:tc>
          <w:tcPr>
            <w:tcW w:w="3389" w:type="dxa"/>
            <w:shd w:val="clear" w:color="auto" w:fill="auto"/>
            <w:noWrap/>
            <w:vAlign w:val="center"/>
          </w:tcPr>
          <w:p w14:paraId="658A8199"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Farmers</w:t>
            </w:r>
          </w:p>
        </w:tc>
        <w:tc>
          <w:tcPr>
            <w:tcW w:w="1157" w:type="dxa"/>
            <w:shd w:val="clear" w:color="auto" w:fill="auto"/>
            <w:noWrap/>
            <w:vAlign w:val="center"/>
          </w:tcPr>
          <w:p w14:paraId="0D9ABCC7"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142</w:t>
            </w:r>
          </w:p>
        </w:tc>
        <w:tc>
          <w:tcPr>
            <w:tcW w:w="804" w:type="dxa"/>
            <w:shd w:val="clear" w:color="auto" w:fill="auto"/>
            <w:noWrap/>
            <w:vAlign w:val="center"/>
          </w:tcPr>
          <w:p w14:paraId="0448CAE1" w14:textId="77777777" w:rsidR="00E30685" w:rsidRDefault="00E30685" w:rsidP="00E730DF">
            <w:pPr>
              <w:jc w:val="center"/>
              <w:rPr>
                <w:rFonts w:ascii="Corbel" w:hAnsi="Corbel" w:cs="Calibri"/>
                <w:sz w:val="18"/>
                <w:szCs w:val="18"/>
              </w:rPr>
            </w:pPr>
            <w:r w:rsidRPr="00E6523E">
              <w:rPr>
                <w:rFonts w:ascii="Corbel" w:hAnsi="Corbel" w:cs="Calibri"/>
                <w:sz w:val="18"/>
                <w:szCs w:val="18"/>
              </w:rPr>
              <w:t>31.23</w:t>
            </w:r>
          </w:p>
        </w:tc>
        <w:tc>
          <w:tcPr>
            <w:tcW w:w="858" w:type="dxa"/>
            <w:shd w:val="clear" w:color="auto" w:fill="auto"/>
            <w:noWrap/>
            <w:vAlign w:val="center"/>
          </w:tcPr>
          <w:p w14:paraId="779BD022" w14:textId="77777777" w:rsidR="00E30685" w:rsidRDefault="00E30685" w:rsidP="00E730DF">
            <w:pPr>
              <w:jc w:val="center"/>
              <w:rPr>
                <w:rFonts w:ascii="Corbel" w:hAnsi="Corbel" w:cs="Calibri"/>
                <w:sz w:val="18"/>
                <w:szCs w:val="18"/>
              </w:rPr>
            </w:pPr>
            <w:r w:rsidRPr="00E6523E">
              <w:rPr>
                <w:rFonts w:ascii="Corbel" w:hAnsi="Corbel" w:cs="Calibri"/>
                <w:sz w:val="18"/>
                <w:szCs w:val="18"/>
              </w:rPr>
              <w:t>57.04</w:t>
            </w:r>
          </w:p>
        </w:tc>
        <w:tc>
          <w:tcPr>
            <w:tcW w:w="944" w:type="dxa"/>
            <w:shd w:val="clear" w:color="auto" w:fill="auto"/>
            <w:noWrap/>
            <w:vAlign w:val="center"/>
          </w:tcPr>
          <w:p w14:paraId="2F8CA39C" w14:textId="77777777" w:rsidR="00E30685" w:rsidRDefault="00E30685" w:rsidP="00E730DF">
            <w:pPr>
              <w:jc w:val="center"/>
              <w:rPr>
                <w:rFonts w:ascii="Corbel" w:hAnsi="Corbel" w:cs="Calibri"/>
                <w:sz w:val="18"/>
                <w:szCs w:val="18"/>
              </w:rPr>
            </w:pPr>
            <w:r>
              <w:rPr>
                <w:rFonts w:ascii="Corbel" w:hAnsi="Corbel" w:cs="Calibri"/>
                <w:sz w:val="18"/>
                <w:szCs w:val="18"/>
              </w:rPr>
              <w:t>23.29</w:t>
            </w:r>
          </w:p>
        </w:tc>
      </w:tr>
      <w:tr w:rsidR="00E30685" w14:paraId="605596D3" w14:textId="77777777" w:rsidTr="00E730DF">
        <w:trPr>
          <w:trHeight w:val="139"/>
        </w:trPr>
        <w:tc>
          <w:tcPr>
            <w:tcW w:w="3389" w:type="dxa"/>
            <w:tcBorders>
              <w:bottom w:val="single" w:sz="4" w:space="0" w:color="auto"/>
            </w:tcBorders>
            <w:shd w:val="clear" w:color="auto" w:fill="auto"/>
            <w:noWrap/>
            <w:vAlign w:val="center"/>
          </w:tcPr>
          <w:p w14:paraId="1D834D75" w14:textId="77777777" w:rsidR="00E30685" w:rsidRDefault="00E30685" w:rsidP="00E730DF">
            <w:pPr>
              <w:rPr>
                <w:rFonts w:ascii="Corbel" w:hAnsi="Corbel" w:cs="Calibri"/>
                <w:b/>
                <w:bCs/>
                <w:sz w:val="18"/>
                <w:szCs w:val="18"/>
              </w:rPr>
            </w:pPr>
            <w:r w:rsidRPr="00E6523E">
              <w:rPr>
                <w:rFonts w:ascii="Corbel" w:hAnsi="Corbel" w:cs="Calibri"/>
                <w:bCs/>
                <w:i/>
                <w:sz w:val="18"/>
                <w:szCs w:val="18"/>
              </w:rPr>
              <w:t>Mann-Whitney test</w:t>
            </w:r>
          </w:p>
        </w:tc>
        <w:tc>
          <w:tcPr>
            <w:tcW w:w="1157" w:type="dxa"/>
            <w:tcBorders>
              <w:bottom w:val="single" w:sz="4" w:space="0" w:color="auto"/>
            </w:tcBorders>
            <w:shd w:val="clear" w:color="auto" w:fill="auto"/>
            <w:noWrap/>
            <w:vAlign w:val="center"/>
          </w:tcPr>
          <w:p w14:paraId="513F32E2" w14:textId="77777777" w:rsidR="00E30685" w:rsidRDefault="00E30685" w:rsidP="00E730DF">
            <w:pPr>
              <w:jc w:val="center"/>
              <w:rPr>
                <w:rFonts w:ascii="Corbel" w:hAnsi="Corbel" w:cs="Calibri"/>
                <w:sz w:val="18"/>
                <w:szCs w:val="18"/>
              </w:rPr>
            </w:pPr>
            <w:r w:rsidRPr="00E6523E">
              <w:rPr>
                <w:rFonts w:ascii="Corbel" w:hAnsi="Corbel" w:cs="Calibri"/>
                <w:i/>
                <w:sz w:val="18"/>
                <w:szCs w:val="18"/>
              </w:rPr>
              <w:t>z</w:t>
            </w:r>
            <w:r w:rsidRPr="00E6523E">
              <w:rPr>
                <w:rFonts w:ascii="Corbel" w:hAnsi="Corbel" w:cs="Calibri"/>
                <w:sz w:val="18"/>
                <w:szCs w:val="18"/>
                <w:vertAlign w:val="superscript"/>
              </w:rPr>
              <w:t xml:space="preserve"> </w:t>
            </w:r>
            <w:r w:rsidRPr="00E6523E">
              <w:rPr>
                <w:rFonts w:ascii="Corbel" w:hAnsi="Corbel" w:cs="Calibri"/>
                <w:sz w:val="18"/>
                <w:szCs w:val="18"/>
              </w:rPr>
              <w:t>= -3.331</w:t>
            </w:r>
          </w:p>
        </w:tc>
        <w:tc>
          <w:tcPr>
            <w:tcW w:w="1662" w:type="dxa"/>
            <w:gridSpan w:val="2"/>
            <w:shd w:val="clear" w:color="auto" w:fill="auto"/>
            <w:noWrap/>
            <w:vAlign w:val="center"/>
          </w:tcPr>
          <w:p w14:paraId="008FD67B"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Pr>
                <w:rFonts w:ascii="Corbel" w:hAnsi="Corbel" w:cs="Calibri"/>
                <w:i/>
                <w:sz w:val="18"/>
                <w:szCs w:val="18"/>
              </w:rPr>
              <w:t xml:space="preserve"> &lt;</w:t>
            </w:r>
            <w:r>
              <w:rPr>
                <w:rFonts w:ascii="Corbel" w:hAnsi="Corbel" w:cs="Calibri"/>
                <w:sz w:val="18"/>
                <w:szCs w:val="18"/>
              </w:rPr>
              <w:t xml:space="preserve"> </w:t>
            </w:r>
            <w:r w:rsidRPr="00E6523E">
              <w:rPr>
                <w:rFonts w:ascii="Corbel" w:hAnsi="Corbel" w:cs="Calibri"/>
                <w:sz w:val="18"/>
                <w:szCs w:val="18"/>
              </w:rPr>
              <w:t>0.00</w:t>
            </w:r>
            <w:r>
              <w:rPr>
                <w:rFonts w:ascii="Corbel" w:hAnsi="Corbel" w:cs="Calibri"/>
                <w:sz w:val="18"/>
                <w:szCs w:val="18"/>
              </w:rPr>
              <w:t>1</w:t>
            </w:r>
          </w:p>
        </w:tc>
        <w:tc>
          <w:tcPr>
            <w:tcW w:w="944" w:type="dxa"/>
            <w:tcBorders>
              <w:bottom w:val="single" w:sz="4" w:space="0" w:color="auto"/>
            </w:tcBorders>
            <w:shd w:val="clear" w:color="auto" w:fill="auto"/>
            <w:noWrap/>
            <w:vAlign w:val="center"/>
          </w:tcPr>
          <w:p w14:paraId="2923E003" w14:textId="77777777" w:rsidR="00E30685" w:rsidRDefault="00E30685" w:rsidP="00E730DF">
            <w:pPr>
              <w:jc w:val="center"/>
              <w:rPr>
                <w:rFonts w:ascii="Corbel" w:hAnsi="Corbel" w:cs="Calibri"/>
                <w:sz w:val="18"/>
                <w:szCs w:val="18"/>
              </w:rPr>
            </w:pPr>
          </w:p>
        </w:tc>
      </w:tr>
      <w:tr w:rsidR="00E30685" w14:paraId="481067D2"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4E8809C9" w14:textId="77777777" w:rsidR="00E30685" w:rsidRPr="00D36733" w:rsidRDefault="00E30685" w:rsidP="00E730DF">
            <w:pPr>
              <w:rPr>
                <w:rFonts w:ascii="Corbel" w:hAnsi="Corbel" w:cs="Calibri"/>
                <w:b/>
                <w:i/>
                <w:color w:val="000000"/>
                <w:sz w:val="18"/>
                <w:szCs w:val="18"/>
              </w:rPr>
            </w:pPr>
            <w:r w:rsidRPr="00D36733">
              <w:rPr>
                <w:rFonts w:ascii="Corbel" w:hAnsi="Corbel" w:cs="Calibri"/>
                <w:b/>
                <w:i/>
                <w:color w:val="000000"/>
                <w:sz w:val="18"/>
                <w:szCs w:val="18"/>
              </w:rPr>
              <w:t>Good and risk characteristics</w:t>
            </w:r>
          </w:p>
        </w:tc>
        <w:tc>
          <w:tcPr>
            <w:tcW w:w="1157" w:type="dxa"/>
            <w:tcBorders>
              <w:top w:val="single" w:sz="4" w:space="0" w:color="auto"/>
              <w:bottom w:val="single" w:sz="4" w:space="0" w:color="auto"/>
            </w:tcBorders>
            <w:shd w:val="clear" w:color="auto" w:fill="auto"/>
            <w:noWrap/>
            <w:vAlign w:val="center"/>
          </w:tcPr>
          <w:p w14:paraId="53EC402E"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29670E96"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71A75D37"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3CB0072F" w14:textId="77777777" w:rsidR="00E30685" w:rsidRDefault="00E30685" w:rsidP="00E730DF">
            <w:pPr>
              <w:jc w:val="center"/>
              <w:rPr>
                <w:rFonts w:ascii="Corbel" w:hAnsi="Corbel" w:cs="Calibri"/>
                <w:sz w:val="18"/>
                <w:szCs w:val="18"/>
              </w:rPr>
            </w:pPr>
          </w:p>
        </w:tc>
      </w:tr>
      <w:tr w:rsidR="00E30685" w14:paraId="402D056B"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386BC3A6" w14:textId="77777777" w:rsidR="00E30685" w:rsidRDefault="00E30685" w:rsidP="00E730DF">
            <w:pPr>
              <w:rPr>
                <w:rFonts w:ascii="Corbel" w:hAnsi="Corbel" w:cs="Calibri"/>
                <w:b/>
                <w:bCs/>
                <w:sz w:val="18"/>
                <w:szCs w:val="18"/>
              </w:rPr>
            </w:pPr>
            <w:r>
              <w:rPr>
                <w:rFonts w:ascii="Corbel" w:hAnsi="Corbel" w:cs="Calibri"/>
                <w:b/>
                <w:iCs/>
                <w:color w:val="000000"/>
                <w:sz w:val="18"/>
                <w:szCs w:val="18"/>
              </w:rPr>
              <w:t>P</w:t>
            </w:r>
            <w:r w:rsidRPr="00E6523E">
              <w:rPr>
                <w:rFonts w:ascii="Corbel" w:hAnsi="Corbel" w:cs="Calibri"/>
                <w:b/>
                <w:iCs/>
                <w:color w:val="000000"/>
                <w:sz w:val="18"/>
                <w:szCs w:val="18"/>
              </w:rPr>
              <w:t>esticide</w:t>
            </w:r>
            <w:r>
              <w:rPr>
                <w:rFonts w:ascii="Corbel" w:hAnsi="Corbel" w:cs="Calibri"/>
                <w:b/>
                <w:iCs/>
                <w:color w:val="000000"/>
                <w:sz w:val="18"/>
                <w:szCs w:val="18"/>
              </w:rPr>
              <w:t xml:space="preserve"> type</w:t>
            </w:r>
          </w:p>
        </w:tc>
        <w:tc>
          <w:tcPr>
            <w:tcW w:w="1157" w:type="dxa"/>
            <w:tcBorders>
              <w:top w:val="single" w:sz="4" w:space="0" w:color="auto"/>
              <w:bottom w:val="single" w:sz="4" w:space="0" w:color="auto"/>
            </w:tcBorders>
            <w:shd w:val="clear" w:color="auto" w:fill="auto"/>
            <w:noWrap/>
            <w:vAlign w:val="center"/>
          </w:tcPr>
          <w:p w14:paraId="193D8169"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679A6545"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292BF6E3"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16AB2EBF" w14:textId="77777777" w:rsidR="00E30685" w:rsidRDefault="00E30685" w:rsidP="00E730DF">
            <w:pPr>
              <w:jc w:val="center"/>
              <w:rPr>
                <w:rFonts w:ascii="Corbel" w:hAnsi="Corbel" w:cs="Calibri"/>
                <w:sz w:val="18"/>
                <w:szCs w:val="18"/>
              </w:rPr>
            </w:pPr>
          </w:p>
        </w:tc>
      </w:tr>
      <w:tr w:rsidR="00E30685" w14:paraId="2082EEBA" w14:textId="77777777" w:rsidTr="00E730DF">
        <w:trPr>
          <w:trHeight w:val="139"/>
        </w:trPr>
        <w:tc>
          <w:tcPr>
            <w:tcW w:w="3389" w:type="dxa"/>
            <w:tcBorders>
              <w:top w:val="single" w:sz="4" w:space="0" w:color="auto"/>
            </w:tcBorders>
            <w:shd w:val="clear" w:color="auto" w:fill="auto"/>
            <w:noWrap/>
            <w:vAlign w:val="center"/>
          </w:tcPr>
          <w:p w14:paraId="1A359DE9"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Insecticides</w:t>
            </w:r>
          </w:p>
        </w:tc>
        <w:tc>
          <w:tcPr>
            <w:tcW w:w="1157" w:type="dxa"/>
            <w:tcBorders>
              <w:top w:val="single" w:sz="4" w:space="0" w:color="auto"/>
            </w:tcBorders>
            <w:shd w:val="clear" w:color="auto" w:fill="auto"/>
            <w:noWrap/>
            <w:vAlign w:val="center"/>
          </w:tcPr>
          <w:p w14:paraId="15F7A46D"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104</w:t>
            </w:r>
          </w:p>
        </w:tc>
        <w:tc>
          <w:tcPr>
            <w:tcW w:w="804" w:type="dxa"/>
            <w:tcBorders>
              <w:top w:val="single" w:sz="4" w:space="0" w:color="auto"/>
            </w:tcBorders>
            <w:shd w:val="clear" w:color="auto" w:fill="auto"/>
            <w:noWrap/>
            <w:vAlign w:val="center"/>
          </w:tcPr>
          <w:p w14:paraId="586BA697"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24.65</w:t>
            </w:r>
          </w:p>
        </w:tc>
        <w:tc>
          <w:tcPr>
            <w:tcW w:w="858" w:type="dxa"/>
            <w:tcBorders>
              <w:top w:val="single" w:sz="4" w:space="0" w:color="auto"/>
            </w:tcBorders>
            <w:shd w:val="clear" w:color="auto" w:fill="auto"/>
            <w:noWrap/>
            <w:vAlign w:val="center"/>
          </w:tcPr>
          <w:p w14:paraId="34E2C327"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15.80</w:t>
            </w:r>
          </w:p>
        </w:tc>
        <w:tc>
          <w:tcPr>
            <w:tcW w:w="944" w:type="dxa"/>
            <w:tcBorders>
              <w:top w:val="single" w:sz="4" w:space="0" w:color="auto"/>
            </w:tcBorders>
            <w:shd w:val="clear" w:color="auto" w:fill="auto"/>
            <w:noWrap/>
            <w:vAlign w:val="center"/>
          </w:tcPr>
          <w:p w14:paraId="7A656FE7" w14:textId="77777777" w:rsidR="00E30685" w:rsidRDefault="00E30685" w:rsidP="00E730DF">
            <w:pPr>
              <w:jc w:val="center"/>
              <w:rPr>
                <w:rFonts w:ascii="Corbel" w:hAnsi="Corbel" w:cs="Calibri"/>
                <w:sz w:val="18"/>
                <w:szCs w:val="18"/>
              </w:rPr>
            </w:pPr>
            <w:r>
              <w:rPr>
                <w:rFonts w:ascii="Corbel" w:hAnsi="Corbel" w:cs="Calibri"/>
                <w:color w:val="000000"/>
                <w:sz w:val="18"/>
                <w:szCs w:val="18"/>
              </w:rPr>
              <w:t>24.10</w:t>
            </w:r>
          </w:p>
        </w:tc>
      </w:tr>
      <w:tr w:rsidR="00E30685" w14:paraId="1B6F023D" w14:textId="77777777" w:rsidTr="00E730DF">
        <w:trPr>
          <w:trHeight w:val="139"/>
        </w:trPr>
        <w:tc>
          <w:tcPr>
            <w:tcW w:w="3389" w:type="dxa"/>
            <w:shd w:val="clear" w:color="auto" w:fill="auto"/>
            <w:noWrap/>
            <w:vAlign w:val="center"/>
          </w:tcPr>
          <w:p w14:paraId="5A0D0825"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Herbicides</w:t>
            </w:r>
          </w:p>
        </w:tc>
        <w:tc>
          <w:tcPr>
            <w:tcW w:w="1157" w:type="dxa"/>
            <w:shd w:val="clear" w:color="auto" w:fill="auto"/>
            <w:noWrap/>
            <w:vAlign w:val="center"/>
          </w:tcPr>
          <w:p w14:paraId="40FE6495"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21</w:t>
            </w:r>
          </w:p>
        </w:tc>
        <w:tc>
          <w:tcPr>
            <w:tcW w:w="804" w:type="dxa"/>
            <w:shd w:val="clear" w:color="auto" w:fill="auto"/>
            <w:noWrap/>
            <w:vAlign w:val="center"/>
          </w:tcPr>
          <w:p w14:paraId="7A658C9B"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21.88</w:t>
            </w:r>
          </w:p>
        </w:tc>
        <w:tc>
          <w:tcPr>
            <w:tcW w:w="858" w:type="dxa"/>
            <w:shd w:val="clear" w:color="auto" w:fill="auto"/>
            <w:noWrap/>
            <w:vAlign w:val="center"/>
          </w:tcPr>
          <w:p w14:paraId="24D00667"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33.61</w:t>
            </w:r>
          </w:p>
        </w:tc>
        <w:tc>
          <w:tcPr>
            <w:tcW w:w="944" w:type="dxa"/>
            <w:shd w:val="clear" w:color="auto" w:fill="auto"/>
            <w:noWrap/>
            <w:vAlign w:val="center"/>
          </w:tcPr>
          <w:p w14:paraId="5B926D11" w14:textId="77777777" w:rsidR="00E30685" w:rsidRDefault="00E30685" w:rsidP="00E730DF">
            <w:pPr>
              <w:jc w:val="center"/>
              <w:rPr>
                <w:rFonts w:ascii="Corbel" w:hAnsi="Corbel" w:cs="Calibri"/>
                <w:sz w:val="18"/>
                <w:szCs w:val="18"/>
              </w:rPr>
            </w:pPr>
            <w:r>
              <w:rPr>
                <w:rFonts w:ascii="Corbel" w:hAnsi="Corbel" w:cs="Calibri"/>
                <w:color w:val="000000"/>
                <w:sz w:val="18"/>
                <w:szCs w:val="18"/>
              </w:rPr>
              <w:t>11.28</w:t>
            </w:r>
          </w:p>
        </w:tc>
      </w:tr>
      <w:tr w:rsidR="00E30685" w14:paraId="626D7647" w14:textId="77777777" w:rsidTr="00E730DF">
        <w:trPr>
          <w:trHeight w:val="139"/>
        </w:trPr>
        <w:tc>
          <w:tcPr>
            <w:tcW w:w="3389" w:type="dxa"/>
            <w:shd w:val="clear" w:color="auto" w:fill="auto"/>
            <w:noWrap/>
            <w:vAlign w:val="center"/>
          </w:tcPr>
          <w:p w14:paraId="0CB5A891"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Fungicides</w:t>
            </w:r>
          </w:p>
        </w:tc>
        <w:tc>
          <w:tcPr>
            <w:tcW w:w="1157" w:type="dxa"/>
            <w:shd w:val="clear" w:color="auto" w:fill="auto"/>
            <w:noWrap/>
            <w:vAlign w:val="center"/>
          </w:tcPr>
          <w:p w14:paraId="30108450"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25</w:t>
            </w:r>
          </w:p>
        </w:tc>
        <w:tc>
          <w:tcPr>
            <w:tcW w:w="804" w:type="dxa"/>
            <w:shd w:val="clear" w:color="auto" w:fill="auto"/>
            <w:noWrap/>
            <w:vAlign w:val="center"/>
          </w:tcPr>
          <w:p w14:paraId="04B0CF67"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19.19</w:t>
            </w:r>
          </w:p>
        </w:tc>
        <w:tc>
          <w:tcPr>
            <w:tcW w:w="858" w:type="dxa"/>
            <w:shd w:val="clear" w:color="auto" w:fill="auto"/>
            <w:noWrap/>
            <w:vAlign w:val="center"/>
          </w:tcPr>
          <w:p w14:paraId="0E1149D5"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7.77</w:t>
            </w:r>
          </w:p>
        </w:tc>
        <w:tc>
          <w:tcPr>
            <w:tcW w:w="944" w:type="dxa"/>
            <w:shd w:val="clear" w:color="auto" w:fill="auto"/>
            <w:noWrap/>
            <w:vAlign w:val="center"/>
          </w:tcPr>
          <w:p w14:paraId="484A38AF" w14:textId="77777777" w:rsidR="00E30685" w:rsidRDefault="00E30685" w:rsidP="00E730DF">
            <w:pPr>
              <w:jc w:val="center"/>
              <w:rPr>
                <w:rFonts w:ascii="Corbel" w:hAnsi="Corbel" w:cs="Calibri"/>
                <w:sz w:val="18"/>
                <w:szCs w:val="18"/>
              </w:rPr>
            </w:pPr>
            <w:r>
              <w:rPr>
                <w:rFonts w:ascii="Corbel" w:hAnsi="Corbel" w:cs="Calibri"/>
                <w:color w:val="000000"/>
                <w:sz w:val="18"/>
                <w:szCs w:val="18"/>
              </w:rPr>
              <w:t>19.32</w:t>
            </w:r>
          </w:p>
        </w:tc>
      </w:tr>
      <w:tr w:rsidR="00E30685" w14:paraId="2C9B7BFF" w14:textId="77777777" w:rsidTr="00E730DF">
        <w:trPr>
          <w:trHeight w:val="139"/>
        </w:trPr>
        <w:tc>
          <w:tcPr>
            <w:tcW w:w="3389" w:type="dxa"/>
            <w:shd w:val="clear" w:color="auto" w:fill="auto"/>
            <w:noWrap/>
            <w:vAlign w:val="center"/>
          </w:tcPr>
          <w:p w14:paraId="1C5F606E" w14:textId="77777777" w:rsidR="00E30685" w:rsidRDefault="00E30685" w:rsidP="00E730DF">
            <w:pPr>
              <w:rPr>
                <w:rFonts w:ascii="Corbel" w:hAnsi="Corbel" w:cs="Calibri"/>
                <w:b/>
                <w:bCs/>
                <w:sz w:val="18"/>
                <w:szCs w:val="18"/>
              </w:rPr>
            </w:pPr>
            <w:r>
              <w:rPr>
                <w:rFonts w:ascii="Corbel" w:hAnsi="Corbel" w:cs="Calibri"/>
                <w:color w:val="000000"/>
                <w:sz w:val="18"/>
                <w:szCs w:val="18"/>
              </w:rPr>
              <w:t>Unspecified</w:t>
            </w:r>
          </w:p>
        </w:tc>
        <w:tc>
          <w:tcPr>
            <w:tcW w:w="1157" w:type="dxa"/>
            <w:shd w:val="clear" w:color="auto" w:fill="auto"/>
            <w:noWrap/>
            <w:vAlign w:val="center"/>
          </w:tcPr>
          <w:p w14:paraId="12031F40"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152</w:t>
            </w:r>
          </w:p>
        </w:tc>
        <w:tc>
          <w:tcPr>
            <w:tcW w:w="804" w:type="dxa"/>
            <w:shd w:val="clear" w:color="auto" w:fill="auto"/>
            <w:noWrap/>
            <w:vAlign w:val="center"/>
          </w:tcPr>
          <w:p w14:paraId="1CD29213"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78.99</w:t>
            </w:r>
          </w:p>
        </w:tc>
        <w:tc>
          <w:tcPr>
            <w:tcW w:w="858" w:type="dxa"/>
            <w:shd w:val="clear" w:color="auto" w:fill="auto"/>
            <w:noWrap/>
            <w:vAlign w:val="center"/>
          </w:tcPr>
          <w:p w14:paraId="553AA2BE"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157.23</w:t>
            </w:r>
          </w:p>
        </w:tc>
        <w:tc>
          <w:tcPr>
            <w:tcW w:w="944" w:type="dxa"/>
            <w:shd w:val="clear" w:color="auto" w:fill="auto"/>
            <w:noWrap/>
            <w:vAlign w:val="center"/>
          </w:tcPr>
          <w:p w14:paraId="45822392" w14:textId="77777777" w:rsidR="00E30685" w:rsidRDefault="00E30685" w:rsidP="00E730DF">
            <w:pPr>
              <w:jc w:val="center"/>
              <w:rPr>
                <w:rFonts w:ascii="Corbel" w:hAnsi="Corbel" w:cs="Calibri"/>
                <w:sz w:val="18"/>
                <w:szCs w:val="18"/>
              </w:rPr>
            </w:pPr>
            <w:r>
              <w:rPr>
                <w:rFonts w:ascii="Corbel" w:hAnsi="Corbel" w:cs="Calibri"/>
                <w:color w:val="000000"/>
                <w:sz w:val="18"/>
                <w:szCs w:val="18"/>
              </w:rPr>
              <w:t>14.56</w:t>
            </w:r>
          </w:p>
        </w:tc>
      </w:tr>
      <w:tr w:rsidR="00E30685" w14:paraId="06C0E6AE" w14:textId="77777777" w:rsidTr="00E730DF">
        <w:trPr>
          <w:trHeight w:val="139"/>
        </w:trPr>
        <w:tc>
          <w:tcPr>
            <w:tcW w:w="3389" w:type="dxa"/>
            <w:tcBorders>
              <w:bottom w:val="single" w:sz="4" w:space="0" w:color="auto"/>
            </w:tcBorders>
            <w:shd w:val="clear" w:color="auto" w:fill="auto"/>
            <w:noWrap/>
            <w:vAlign w:val="center"/>
          </w:tcPr>
          <w:p w14:paraId="63F0A4F3" w14:textId="77777777" w:rsidR="00E30685" w:rsidRDefault="00E30685" w:rsidP="00E730DF">
            <w:pPr>
              <w:rPr>
                <w:rFonts w:ascii="Corbel" w:hAnsi="Corbel" w:cs="Calibri"/>
                <w:b/>
                <w:bCs/>
                <w:sz w:val="18"/>
                <w:szCs w:val="18"/>
              </w:rPr>
            </w:pPr>
            <w:r w:rsidRPr="00E6523E">
              <w:rPr>
                <w:rFonts w:ascii="Corbel" w:hAnsi="Corbel" w:cs="Calibri"/>
                <w:bCs/>
                <w:i/>
                <w:sz w:val="18"/>
                <w:szCs w:val="18"/>
              </w:rPr>
              <w:t>Kruskal-</w:t>
            </w:r>
            <w:proofErr w:type="gramStart"/>
            <w:r w:rsidRPr="00E6523E">
              <w:rPr>
                <w:rFonts w:ascii="Corbel" w:hAnsi="Corbel" w:cs="Calibri"/>
                <w:bCs/>
                <w:i/>
                <w:sz w:val="18"/>
                <w:szCs w:val="18"/>
              </w:rPr>
              <w:t>Wallis</w:t>
            </w:r>
            <w:proofErr w:type="gramEnd"/>
            <w:r w:rsidRPr="00E6523E">
              <w:rPr>
                <w:rFonts w:ascii="Corbel" w:hAnsi="Corbel" w:cs="Calibri"/>
                <w:bCs/>
                <w:i/>
                <w:sz w:val="18"/>
                <w:szCs w:val="18"/>
              </w:rPr>
              <w:t xml:space="preserve"> test</w:t>
            </w:r>
          </w:p>
        </w:tc>
        <w:tc>
          <w:tcPr>
            <w:tcW w:w="1157" w:type="dxa"/>
            <w:tcBorders>
              <w:bottom w:val="single" w:sz="4" w:space="0" w:color="auto"/>
            </w:tcBorders>
            <w:shd w:val="clear" w:color="auto" w:fill="auto"/>
            <w:noWrap/>
            <w:vAlign w:val="center"/>
          </w:tcPr>
          <w:p w14:paraId="21F4EAC7" w14:textId="77777777" w:rsidR="00E30685" w:rsidRDefault="00E30685" w:rsidP="00E730DF">
            <w:pPr>
              <w:jc w:val="center"/>
              <w:rPr>
                <w:rFonts w:ascii="Corbel" w:hAnsi="Corbel" w:cs="Calibri"/>
                <w:sz w:val="18"/>
                <w:szCs w:val="18"/>
              </w:rPr>
            </w:pPr>
            <w:r w:rsidRPr="00E6523E">
              <w:rPr>
                <w:rFonts w:ascii="Corbel" w:hAnsi="Corbel" w:cs="Calibri"/>
                <w:sz w:val="18"/>
                <w:szCs w:val="18"/>
              </w:rPr>
              <w:t>Χ</w:t>
            </w:r>
            <w:r w:rsidRPr="00E6523E">
              <w:rPr>
                <w:rFonts w:ascii="Corbel" w:hAnsi="Corbel" w:cs="Calibri"/>
                <w:sz w:val="18"/>
                <w:szCs w:val="18"/>
                <w:vertAlign w:val="superscript"/>
              </w:rPr>
              <w:t xml:space="preserve">2 </w:t>
            </w:r>
            <w:r w:rsidRPr="00E6523E">
              <w:rPr>
                <w:rFonts w:ascii="Corbel" w:hAnsi="Corbel" w:cs="Calibri"/>
                <w:sz w:val="18"/>
                <w:szCs w:val="18"/>
              </w:rPr>
              <w:t>= 7.127</w:t>
            </w:r>
          </w:p>
        </w:tc>
        <w:tc>
          <w:tcPr>
            <w:tcW w:w="1662" w:type="dxa"/>
            <w:gridSpan w:val="2"/>
            <w:tcBorders>
              <w:bottom w:val="single" w:sz="4" w:space="0" w:color="auto"/>
            </w:tcBorders>
            <w:shd w:val="clear" w:color="auto" w:fill="auto"/>
            <w:noWrap/>
            <w:vAlign w:val="center"/>
          </w:tcPr>
          <w:p w14:paraId="4BDF885E"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Pr>
                <w:rFonts w:ascii="Corbel" w:hAnsi="Corbel" w:cs="Calibri"/>
                <w:i/>
                <w:sz w:val="18"/>
                <w:szCs w:val="18"/>
              </w:rPr>
              <w:t xml:space="preserve"> </w:t>
            </w:r>
            <w:r>
              <w:rPr>
                <w:rFonts w:ascii="Corbel" w:hAnsi="Corbel" w:cs="Calibri"/>
                <w:sz w:val="18"/>
                <w:szCs w:val="18"/>
              </w:rPr>
              <w:t xml:space="preserve">&lt; </w:t>
            </w:r>
            <w:r w:rsidRPr="00E6523E">
              <w:rPr>
                <w:rFonts w:ascii="Corbel" w:hAnsi="Corbel" w:cs="Calibri"/>
                <w:sz w:val="18"/>
                <w:szCs w:val="18"/>
              </w:rPr>
              <w:t>0.068</w:t>
            </w:r>
          </w:p>
        </w:tc>
        <w:tc>
          <w:tcPr>
            <w:tcW w:w="944" w:type="dxa"/>
            <w:tcBorders>
              <w:bottom w:val="single" w:sz="4" w:space="0" w:color="auto"/>
            </w:tcBorders>
            <w:shd w:val="clear" w:color="auto" w:fill="auto"/>
            <w:noWrap/>
            <w:vAlign w:val="center"/>
          </w:tcPr>
          <w:p w14:paraId="597F6134" w14:textId="77777777" w:rsidR="00E30685" w:rsidRDefault="00E30685" w:rsidP="00E730DF">
            <w:pPr>
              <w:jc w:val="center"/>
              <w:rPr>
                <w:rFonts w:ascii="Corbel" w:hAnsi="Corbel" w:cs="Calibri"/>
                <w:sz w:val="18"/>
                <w:szCs w:val="18"/>
              </w:rPr>
            </w:pPr>
          </w:p>
        </w:tc>
      </w:tr>
      <w:tr w:rsidR="00E30685" w14:paraId="11918DB4"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315E4C12" w14:textId="77777777" w:rsidR="00E30685" w:rsidRDefault="00E30685" w:rsidP="00E730DF">
            <w:pPr>
              <w:rPr>
                <w:rFonts w:ascii="Corbel" w:hAnsi="Corbel" w:cs="Calibri"/>
                <w:b/>
                <w:bCs/>
                <w:sz w:val="18"/>
                <w:szCs w:val="18"/>
              </w:rPr>
            </w:pPr>
            <w:r>
              <w:rPr>
                <w:rFonts w:ascii="Corbel" w:hAnsi="Corbel" w:cs="Calibri"/>
                <w:b/>
                <w:color w:val="000000"/>
                <w:sz w:val="18"/>
                <w:szCs w:val="18"/>
              </w:rPr>
              <w:t xml:space="preserve">Food </w:t>
            </w:r>
            <w:r w:rsidRPr="00E6523E">
              <w:rPr>
                <w:rFonts w:ascii="Corbel" w:hAnsi="Corbel" w:cs="Calibri"/>
                <w:b/>
                <w:color w:val="000000"/>
                <w:sz w:val="18"/>
                <w:szCs w:val="18"/>
              </w:rPr>
              <w:t>product</w:t>
            </w:r>
          </w:p>
        </w:tc>
        <w:tc>
          <w:tcPr>
            <w:tcW w:w="1157" w:type="dxa"/>
            <w:tcBorders>
              <w:top w:val="single" w:sz="4" w:space="0" w:color="auto"/>
              <w:bottom w:val="single" w:sz="4" w:space="0" w:color="auto"/>
            </w:tcBorders>
            <w:shd w:val="clear" w:color="auto" w:fill="auto"/>
            <w:noWrap/>
            <w:vAlign w:val="center"/>
          </w:tcPr>
          <w:p w14:paraId="0999247C"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531969A2"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10F65BB9"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562982F3" w14:textId="77777777" w:rsidR="00E30685" w:rsidRDefault="00E30685" w:rsidP="00E730DF">
            <w:pPr>
              <w:jc w:val="center"/>
              <w:rPr>
                <w:rFonts w:ascii="Corbel" w:hAnsi="Corbel" w:cs="Calibri"/>
                <w:sz w:val="18"/>
                <w:szCs w:val="18"/>
              </w:rPr>
            </w:pPr>
          </w:p>
        </w:tc>
      </w:tr>
      <w:tr w:rsidR="00E30685" w14:paraId="07F2D94E" w14:textId="77777777" w:rsidTr="00E730DF">
        <w:trPr>
          <w:trHeight w:val="139"/>
        </w:trPr>
        <w:tc>
          <w:tcPr>
            <w:tcW w:w="3389" w:type="dxa"/>
            <w:tcBorders>
              <w:top w:val="single" w:sz="4" w:space="0" w:color="auto"/>
            </w:tcBorders>
            <w:shd w:val="clear" w:color="auto" w:fill="auto"/>
            <w:noWrap/>
            <w:vAlign w:val="center"/>
          </w:tcPr>
          <w:p w14:paraId="17F5FBAC" w14:textId="77777777" w:rsidR="00E30685" w:rsidRDefault="00E30685" w:rsidP="00E730DF">
            <w:pPr>
              <w:rPr>
                <w:rFonts w:ascii="Corbel" w:hAnsi="Corbel" w:cs="Calibri"/>
                <w:b/>
                <w:bCs/>
                <w:sz w:val="18"/>
                <w:szCs w:val="18"/>
              </w:rPr>
            </w:pPr>
            <w:r>
              <w:rPr>
                <w:rFonts w:ascii="Corbel" w:hAnsi="Corbel" w:cs="Calibri"/>
                <w:color w:val="000000"/>
                <w:sz w:val="18"/>
                <w:szCs w:val="18"/>
              </w:rPr>
              <w:t>Unspecified</w:t>
            </w:r>
          </w:p>
        </w:tc>
        <w:tc>
          <w:tcPr>
            <w:tcW w:w="1157" w:type="dxa"/>
            <w:tcBorders>
              <w:top w:val="single" w:sz="4" w:space="0" w:color="auto"/>
            </w:tcBorders>
            <w:shd w:val="clear" w:color="auto" w:fill="auto"/>
            <w:noWrap/>
            <w:vAlign w:val="center"/>
          </w:tcPr>
          <w:p w14:paraId="52C4C1B0"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111</w:t>
            </w:r>
          </w:p>
        </w:tc>
        <w:tc>
          <w:tcPr>
            <w:tcW w:w="804" w:type="dxa"/>
            <w:tcBorders>
              <w:top w:val="single" w:sz="4" w:space="0" w:color="auto"/>
            </w:tcBorders>
            <w:shd w:val="clear" w:color="auto" w:fill="auto"/>
            <w:noWrap/>
            <w:vAlign w:val="center"/>
          </w:tcPr>
          <w:p w14:paraId="61474C5C"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99.10</w:t>
            </w:r>
          </w:p>
        </w:tc>
        <w:tc>
          <w:tcPr>
            <w:tcW w:w="858" w:type="dxa"/>
            <w:tcBorders>
              <w:top w:val="single" w:sz="4" w:space="0" w:color="auto"/>
            </w:tcBorders>
            <w:shd w:val="clear" w:color="auto" w:fill="auto"/>
            <w:noWrap/>
            <w:vAlign w:val="center"/>
          </w:tcPr>
          <w:p w14:paraId="074953F2"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167.14</w:t>
            </w:r>
          </w:p>
        </w:tc>
        <w:tc>
          <w:tcPr>
            <w:tcW w:w="944" w:type="dxa"/>
            <w:tcBorders>
              <w:top w:val="single" w:sz="4" w:space="0" w:color="auto"/>
            </w:tcBorders>
            <w:shd w:val="clear" w:color="auto" w:fill="auto"/>
            <w:noWrap/>
            <w:vAlign w:val="center"/>
          </w:tcPr>
          <w:p w14:paraId="23261B52" w14:textId="77777777" w:rsidR="00E30685" w:rsidRDefault="00E30685" w:rsidP="00E730DF">
            <w:pPr>
              <w:jc w:val="center"/>
              <w:rPr>
                <w:rFonts w:ascii="Corbel" w:hAnsi="Corbel" w:cs="Calibri"/>
                <w:sz w:val="18"/>
                <w:szCs w:val="18"/>
              </w:rPr>
            </w:pPr>
            <w:r>
              <w:rPr>
                <w:rFonts w:ascii="Corbel" w:hAnsi="Corbel" w:cs="Calibri"/>
                <w:color w:val="000000"/>
                <w:sz w:val="18"/>
                <w:szCs w:val="18"/>
              </w:rPr>
              <w:t>27.45</w:t>
            </w:r>
          </w:p>
        </w:tc>
      </w:tr>
      <w:tr w:rsidR="00E30685" w14:paraId="33614E0F" w14:textId="77777777" w:rsidTr="00E730DF">
        <w:trPr>
          <w:trHeight w:val="139"/>
        </w:trPr>
        <w:tc>
          <w:tcPr>
            <w:tcW w:w="3389" w:type="dxa"/>
            <w:shd w:val="clear" w:color="auto" w:fill="auto"/>
            <w:noWrap/>
            <w:vAlign w:val="center"/>
          </w:tcPr>
          <w:p w14:paraId="0A8747E0"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Specific food</w:t>
            </w:r>
            <w:r>
              <w:rPr>
                <w:rFonts w:ascii="Corbel" w:hAnsi="Corbel" w:cs="Calibri"/>
                <w:color w:val="000000"/>
                <w:sz w:val="18"/>
                <w:szCs w:val="18"/>
              </w:rPr>
              <w:t xml:space="preserve"> items (e.g. tomatoes, apples etc.)</w:t>
            </w:r>
          </w:p>
        </w:tc>
        <w:tc>
          <w:tcPr>
            <w:tcW w:w="1157" w:type="dxa"/>
            <w:shd w:val="clear" w:color="auto" w:fill="auto"/>
            <w:noWrap/>
            <w:vAlign w:val="center"/>
          </w:tcPr>
          <w:p w14:paraId="02DD1B3E"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191</w:t>
            </w:r>
          </w:p>
        </w:tc>
        <w:tc>
          <w:tcPr>
            <w:tcW w:w="804" w:type="dxa"/>
            <w:shd w:val="clear" w:color="auto" w:fill="auto"/>
            <w:noWrap/>
            <w:vAlign w:val="center"/>
          </w:tcPr>
          <w:p w14:paraId="776ADC35"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23.61</w:t>
            </w:r>
          </w:p>
        </w:tc>
        <w:tc>
          <w:tcPr>
            <w:tcW w:w="858" w:type="dxa"/>
            <w:shd w:val="clear" w:color="auto" w:fill="auto"/>
            <w:noWrap/>
            <w:vAlign w:val="center"/>
          </w:tcPr>
          <w:p w14:paraId="598ED06B"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53.52</w:t>
            </w:r>
          </w:p>
        </w:tc>
        <w:tc>
          <w:tcPr>
            <w:tcW w:w="944" w:type="dxa"/>
            <w:shd w:val="clear" w:color="auto" w:fill="auto"/>
            <w:noWrap/>
            <w:vAlign w:val="center"/>
          </w:tcPr>
          <w:p w14:paraId="56DE90AE" w14:textId="77777777" w:rsidR="00E30685" w:rsidRDefault="00E30685" w:rsidP="00E730DF">
            <w:pPr>
              <w:jc w:val="center"/>
              <w:rPr>
                <w:rFonts w:ascii="Corbel" w:hAnsi="Corbel" w:cs="Calibri"/>
                <w:sz w:val="18"/>
                <w:szCs w:val="18"/>
              </w:rPr>
            </w:pPr>
            <w:r>
              <w:rPr>
                <w:rFonts w:ascii="Corbel" w:hAnsi="Corbel" w:cs="Calibri"/>
                <w:color w:val="000000"/>
                <w:sz w:val="18"/>
                <w:szCs w:val="18"/>
              </w:rPr>
              <w:t>9.62</w:t>
            </w:r>
          </w:p>
        </w:tc>
      </w:tr>
      <w:tr w:rsidR="00E30685" w14:paraId="55BA59CD" w14:textId="77777777" w:rsidTr="00E730DF">
        <w:trPr>
          <w:trHeight w:val="139"/>
        </w:trPr>
        <w:tc>
          <w:tcPr>
            <w:tcW w:w="3389" w:type="dxa"/>
            <w:tcBorders>
              <w:bottom w:val="single" w:sz="4" w:space="0" w:color="auto"/>
            </w:tcBorders>
            <w:shd w:val="clear" w:color="auto" w:fill="auto"/>
            <w:noWrap/>
            <w:vAlign w:val="center"/>
          </w:tcPr>
          <w:p w14:paraId="36FC700A" w14:textId="77777777" w:rsidR="00E30685" w:rsidRDefault="00E30685" w:rsidP="00E730DF">
            <w:pPr>
              <w:rPr>
                <w:rFonts w:ascii="Corbel" w:hAnsi="Corbel" w:cs="Calibri"/>
                <w:b/>
                <w:bCs/>
                <w:sz w:val="18"/>
                <w:szCs w:val="18"/>
              </w:rPr>
            </w:pPr>
            <w:r w:rsidRPr="00E6523E">
              <w:rPr>
                <w:rFonts w:ascii="Corbel" w:hAnsi="Corbel" w:cs="Calibri"/>
                <w:bCs/>
                <w:i/>
                <w:sz w:val="18"/>
                <w:szCs w:val="18"/>
              </w:rPr>
              <w:t>Mann-Whitney test</w:t>
            </w:r>
          </w:p>
        </w:tc>
        <w:tc>
          <w:tcPr>
            <w:tcW w:w="1157" w:type="dxa"/>
            <w:tcBorders>
              <w:bottom w:val="single" w:sz="4" w:space="0" w:color="auto"/>
            </w:tcBorders>
            <w:shd w:val="clear" w:color="auto" w:fill="auto"/>
            <w:noWrap/>
            <w:vAlign w:val="center"/>
          </w:tcPr>
          <w:p w14:paraId="0D62FA44" w14:textId="77777777" w:rsidR="00E30685" w:rsidRDefault="00E30685" w:rsidP="00E730DF">
            <w:pPr>
              <w:jc w:val="center"/>
              <w:rPr>
                <w:rFonts w:ascii="Corbel" w:hAnsi="Corbel" w:cs="Calibri"/>
                <w:sz w:val="18"/>
                <w:szCs w:val="18"/>
              </w:rPr>
            </w:pPr>
            <w:r w:rsidRPr="00E6523E">
              <w:rPr>
                <w:rFonts w:ascii="Corbel" w:hAnsi="Corbel" w:cs="Calibri"/>
                <w:i/>
                <w:sz w:val="18"/>
                <w:szCs w:val="18"/>
              </w:rPr>
              <w:t>z</w:t>
            </w:r>
            <w:r w:rsidRPr="00E6523E">
              <w:rPr>
                <w:rFonts w:ascii="Corbel" w:hAnsi="Corbel" w:cs="Calibri"/>
                <w:sz w:val="18"/>
                <w:szCs w:val="18"/>
                <w:vertAlign w:val="superscript"/>
              </w:rPr>
              <w:t xml:space="preserve"> </w:t>
            </w:r>
            <w:r w:rsidRPr="00E6523E">
              <w:rPr>
                <w:rFonts w:ascii="Corbel" w:hAnsi="Corbel" w:cs="Calibri"/>
                <w:sz w:val="18"/>
                <w:szCs w:val="18"/>
              </w:rPr>
              <w:t>= -9.703</w:t>
            </w:r>
          </w:p>
        </w:tc>
        <w:tc>
          <w:tcPr>
            <w:tcW w:w="1662" w:type="dxa"/>
            <w:gridSpan w:val="2"/>
            <w:tcBorders>
              <w:bottom w:val="single" w:sz="4" w:space="0" w:color="auto"/>
            </w:tcBorders>
            <w:shd w:val="clear" w:color="auto" w:fill="auto"/>
            <w:noWrap/>
            <w:vAlign w:val="center"/>
          </w:tcPr>
          <w:p w14:paraId="2927B2E2"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Pr>
                <w:rFonts w:ascii="Corbel" w:hAnsi="Corbel" w:cs="Calibri"/>
                <w:i/>
                <w:sz w:val="18"/>
                <w:szCs w:val="18"/>
              </w:rPr>
              <w:t xml:space="preserve"> &lt; </w:t>
            </w:r>
            <w:r w:rsidRPr="00E6523E">
              <w:rPr>
                <w:rFonts w:ascii="Corbel" w:hAnsi="Corbel" w:cs="Calibri"/>
                <w:sz w:val="18"/>
                <w:szCs w:val="18"/>
              </w:rPr>
              <w:t>0.00</w:t>
            </w:r>
            <w:r>
              <w:rPr>
                <w:rFonts w:ascii="Corbel" w:hAnsi="Corbel" w:cs="Calibri"/>
                <w:sz w:val="18"/>
                <w:szCs w:val="18"/>
              </w:rPr>
              <w:t>1</w:t>
            </w:r>
          </w:p>
        </w:tc>
        <w:tc>
          <w:tcPr>
            <w:tcW w:w="944" w:type="dxa"/>
            <w:tcBorders>
              <w:bottom w:val="single" w:sz="4" w:space="0" w:color="auto"/>
            </w:tcBorders>
            <w:shd w:val="clear" w:color="auto" w:fill="auto"/>
            <w:noWrap/>
            <w:vAlign w:val="center"/>
          </w:tcPr>
          <w:p w14:paraId="73065A12" w14:textId="77777777" w:rsidR="00E30685" w:rsidRDefault="00E30685" w:rsidP="00E730DF">
            <w:pPr>
              <w:jc w:val="center"/>
              <w:rPr>
                <w:rFonts w:ascii="Corbel" w:hAnsi="Corbel" w:cs="Calibri"/>
                <w:sz w:val="18"/>
                <w:szCs w:val="18"/>
              </w:rPr>
            </w:pPr>
          </w:p>
        </w:tc>
      </w:tr>
      <w:tr w:rsidR="00E30685" w14:paraId="5227EB28"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6913F1A6" w14:textId="77777777" w:rsidR="00E30685" w:rsidRDefault="00E30685" w:rsidP="00E730DF">
            <w:pPr>
              <w:rPr>
                <w:rFonts w:ascii="Corbel" w:hAnsi="Corbel" w:cs="Calibri"/>
                <w:b/>
                <w:bCs/>
                <w:sz w:val="18"/>
                <w:szCs w:val="18"/>
              </w:rPr>
            </w:pPr>
            <w:r>
              <w:rPr>
                <w:rFonts w:ascii="Corbel" w:hAnsi="Corbel" w:cs="Calibri"/>
                <w:b/>
                <w:bCs/>
                <w:sz w:val="18"/>
                <w:szCs w:val="18"/>
              </w:rPr>
              <w:t>Public</w:t>
            </w:r>
            <w:r w:rsidRPr="00E6523E">
              <w:rPr>
                <w:rFonts w:ascii="Corbel" w:hAnsi="Corbel" w:cs="Calibri"/>
                <w:b/>
                <w:bCs/>
                <w:sz w:val="18"/>
                <w:szCs w:val="18"/>
              </w:rPr>
              <w:t xml:space="preserve"> health impacts</w:t>
            </w:r>
          </w:p>
        </w:tc>
        <w:tc>
          <w:tcPr>
            <w:tcW w:w="1157" w:type="dxa"/>
            <w:tcBorders>
              <w:top w:val="single" w:sz="4" w:space="0" w:color="auto"/>
              <w:bottom w:val="single" w:sz="4" w:space="0" w:color="auto"/>
            </w:tcBorders>
            <w:shd w:val="clear" w:color="auto" w:fill="auto"/>
            <w:noWrap/>
            <w:vAlign w:val="center"/>
          </w:tcPr>
          <w:p w14:paraId="3D2A67E3" w14:textId="77777777" w:rsidR="00E30685" w:rsidRDefault="00E30685" w:rsidP="00E730DF">
            <w:pPr>
              <w:jc w:val="center"/>
              <w:rPr>
                <w:rFonts w:ascii="Corbel" w:hAnsi="Corbel" w:cs="Calibri"/>
                <w:sz w:val="18"/>
                <w:szCs w:val="18"/>
              </w:rPr>
            </w:pPr>
            <w:r w:rsidRPr="00E6523E">
              <w:rPr>
                <w:rFonts w:ascii="Corbel" w:hAnsi="Corbel" w:cs="Calibri"/>
                <w:sz w:val="18"/>
                <w:szCs w:val="18"/>
              </w:rPr>
              <w:t>159</w:t>
            </w:r>
          </w:p>
        </w:tc>
        <w:tc>
          <w:tcPr>
            <w:tcW w:w="804" w:type="dxa"/>
            <w:tcBorders>
              <w:top w:val="single" w:sz="4" w:space="0" w:color="auto"/>
              <w:bottom w:val="single" w:sz="4" w:space="0" w:color="auto"/>
            </w:tcBorders>
            <w:shd w:val="clear" w:color="auto" w:fill="auto"/>
            <w:noWrap/>
            <w:vAlign w:val="center"/>
          </w:tcPr>
          <w:p w14:paraId="1EE04F9A" w14:textId="77777777" w:rsidR="00E30685" w:rsidRDefault="00E30685" w:rsidP="00E730DF">
            <w:pPr>
              <w:jc w:val="center"/>
              <w:rPr>
                <w:rFonts w:ascii="Corbel" w:hAnsi="Corbel" w:cs="Calibri"/>
                <w:sz w:val="18"/>
                <w:szCs w:val="18"/>
              </w:rPr>
            </w:pPr>
            <w:r w:rsidRPr="00E6523E">
              <w:rPr>
                <w:rFonts w:ascii="Corbel" w:hAnsi="Corbel" w:cs="Calibri"/>
                <w:sz w:val="18"/>
                <w:szCs w:val="18"/>
              </w:rPr>
              <w:t>66.89</w:t>
            </w:r>
          </w:p>
        </w:tc>
        <w:tc>
          <w:tcPr>
            <w:tcW w:w="858" w:type="dxa"/>
            <w:tcBorders>
              <w:top w:val="single" w:sz="4" w:space="0" w:color="auto"/>
              <w:bottom w:val="single" w:sz="4" w:space="0" w:color="auto"/>
            </w:tcBorders>
            <w:shd w:val="clear" w:color="auto" w:fill="auto"/>
            <w:noWrap/>
            <w:vAlign w:val="center"/>
          </w:tcPr>
          <w:p w14:paraId="1E5A7C26" w14:textId="77777777" w:rsidR="00E30685" w:rsidRDefault="00E30685" w:rsidP="00E730DF">
            <w:pPr>
              <w:jc w:val="center"/>
              <w:rPr>
                <w:rFonts w:ascii="Corbel" w:hAnsi="Corbel" w:cs="Calibri"/>
                <w:sz w:val="18"/>
                <w:szCs w:val="18"/>
              </w:rPr>
            </w:pPr>
            <w:r w:rsidRPr="00E6523E">
              <w:rPr>
                <w:rFonts w:ascii="Corbel" w:hAnsi="Corbel" w:cs="Calibri"/>
                <w:sz w:val="18"/>
                <w:szCs w:val="18"/>
              </w:rPr>
              <w:t>139.75</w:t>
            </w:r>
          </w:p>
        </w:tc>
        <w:tc>
          <w:tcPr>
            <w:tcW w:w="944" w:type="dxa"/>
            <w:tcBorders>
              <w:top w:val="single" w:sz="4" w:space="0" w:color="auto"/>
              <w:bottom w:val="single" w:sz="4" w:space="0" w:color="auto"/>
            </w:tcBorders>
            <w:shd w:val="clear" w:color="auto" w:fill="auto"/>
            <w:noWrap/>
            <w:vAlign w:val="center"/>
          </w:tcPr>
          <w:p w14:paraId="10596FEF" w14:textId="77777777" w:rsidR="00E30685" w:rsidRDefault="00E30685" w:rsidP="00E730DF">
            <w:pPr>
              <w:jc w:val="center"/>
              <w:rPr>
                <w:rFonts w:ascii="Corbel" w:hAnsi="Corbel" w:cs="Calibri"/>
                <w:sz w:val="18"/>
                <w:szCs w:val="18"/>
              </w:rPr>
            </w:pPr>
            <w:r>
              <w:rPr>
                <w:rFonts w:ascii="Corbel" w:hAnsi="Corbel" w:cs="Calibri"/>
                <w:sz w:val="18"/>
                <w:szCs w:val="18"/>
              </w:rPr>
              <w:t>16.55</w:t>
            </w:r>
          </w:p>
        </w:tc>
      </w:tr>
      <w:tr w:rsidR="00E30685" w14:paraId="302187B3" w14:textId="77777777" w:rsidTr="00E730DF">
        <w:trPr>
          <w:trHeight w:val="139"/>
        </w:trPr>
        <w:tc>
          <w:tcPr>
            <w:tcW w:w="3389" w:type="dxa"/>
            <w:tcBorders>
              <w:top w:val="single" w:sz="4" w:space="0" w:color="auto"/>
            </w:tcBorders>
            <w:shd w:val="clear" w:color="auto" w:fill="auto"/>
            <w:noWrap/>
            <w:vAlign w:val="center"/>
          </w:tcPr>
          <w:p w14:paraId="6075345F" w14:textId="77777777" w:rsidR="00E30685" w:rsidRDefault="00E30685" w:rsidP="00E730DF">
            <w:pPr>
              <w:rPr>
                <w:rFonts w:ascii="Corbel" w:hAnsi="Corbel" w:cs="Calibri"/>
                <w:b/>
                <w:bCs/>
                <w:sz w:val="18"/>
                <w:szCs w:val="18"/>
              </w:rPr>
            </w:pPr>
            <w:r w:rsidRPr="00E6523E">
              <w:rPr>
                <w:rFonts w:ascii="Corbel" w:hAnsi="Corbel" w:cs="Calibri"/>
                <w:sz w:val="18"/>
                <w:szCs w:val="18"/>
              </w:rPr>
              <w:t>Cancer Risk</w:t>
            </w:r>
          </w:p>
        </w:tc>
        <w:tc>
          <w:tcPr>
            <w:tcW w:w="1157" w:type="dxa"/>
            <w:tcBorders>
              <w:top w:val="single" w:sz="4" w:space="0" w:color="auto"/>
            </w:tcBorders>
            <w:shd w:val="clear" w:color="auto" w:fill="auto"/>
            <w:noWrap/>
            <w:vAlign w:val="center"/>
          </w:tcPr>
          <w:p w14:paraId="0B670E5C" w14:textId="77777777" w:rsidR="00E30685" w:rsidRDefault="00E30685" w:rsidP="00E730DF">
            <w:pPr>
              <w:jc w:val="center"/>
              <w:rPr>
                <w:rFonts w:ascii="Corbel" w:hAnsi="Corbel" w:cs="Calibri"/>
                <w:sz w:val="18"/>
                <w:szCs w:val="18"/>
              </w:rPr>
            </w:pPr>
            <w:r w:rsidRPr="00E6523E">
              <w:rPr>
                <w:rFonts w:ascii="Corbel" w:hAnsi="Corbel" w:cs="Calibri"/>
                <w:sz w:val="18"/>
                <w:szCs w:val="18"/>
              </w:rPr>
              <w:t>46</w:t>
            </w:r>
          </w:p>
        </w:tc>
        <w:tc>
          <w:tcPr>
            <w:tcW w:w="804" w:type="dxa"/>
            <w:tcBorders>
              <w:top w:val="single" w:sz="4" w:space="0" w:color="auto"/>
            </w:tcBorders>
            <w:shd w:val="clear" w:color="auto" w:fill="auto"/>
            <w:noWrap/>
            <w:vAlign w:val="center"/>
          </w:tcPr>
          <w:p w14:paraId="0B9E9DD7" w14:textId="77777777" w:rsidR="00E30685" w:rsidRDefault="00E30685" w:rsidP="00E730DF">
            <w:pPr>
              <w:jc w:val="center"/>
              <w:rPr>
                <w:rFonts w:ascii="Corbel" w:hAnsi="Corbel" w:cs="Calibri"/>
                <w:sz w:val="18"/>
                <w:szCs w:val="18"/>
              </w:rPr>
            </w:pPr>
            <w:r w:rsidRPr="00E6523E">
              <w:rPr>
                <w:rFonts w:ascii="Corbel" w:hAnsi="Corbel" w:cs="Calibri"/>
                <w:sz w:val="18"/>
                <w:szCs w:val="18"/>
              </w:rPr>
              <w:t>154.32</w:t>
            </w:r>
          </w:p>
        </w:tc>
        <w:tc>
          <w:tcPr>
            <w:tcW w:w="858" w:type="dxa"/>
            <w:tcBorders>
              <w:top w:val="single" w:sz="4" w:space="0" w:color="auto"/>
            </w:tcBorders>
            <w:shd w:val="clear" w:color="auto" w:fill="auto"/>
            <w:noWrap/>
            <w:vAlign w:val="center"/>
          </w:tcPr>
          <w:p w14:paraId="5F1A0058" w14:textId="77777777" w:rsidR="00E30685" w:rsidRDefault="00E30685" w:rsidP="00E730DF">
            <w:pPr>
              <w:jc w:val="center"/>
              <w:rPr>
                <w:rFonts w:ascii="Corbel" w:hAnsi="Corbel" w:cs="Calibri"/>
                <w:sz w:val="18"/>
                <w:szCs w:val="18"/>
              </w:rPr>
            </w:pPr>
            <w:r w:rsidRPr="00E6523E">
              <w:rPr>
                <w:rFonts w:ascii="Corbel" w:hAnsi="Corbel" w:cs="Calibri"/>
                <w:sz w:val="18"/>
                <w:szCs w:val="18"/>
              </w:rPr>
              <w:t>212.80</w:t>
            </w:r>
          </w:p>
        </w:tc>
        <w:tc>
          <w:tcPr>
            <w:tcW w:w="944" w:type="dxa"/>
            <w:tcBorders>
              <w:top w:val="single" w:sz="4" w:space="0" w:color="auto"/>
            </w:tcBorders>
            <w:shd w:val="clear" w:color="auto" w:fill="auto"/>
            <w:noWrap/>
            <w:vAlign w:val="center"/>
          </w:tcPr>
          <w:p w14:paraId="038C1580" w14:textId="77777777" w:rsidR="00E30685" w:rsidRDefault="00E30685" w:rsidP="00E730DF">
            <w:pPr>
              <w:jc w:val="center"/>
              <w:rPr>
                <w:rFonts w:ascii="Corbel" w:hAnsi="Corbel" w:cs="Calibri"/>
                <w:sz w:val="18"/>
                <w:szCs w:val="18"/>
              </w:rPr>
            </w:pPr>
            <w:r>
              <w:rPr>
                <w:rFonts w:ascii="Corbel" w:hAnsi="Corbel" w:cs="Calibri"/>
                <w:sz w:val="18"/>
                <w:szCs w:val="18"/>
              </w:rPr>
              <w:t>25.59</w:t>
            </w:r>
          </w:p>
        </w:tc>
      </w:tr>
      <w:tr w:rsidR="00E30685" w14:paraId="27813C64" w14:textId="77777777" w:rsidTr="00E730DF">
        <w:trPr>
          <w:trHeight w:val="139"/>
        </w:trPr>
        <w:tc>
          <w:tcPr>
            <w:tcW w:w="3389" w:type="dxa"/>
            <w:shd w:val="clear" w:color="auto" w:fill="auto"/>
            <w:noWrap/>
            <w:vAlign w:val="center"/>
          </w:tcPr>
          <w:p w14:paraId="115F9A59" w14:textId="77777777" w:rsidR="00E30685" w:rsidRDefault="00E30685" w:rsidP="00E730DF">
            <w:pPr>
              <w:rPr>
                <w:rFonts w:ascii="Corbel" w:hAnsi="Corbel" w:cs="Calibri"/>
                <w:b/>
                <w:bCs/>
                <w:sz w:val="18"/>
                <w:szCs w:val="18"/>
              </w:rPr>
            </w:pPr>
            <w:r w:rsidRPr="00E6523E">
              <w:rPr>
                <w:rFonts w:ascii="Corbel" w:hAnsi="Corbel" w:cs="Calibri"/>
                <w:sz w:val="18"/>
                <w:szCs w:val="18"/>
              </w:rPr>
              <w:t>Acute</w:t>
            </w:r>
          </w:p>
        </w:tc>
        <w:tc>
          <w:tcPr>
            <w:tcW w:w="1157" w:type="dxa"/>
            <w:shd w:val="clear" w:color="auto" w:fill="auto"/>
            <w:noWrap/>
            <w:vAlign w:val="center"/>
          </w:tcPr>
          <w:p w14:paraId="1BB10447" w14:textId="77777777" w:rsidR="00E30685" w:rsidRDefault="00E30685" w:rsidP="00E730DF">
            <w:pPr>
              <w:jc w:val="center"/>
              <w:rPr>
                <w:rFonts w:ascii="Corbel" w:hAnsi="Corbel" w:cs="Calibri"/>
                <w:sz w:val="18"/>
                <w:szCs w:val="18"/>
              </w:rPr>
            </w:pPr>
            <w:r w:rsidRPr="00E6523E">
              <w:rPr>
                <w:rFonts w:ascii="Corbel" w:hAnsi="Corbel" w:cs="Calibri"/>
                <w:sz w:val="18"/>
                <w:szCs w:val="18"/>
              </w:rPr>
              <w:t>20</w:t>
            </w:r>
          </w:p>
        </w:tc>
        <w:tc>
          <w:tcPr>
            <w:tcW w:w="804" w:type="dxa"/>
            <w:shd w:val="clear" w:color="auto" w:fill="auto"/>
            <w:noWrap/>
            <w:vAlign w:val="center"/>
          </w:tcPr>
          <w:p w14:paraId="70FDD741" w14:textId="77777777" w:rsidR="00E30685" w:rsidRDefault="00E30685" w:rsidP="00E730DF">
            <w:pPr>
              <w:jc w:val="center"/>
              <w:rPr>
                <w:rFonts w:ascii="Corbel" w:hAnsi="Corbel" w:cs="Calibri"/>
                <w:sz w:val="18"/>
                <w:szCs w:val="18"/>
              </w:rPr>
            </w:pPr>
            <w:r w:rsidRPr="00E6523E">
              <w:rPr>
                <w:rFonts w:ascii="Corbel" w:hAnsi="Corbel" w:cs="Calibri"/>
                <w:sz w:val="18"/>
                <w:szCs w:val="18"/>
              </w:rPr>
              <w:t>41.02</w:t>
            </w:r>
          </w:p>
        </w:tc>
        <w:tc>
          <w:tcPr>
            <w:tcW w:w="858" w:type="dxa"/>
            <w:shd w:val="clear" w:color="auto" w:fill="auto"/>
            <w:noWrap/>
            <w:vAlign w:val="center"/>
          </w:tcPr>
          <w:p w14:paraId="5537D30C" w14:textId="77777777" w:rsidR="00E30685" w:rsidRDefault="00E30685" w:rsidP="00E730DF">
            <w:pPr>
              <w:jc w:val="center"/>
              <w:rPr>
                <w:rFonts w:ascii="Corbel" w:hAnsi="Corbel" w:cs="Calibri"/>
                <w:sz w:val="18"/>
                <w:szCs w:val="18"/>
              </w:rPr>
            </w:pPr>
            <w:r w:rsidRPr="00E6523E">
              <w:rPr>
                <w:rFonts w:ascii="Corbel" w:hAnsi="Corbel" w:cs="Calibri"/>
                <w:sz w:val="18"/>
                <w:szCs w:val="18"/>
              </w:rPr>
              <w:t>55.71</w:t>
            </w:r>
          </w:p>
        </w:tc>
        <w:tc>
          <w:tcPr>
            <w:tcW w:w="944" w:type="dxa"/>
            <w:shd w:val="clear" w:color="auto" w:fill="auto"/>
            <w:noWrap/>
            <w:vAlign w:val="center"/>
          </w:tcPr>
          <w:p w14:paraId="59A8458E" w14:textId="77777777" w:rsidR="00E30685" w:rsidRDefault="00E30685" w:rsidP="00E730DF">
            <w:pPr>
              <w:jc w:val="center"/>
              <w:rPr>
                <w:rFonts w:ascii="Corbel" w:hAnsi="Corbel" w:cs="Calibri"/>
                <w:sz w:val="18"/>
                <w:szCs w:val="18"/>
              </w:rPr>
            </w:pPr>
            <w:r>
              <w:rPr>
                <w:rFonts w:ascii="Corbel" w:hAnsi="Corbel" w:cs="Calibri"/>
                <w:sz w:val="18"/>
                <w:szCs w:val="18"/>
              </w:rPr>
              <w:t>27.44</w:t>
            </w:r>
          </w:p>
        </w:tc>
      </w:tr>
      <w:tr w:rsidR="00E30685" w14:paraId="00D25970" w14:textId="77777777" w:rsidTr="00E730DF">
        <w:trPr>
          <w:trHeight w:val="139"/>
        </w:trPr>
        <w:tc>
          <w:tcPr>
            <w:tcW w:w="3389" w:type="dxa"/>
            <w:shd w:val="clear" w:color="auto" w:fill="auto"/>
            <w:noWrap/>
            <w:vAlign w:val="center"/>
          </w:tcPr>
          <w:p w14:paraId="23F6A012" w14:textId="77777777" w:rsidR="00E30685" w:rsidRDefault="00E30685" w:rsidP="00E730DF">
            <w:pPr>
              <w:rPr>
                <w:rFonts w:ascii="Corbel" w:hAnsi="Corbel" w:cs="Calibri"/>
                <w:b/>
                <w:bCs/>
                <w:sz w:val="18"/>
                <w:szCs w:val="18"/>
              </w:rPr>
            </w:pPr>
            <w:r w:rsidRPr="00E6523E">
              <w:rPr>
                <w:rFonts w:ascii="Corbel" w:hAnsi="Corbel" w:cs="Calibri"/>
                <w:sz w:val="18"/>
                <w:szCs w:val="18"/>
              </w:rPr>
              <w:t>Chronic</w:t>
            </w:r>
          </w:p>
        </w:tc>
        <w:tc>
          <w:tcPr>
            <w:tcW w:w="1157" w:type="dxa"/>
            <w:shd w:val="clear" w:color="auto" w:fill="auto"/>
            <w:noWrap/>
            <w:vAlign w:val="center"/>
          </w:tcPr>
          <w:p w14:paraId="4767A0EA" w14:textId="77777777" w:rsidR="00E30685" w:rsidRDefault="00E30685" w:rsidP="00E730DF">
            <w:pPr>
              <w:jc w:val="center"/>
              <w:rPr>
                <w:rFonts w:ascii="Corbel" w:hAnsi="Corbel" w:cs="Calibri"/>
                <w:sz w:val="18"/>
                <w:szCs w:val="18"/>
              </w:rPr>
            </w:pPr>
            <w:r w:rsidRPr="00E6523E">
              <w:rPr>
                <w:rFonts w:ascii="Corbel" w:hAnsi="Corbel" w:cs="Calibri"/>
                <w:sz w:val="18"/>
                <w:szCs w:val="18"/>
              </w:rPr>
              <w:t>19</w:t>
            </w:r>
          </w:p>
        </w:tc>
        <w:tc>
          <w:tcPr>
            <w:tcW w:w="804" w:type="dxa"/>
            <w:shd w:val="clear" w:color="auto" w:fill="auto"/>
            <w:noWrap/>
            <w:vAlign w:val="center"/>
          </w:tcPr>
          <w:p w14:paraId="6D950AB2" w14:textId="77777777" w:rsidR="00E30685" w:rsidRDefault="00E30685" w:rsidP="00E730DF">
            <w:pPr>
              <w:jc w:val="center"/>
              <w:rPr>
                <w:rFonts w:ascii="Corbel" w:hAnsi="Corbel" w:cs="Calibri"/>
                <w:sz w:val="18"/>
                <w:szCs w:val="18"/>
              </w:rPr>
            </w:pPr>
            <w:r w:rsidRPr="00E6523E">
              <w:rPr>
                <w:rFonts w:ascii="Corbel" w:hAnsi="Corbel" w:cs="Calibri"/>
                <w:sz w:val="18"/>
                <w:szCs w:val="18"/>
              </w:rPr>
              <w:t>70.07</w:t>
            </w:r>
          </w:p>
        </w:tc>
        <w:tc>
          <w:tcPr>
            <w:tcW w:w="858" w:type="dxa"/>
            <w:shd w:val="clear" w:color="auto" w:fill="auto"/>
            <w:noWrap/>
            <w:vAlign w:val="center"/>
          </w:tcPr>
          <w:p w14:paraId="09C838C4" w14:textId="77777777" w:rsidR="00E30685" w:rsidRDefault="00E30685" w:rsidP="00E730DF">
            <w:pPr>
              <w:jc w:val="center"/>
              <w:rPr>
                <w:rFonts w:ascii="Corbel" w:hAnsi="Corbel" w:cs="Calibri"/>
                <w:sz w:val="18"/>
                <w:szCs w:val="18"/>
              </w:rPr>
            </w:pPr>
            <w:r w:rsidRPr="00E6523E">
              <w:rPr>
                <w:rFonts w:ascii="Corbel" w:hAnsi="Corbel" w:cs="Calibri"/>
                <w:sz w:val="18"/>
                <w:szCs w:val="18"/>
              </w:rPr>
              <w:t>114.58</w:t>
            </w:r>
          </w:p>
        </w:tc>
        <w:tc>
          <w:tcPr>
            <w:tcW w:w="944" w:type="dxa"/>
            <w:shd w:val="clear" w:color="auto" w:fill="auto"/>
            <w:noWrap/>
            <w:vAlign w:val="center"/>
          </w:tcPr>
          <w:p w14:paraId="61367278" w14:textId="77777777" w:rsidR="00E30685" w:rsidRDefault="00E30685" w:rsidP="00E730DF">
            <w:pPr>
              <w:jc w:val="center"/>
              <w:rPr>
                <w:rFonts w:ascii="Corbel" w:hAnsi="Corbel" w:cs="Calibri"/>
                <w:sz w:val="18"/>
                <w:szCs w:val="18"/>
              </w:rPr>
            </w:pPr>
            <w:r>
              <w:rPr>
                <w:rFonts w:ascii="Corbel" w:hAnsi="Corbel" w:cs="Calibri"/>
                <w:sz w:val="18"/>
                <w:szCs w:val="18"/>
              </w:rPr>
              <w:t>27.42</w:t>
            </w:r>
          </w:p>
        </w:tc>
      </w:tr>
      <w:tr w:rsidR="00E30685" w14:paraId="0BF2F6C6" w14:textId="77777777" w:rsidTr="00E730DF">
        <w:trPr>
          <w:trHeight w:val="139"/>
        </w:trPr>
        <w:tc>
          <w:tcPr>
            <w:tcW w:w="3389" w:type="dxa"/>
            <w:shd w:val="clear" w:color="auto" w:fill="auto"/>
            <w:noWrap/>
            <w:vAlign w:val="center"/>
          </w:tcPr>
          <w:p w14:paraId="20BDCA1F" w14:textId="77777777" w:rsidR="00E30685" w:rsidRDefault="00E30685" w:rsidP="00E730DF">
            <w:pPr>
              <w:rPr>
                <w:rFonts w:ascii="Corbel" w:hAnsi="Corbel" w:cs="Calibri"/>
                <w:b/>
                <w:bCs/>
                <w:sz w:val="18"/>
                <w:szCs w:val="18"/>
              </w:rPr>
            </w:pPr>
            <w:r>
              <w:rPr>
                <w:rFonts w:ascii="Corbel" w:hAnsi="Corbel" w:cs="Calibri"/>
                <w:sz w:val="18"/>
                <w:szCs w:val="18"/>
              </w:rPr>
              <w:t>Unspecified</w:t>
            </w:r>
          </w:p>
        </w:tc>
        <w:tc>
          <w:tcPr>
            <w:tcW w:w="1157" w:type="dxa"/>
            <w:shd w:val="clear" w:color="auto" w:fill="auto"/>
            <w:noWrap/>
            <w:vAlign w:val="center"/>
          </w:tcPr>
          <w:p w14:paraId="2BFFD617" w14:textId="77777777" w:rsidR="00E30685" w:rsidRDefault="00E30685" w:rsidP="00E730DF">
            <w:pPr>
              <w:jc w:val="center"/>
              <w:rPr>
                <w:rFonts w:ascii="Corbel" w:hAnsi="Corbel" w:cs="Calibri"/>
                <w:sz w:val="18"/>
                <w:szCs w:val="18"/>
              </w:rPr>
            </w:pPr>
            <w:r w:rsidRPr="00E6523E">
              <w:rPr>
                <w:rFonts w:ascii="Corbel" w:hAnsi="Corbel" w:cs="Calibri"/>
                <w:sz w:val="18"/>
                <w:szCs w:val="18"/>
              </w:rPr>
              <w:t>74</w:t>
            </w:r>
          </w:p>
        </w:tc>
        <w:tc>
          <w:tcPr>
            <w:tcW w:w="804" w:type="dxa"/>
            <w:shd w:val="clear" w:color="auto" w:fill="auto"/>
            <w:noWrap/>
            <w:vAlign w:val="center"/>
          </w:tcPr>
          <w:p w14:paraId="10C4F2A2" w14:textId="77777777" w:rsidR="00E30685" w:rsidRDefault="00E30685" w:rsidP="00E730DF">
            <w:pPr>
              <w:jc w:val="center"/>
              <w:rPr>
                <w:rFonts w:ascii="Corbel" w:hAnsi="Corbel" w:cs="Calibri"/>
                <w:sz w:val="18"/>
                <w:szCs w:val="18"/>
              </w:rPr>
            </w:pPr>
            <w:r w:rsidRPr="00E6523E">
              <w:rPr>
                <w:rFonts w:ascii="Corbel" w:hAnsi="Corbel" w:cs="Calibri"/>
                <w:sz w:val="18"/>
                <w:szCs w:val="18"/>
              </w:rPr>
              <w:t>18.72</w:t>
            </w:r>
          </w:p>
        </w:tc>
        <w:tc>
          <w:tcPr>
            <w:tcW w:w="858" w:type="dxa"/>
            <w:shd w:val="clear" w:color="auto" w:fill="auto"/>
            <w:noWrap/>
            <w:vAlign w:val="center"/>
          </w:tcPr>
          <w:p w14:paraId="6E9CEA82" w14:textId="77777777" w:rsidR="00E30685" w:rsidRDefault="00E30685" w:rsidP="00E730DF">
            <w:pPr>
              <w:jc w:val="center"/>
              <w:rPr>
                <w:rFonts w:ascii="Corbel" w:hAnsi="Corbel" w:cs="Calibri"/>
                <w:sz w:val="18"/>
                <w:szCs w:val="18"/>
              </w:rPr>
            </w:pPr>
            <w:r w:rsidRPr="00E6523E">
              <w:rPr>
                <w:rFonts w:ascii="Corbel" w:hAnsi="Corbel" w:cs="Calibri"/>
                <w:sz w:val="18"/>
                <w:szCs w:val="18"/>
              </w:rPr>
              <w:t>54.37</w:t>
            </w:r>
          </w:p>
        </w:tc>
        <w:tc>
          <w:tcPr>
            <w:tcW w:w="944" w:type="dxa"/>
            <w:shd w:val="clear" w:color="auto" w:fill="auto"/>
            <w:noWrap/>
            <w:vAlign w:val="center"/>
          </w:tcPr>
          <w:p w14:paraId="14DD6185" w14:textId="77777777" w:rsidR="00E30685" w:rsidRDefault="00E30685" w:rsidP="00E730DF">
            <w:pPr>
              <w:jc w:val="center"/>
              <w:rPr>
                <w:rFonts w:ascii="Corbel" w:hAnsi="Corbel" w:cs="Calibri"/>
                <w:sz w:val="18"/>
                <w:szCs w:val="18"/>
              </w:rPr>
            </w:pPr>
            <w:r>
              <w:rPr>
                <w:rFonts w:ascii="Corbel" w:hAnsi="Corbel" w:cs="Calibri"/>
                <w:sz w:val="18"/>
                <w:szCs w:val="18"/>
              </w:rPr>
              <w:t>4.11</w:t>
            </w:r>
          </w:p>
        </w:tc>
      </w:tr>
      <w:tr w:rsidR="00E30685" w14:paraId="4511654C" w14:textId="77777777" w:rsidTr="00E730DF">
        <w:trPr>
          <w:trHeight w:val="139"/>
        </w:trPr>
        <w:tc>
          <w:tcPr>
            <w:tcW w:w="3389" w:type="dxa"/>
            <w:tcBorders>
              <w:bottom w:val="single" w:sz="4" w:space="0" w:color="auto"/>
            </w:tcBorders>
            <w:shd w:val="clear" w:color="auto" w:fill="auto"/>
            <w:noWrap/>
            <w:vAlign w:val="center"/>
          </w:tcPr>
          <w:p w14:paraId="02F1BA0A" w14:textId="77777777" w:rsidR="00E30685" w:rsidRDefault="00E30685" w:rsidP="00E730DF">
            <w:pPr>
              <w:rPr>
                <w:rFonts w:ascii="Corbel" w:hAnsi="Corbel" w:cs="Calibri"/>
                <w:b/>
                <w:bCs/>
                <w:sz w:val="18"/>
                <w:szCs w:val="18"/>
              </w:rPr>
            </w:pPr>
            <w:r w:rsidRPr="00E6523E">
              <w:rPr>
                <w:rFonts w:ascii="Corbel" w:hAnsi="Corbel" w:cs="Calibri"/>
                <w:bCs/>
                <w:i/>
                <w:sz w:val="18"/>
                <w:szCs w:val="18"/>
              </w:rPr>
              <w:t>Kruskal-</w:t>
            </w:r>
            <w:proofErr w:type="gramStart"/>
            <w:r w:rsidRPr="00E6523E">
              <w:rPr>
                <w:rFonts w:ascii="Corbel" w:hAnsi="Corbel" w:cs="Calibri"/>
                <w:bCs/>
                <w:i/>
                <w:sz w:val="18"/>
                <w:szCs w:val="18"/>
              </w:rPr>
              <w:t>Wallis</w:t>
            </w:r>
            <w:proofErr w:type="gramEnd"/>
            <w:r w:rsidRPr="00E6523E">
              <w:rPr>
                <w:rFonts w:ascii="Corbel" w:hAnsi="Corbel" w:cs="Calibri"/>
                <w:bCs/>
                <w:i/>
                <w:sz w:val="18"/>
                <w:szCs w:val="18"/>
              </w:rPr>
              <w:t xml:space="preserve"> test</w:t>
            </w:r>
          </w:p>
        </w:tc>
        <w:tc>
          <w:tcPr>
            <w:tcW w:w="1157" w:type="dxa"/>
            <w:tcBorders>
              <w:bottom w:val="single" w:sz="4" w:space="0" w:color="auto"/>
            </w:tcBorders>
            <w:shd w:val="clear" w:color="auto" w:fill="auto"/>
            <w:noWrap/>
            <w:vAlign w:val="center"/>
          </w:tcPr>
          <w:p w14:paraId="0E7AB647" w14:textId="77777777" w:rsidR="00E30685" w:rsidRDefault="00E30685" w:rsidP="00E730DF">
            <w:pPr>
              <w:jc w:val="center"/>
              <w:rPr>
                <w:rFonts w:ascii="Corbel" w:hAnsi="Corbel" w:cs="Calibri"/>
                <w:sz w:val="18"/>
                <w:szCs w:val="18"/>
              </w:rPr>
            </w:pPr>
            <w:r w:rsidRPr="00E6523E">
              <w:rPr>
                <w:rFonts w:ascii="Corbel" w:hAnsi="Corbel" w:cs="Calibri"/>
                <w:sz w:val="18"/>
                <w:szCs w:val="18"/>
              </w:rPr>
              <w:t>Χ</w:t>
            </w:r>
            <w:r w:rsidRPr="00E6523E">
              <w:rPr>
                <w:rFonts w:ascii="Corbel" w:hAnsi="Corbel" w:cs="Calibri"/>
                <w:sz w:val="18"/>
                <w:szCs w:val="18"/>
                <w:vertAlign w:val="superscript"/>
              </w:rPr>
              <w:t xml:space="preserve">2 </w:t>
            </w:r>
            <w:r w:rsidRPr="00E6523E">
              <w:rPr>
                <w:rFonts w:ascii="Corbel" w:hAnsi="Corbel" w:cs="Calibri"/>
                <w:sz w:val="18"/>
                <w:szCs w:val="18"/>
              </w:rPr>
              <w:t xml:space="preserve">= </w:t>
            </w:r>
            <w:r>
              <w:rPr>
                <w:rFonts w:ascii="Corbel" w:hAnsi="Corbel" w:cs="Calibri"/>
                <w:sz w:val="18"/>
                <w:szCs w:val="18"/>
              </w:rPr>
              <w:t>46.979</w:t>
            </w:r>
          </w:p>
        </w:tc>
        <w:tc>
          <w:tcPr>
            <w:tcW w:w="1662" w:type="dxa"/>
            <w:gridSpan w:val="2"/>
            <w:tcBorders>
              <w:bottom w:val="single" w:sz="4" w:space="0" w:color="auto"/>
            </w:tcBorders>
            <w:shd w:val="clear" w:color="auto" w:fill="auto"/>
            <w:noWrap/>
            <w:vAlign w:val="center"/>
          </w:tcPr>
          <w:p w14:paraId="14AF6E75"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0.001</w:t>
            </w:r>
          </w:p>
        </w:tc>
        <w:tc>
          <w:tcPr>
            <w:tcW w:w="944" w:type="dxa"/>
            <w:tcBorders>
              <w:bottom w:val="single" w:sz="4" w:space="0" w:color="auto"/>
            </w:tcBorders>
            <w:shd w:val="clear" w:color="auto" w:fill="auto"/>
            <w:noWrap/>
            <w:vAlign w:val="center"/>
          </w:tcPr>
          <w:p w14:paraId="292D2C83" w14:textId="77777777" w:rsidR="00E30685" w:rsidRDefault="00E30685" w:rsidP="00E730DF">
            <w:pPr>
              <w:jc w:val="center"/>
              <w:rPr>
                <w:rFonts w:ascii="Corbel" w:hAnsi="Corbel" w:cs="Calibri"/>
                <w:sz w:val="18"/>
                <w:szCs w:val="18"/>
              </w:rPr>
            </w:pPr>
          </w:p>
        </w:tc>
      </w:tr>
      <w:tr w:rsidR="00E30685" w14:paraId="76196C9B"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4767E7EE" w14:textId="77777777" w:rsidR="00E30685" w:rsidRDefault="00E30685" w:rsidP="00E730DF">
            <w:pPr>
              <w:rPr>
                <w:rFonts w:ascii="Corbel" w:hAnsi="Corbel" w:cs="Calibri"/>
                <w:b/>
                <w:bCs/>
                <w:sz w:val="18"/>
                <w:szCs w:val="18"/>
              </w:rPr>
            </w:pPr>
            <w:r w:rsidRPr="00E6523E">
              <w:rPr>
                <w:rFonts w:ascii="Corbel" w:hAnsi="Corbel" w:cs="Calibri"/>
                <w:b/>
                <w:bCs/>
                <w:sz w:val="18"/>
                <w:szCs w:val="18"/>
              </w:rPr>
              <w:t>Environmental impacts</w:t>
            </w:r>
          </w:p>
        </w:tc>
        <w:tc>
          <w:tcPr>
            <w:tcW w:w="1157" w:type="dxa"/>
            <w:tcBorders>
              <w:top w:val="single" w:sz="4" w:space="0" w:color="auto"/>
              <w:bottom w:val="single" w:sz="4" w:space="0" w:color="auto"/>
            </w:tcBorders>
            <w:shd w:val="clear" w:color="auto" w:fill="auto"/>
            <w:noWrap/>
            <w:vAlign w:val="center"/>
          </w:tcPr>
          <w:p w14:paraId="78396EB3" w14:textId="77777777" w:rsidR="00E30685" w:rsidRDefault="00E30685" w:rsidP="00E730DF">
            <w:pPr>
              <w:jc w:val="center"/>
              <w:rPr>
                <w:rFonts w:ascii="Corbel" w:hAnsi="Corbel" w:cs="Calibri"/>
                <w:sz w:val="18"/>
                <w:szCs w:val="18"/>
              </w:rPr>
            </w:pPr>
            <w:r w:rsidRPr="00E6523E">
              <w:rPr>
                <w:rFonts w:ascii="Corbel" w:hAnsi="Corbel" w:cs="Calibri"/>
                <w:sz w:val="18"/>
                <w:szCs w:val="18"/>
              </w:rPr>
              <w:t>123</w:t>
            </w:r>
          </w:p>
        </w:tc>
        <w:tc>
          <w:tcPr>
            <w:tcW w:w="804" w:type="dxa"/>
            <w:tcBorders>
              <w:top w:val="single" w:sz="4" w:space="0" w:color="auto"/>
              <w:bottom w:val="single" w:sz="4" w:space="0" w:color="auto"/>
            </w:tcBorders>
            <w:shd w:val="clear" w:color="auto" w:fill="auto"/>
            <w:noWrap/>
            <w:vAlign w:val="center"/>
          </w:tcPr>
          <w:p w14:paraId="4E58AFAE" w14:textId="77777777" w:rsidR="00E30685" w:rsidRDefault="00E30685" w:rsidP="00E730DF">
            <w:pPr>
              <w:jc w:val="center"/>
              <w:rPr>
                <w:rFonts w:ascii="Corbel" w:hAnsi="Corbel" w:cs="Calibri"/>
                <w:sz w:val="18"/>
                <w:szCs w:val="18"/>
              </w:rPr>
            </w:pPr>
            <w:r w:rsidRPr="00E6523E">
              <w:rPr>
                <w:rFonts w:ascii="Corbel" w:hAnsi="Corbel" w:cs="Calibri"/>
                <w:sz w:val="18"/>
                <w:szCs w:val="18"/>
              </w:rPr>
              <w:t>21.94</w:t>
            </w:r>
          </w:p>
        </w:tc>
        <w:tc>
          <w:tcPr>
            <w:tcW w:w="858" w:type="dxa"/>
            <w:tcBorders>
              <w:top w:val="single" w:sz="4" w:space="0" w:color="auto"/>
              <w:bottom w:val="single" w:sz="4" w:space="0" w:color="auto"/>
            </w:tcBorders>
            <w:shd w:val="clear" w:color="auto" w:fill="auto"/>
            <w:noWrap/>
            <w:vAlign w:val="center"/>
          </w:tcPr>
          <w:p w14:paraId="3B587A35" w14:textId="77777777" w:rsidR="00E30685" w:rsidRDefault="00E30685" w:rsidP="00E730DF">
            <w:pPr>
              <w:jc w:val="center"/>
              <w:rPr>
                <w:rFonts w:ascii="Corbel" w:hAnsi="Corbel" w:cs="Calibri"/>
                <w:sz w:val="18"/>
                <w:szCs w:val="18"/>
              </w:rPr>
            </w:pPr>
            <w:r w:rsidRPr="00E6523E">
              <w:rPr>
                <w:rFonts w:ascii="Corbel" w:hAnsi="Corbel" w:cs="Calibri"/>
                <w:sz w:val="18"/>
                <w:szCs w:val="18"/>
              </w:rPr>
              <w:t>14.70</w:t>
            </w:r>
          </w:p>
        </w:tc>
        <w:tc>
          <w:tcPr>
            <w:tcW w:w="944" w:type="dxa"/>
            <w:tcBorders>
              <w:top w:val="single" w:sz="4" w:space="0" w:color="auto"/>
              <w:bottom w:val="single" w:sz="4" w:space="0" w:color="auto"/>
            </w:tcBorders>
            <w:shd w:val="clear" w:color="auto" w:fill="auto"/>
            <w:noWrap/>
            <w:vAlign w:val="center"/>
          </w:tcPr>
          <w:p w14:paraId="4C550E7B" w14:textId="77777777" w:rsidR="00E30685" w:rsidRDefault="00E30685" w:rsidP="00E730DF">
            <w:pPr>
              <w:jc w:val="center"/>
              <w:rPr>
                <w:rFonts w:ascii="Corbel" w:hAnsi="Corbel" w:cs="Calibri"/>
                <w:sz w:val="18"/>
                <w:szCs w:val="18"/>
              </w:rPr>
            </w:pPr>
            <w:r>
              <w:rPr>
                <w:rFonts w:ascii="Corbel" w:hAnsi="Corbel" w:cs="Calibri"/>
                <w:sz w:val="18"/>
                <w:szCs w:val="18"/>
              </w:rPr>
              <w:t>21.73</w:t>
            </w:r>
          </w:p>
        </w:tc>
      </w:tr>
      <w:tr w:rsidR="00E30685" w14:paraId="17F5405F" w14:textId="77777777" w:rsidTr="00E730DF">
        <w:trPr>
          <w:trHeight w:val="139"/>
        </w:trPr>
        <w:tc>
          <w:tcPr>
            <w:tcW w:w="3389" w:type="dxa"/>
            <w:tcBorders>
              <w:top w:val="single" w:sz="4" w:space="0" w:color="auto"/>
            </w:tcBorders>
            <w:shd w:val="clear" w:color="auto" w:fill="auto"/>
            <w:noWrap/>
            <w:vAlign w:val="center"/>
          </w:tcPr>
          <w:p w14:paraId="4868740A" w14:textId="77777777" w:rsidR="00E30685" w:rsidRDefault="00E30685" w:rsidP="00E730DF">
            <w:pPr>
              <w:rPr>
                <w:rFonts w:ascii="Corbel" w:hAnsi="Corbel" w:cs="Calibri"/>
                <w:b/>
                <w:bCs/>
                <w:sz w:val="18"/>
                <w:szCs w:val="18"/>
              </w:rPr>
            </w:pPr>
            <w:r w:rsidRPr="00E6523E">
              <w:rPr>
                <w:rFonts w:ascii="Corbel" w:hAnsi="Corbel" w:cs="Calibri"/>
                <w:sz w:val="18"/>
                <w:szCs w:val="18"/>
              </w:rPr>
              <w:t>Biodiversity</w:t>
            </w:r>
          </w:p>
        </w:tc>
        <w:tc>
          <w:tcPr>
            <w:tcW w:w="1157" w:type="dxa"/>
            <w:tcBorders>
              <w:top w:val="single" w:sz="4" w:space="0" w:color="auto"/>
            </w:tcBorders>
            <w:shd w:val="clear" w:color="auto" w:fill="auto"/>
            <w:noWrap/>
            <w:vAlign w:val="center"/>
          </w:tcPr>
          <w:p w14:paraId="6A387587" w14:textId="77777777" w:rsidR="00E30685" w:rsidRDefault="00E30685" w:rsidP="00E730DF">
            <w:pPr>
              <w:jc w:val="center"/>
              <w:rPr>
                <w:rFonts w:ascii="Corbel" w:hAnsi="Corbel" w:cs="Calibri"/>
                <w:sz w:val="18"/>
                <w:szCs w:val="18"/>
              </w:rPr>
            </w:pPr>
            <w:r w:rsidRPr="00E6523E">
              <w:rPr>
                <w:rFonts w:ascii="Corbel" w:hAnsi="Corbel" w:cs="Calibri"/>
                <w:sz w:val="18"/>
                <w:szCs w:val="18"/>
              </w:rPr>
              <w:t>18</w:t>
            </w:r>
          </w:p>
        </w:tc>
        <w:tc>
          <w:tcPr>
            <w:tcW w:w="804" w:type="dxa"/>
            <w:tcBorders>
              <w:top w:val="single" w:sz="4" w:space="0" w:color="auto"/>
            </w:tcBorders>
            <w:shd w:val="clear" w:color="auto" w:fill="auto"/>
            <w:noWrap/>
            <w:vAlign w:val="center"/>
          </w:tcPr>
          <w:p w14:paraId="1301AA57" w14:textId="77777777" w:rsidR="00E30685" w:rsidRDefault="00E30685" w:rsidP="00E730DF">
            <w:pPr>
              <w:jc w:val="center"/>
              <w:rPr>
                <w:rFonts w:ascii="Corbel" w:hAnsi="Corbel" w:cs="Calibri"/>
                <w:sz w:val="18"/>
                <w:szCs w:val="18"/>
              </w:rPr>
            </w:pPr>
            <w:r w:rsidRPr="00E6523E">
              <w:rPr>
                <w:rFonts w:ascii="Corbel" w:hAnsi="Corbel" w:cs="Calibri"/>
                <w:sz w:val="18"/>
                <w:szCs w:val="18"/>
              </w:rPr>
              <w:t>6.76</w:t>
            </w:r>
          </w:p>
        </w:tc>
        <w:tc>
          <w:tcPr>
            <w:tcW w:w="858" w:type="dxa"/>
            <w:tcBorders>
              <w:top w:val="single" w:sz="4" w:space="0" w:color="auto"/>
            </w:tcBorders>
            <w:shd w:val="clear" w:color="auto" w:fill="auto"/>
            <w:noWrap/>
            <w:vAlign w:val="center"/>
          </w:tcPr>
          <w:p w14:paraId="41F08D78" w14:textId="77777777" w:rsidR="00E30685" w:rsidRDefault="00E30685" w:rsidP="00E730DF">
            <w:pPr>
              <w:jc w:val="center"/>
              <w:rPr>
                <w:rFonts w:ascii="Corbel" w:hAnsi="Corbel" w:cs="Calibri"/>
                <w:sz w:val="18"/>
                <w:szCs w:val="18"/>
              </w:rPr>
            </w:pPr>
            <w:r w:rsidRPr="00E6523E">
              <w:rPr>
                <w:rFonts w:ascii="Corbel" w:hAnsi="Corbel" w:cs="Calibri"/>
                <w:sz w:val="18"/>
                <w:szCs w:val="18"/>
              </w:rPr>
              <w:t>5.96</w:t>
            </w:r>
          </w:p>
        </w:tc>
        <w:tc>
          <w:tcPr>
            <w:tcW w:w="944" w:type="dxa"/>
            <w:tcBorders>
              <w:top w:val="single" w:sz="4" w:space="0" w:color="auto"/>
            </w:tcBorders>
            <w:shd w:val="clear" w:color="auto" w:fill="auto"/>
            <w:noWrap/>
            <w:vAlign w:val="center"/>
          </w:tcPr>
          <w:p w14:paraId="44700178" w14:textId="77777777" w:rsidR="00E30685" w:rsidRDefault="00E30685" w:rsidP="00E730DF">
            <w:pPr>
              <w:jc w:val="center"/>
              <w:rPr>
                <w:rFonts w:ascii="Corbel" w:hAnsi="Corbel" w:cs="Calibri"/>
                <w:sz w:val="18"/>
                <w:szCs w:val="18"/>
              </w:rPr>
            </w:pPr>
            <w:r>
              <w:rPr>
                <w:rFonts w:ascii="Corbel" w:hAnsi="Corbel" w:cs="Calibri"/>
                <w:sz w:val="18"/>
                <w:szCs w:val="18"/>
              </w:rPr>
              <w:t>6.41</w:t>
            </w:r>
          </w:p>
        </w:tc>
      </w:tr>
      <w:tr w:rsidR="00E30685" w14:paraId="507DC1D0" w14:textId="77777777" w:rsidTr="00E730DF">
        <w:trPr>
          <w:trHeight w:val="139"/>
        </w:trPr>
        <w:tc>
          <w:tcPr>
            <w:tcW w:w="3389" w:type="dxa"/>
            <w:shd w:val="clear" w:color="auto" w:fill="auto"/>
            <w:noWrap/>
            <w:vAlign w:val="center"/>
          </w:tcPr>
          <w:p w14:paraId="36B345F1" w14:textId="77777777" w:rsidR="00E30685" w:rsidRDefault="00E30685" w:rsidP="00E730DF">
            <w:pPr>
              <w:rPr>
                <w:rFonts w:ascii="Corbel" w:hAnsi="Corbel" w:cs="Calibri"/>
                <w:b/>
                <w:bCs/>
                <w:sz w:val="18"/>
                <w:szCs w:val="18"/>
              </w:rPr>
            </w:pPr>
            <w:r w:rsidRPr="00E6523E">
              <w:rPr>
                <w:rFonts w:ascii="Calibri" w:hAnsi="Calibri" w:cs="Calibri"/>
                <w:color w:val="000000"/>
                <w:sz w:val="18"/>
                <w:szCs w:val="18"/>
              </w:rPr>
              <w:t>Terrestrial organisms</w:t>
            </w:r>
          </w:p>
        </w:tc>
        <w:tc>
          <w:tcPr>
            <w:tcW w:w="1157" w:type="dxa"/>
            <w:shd w:val="clear" w:color="auto" w:fill="auto"/>
            <w:noWrap/>
            <w:vAlign w:val="center"/>
          </w:tcPr>
          <w:p w14:paraId="168F08B1" w14:textId="77777777" w:rsidR="00E30685" w:rsidRDefault="00E30685" w:rsidP="00E730DF">
            <w:pPr>
              <w:jc w:val="center"/>
              <w:rPr>
                <w:rFonts w:ascii="Corbel" w:hAnsi="Corbel" w:cs="Calibri"/>
                <w:sz w:val="18"/>
                <w:szCs w:val="18"/>
              </w:rPr>
            </w:pPr>
            <w:r w:rsidRPr="00E6523E">
              <w:rPr>
                <w:rFonts w:ascii="Corbel" w:hAnsi="Corbel" w:cs="Calibri"/>
                <w:sz w:val="18"/>
                <w:szCs w:val="18"/>
              </w:rPr>
              <w:t>48</w:t>
            </w:r>
          </w:p>
        </w:tc>
        <w:tc>
          <w:tcPr>
            <w:tcW w:w="804" w:type="dxa"/>
            <w:shd w:val="clear" w:color="auto" w:fill="auto"/>
            <w:noWrap/>
            <w:vAlign w:val="center"/>
          </w:tcPr>
          <w:p w14:paraId="084D357D" w14:textId="77777777" w:rsidR="00E30685" w:rsidRDefault="00E30685" w:rsidP="00E730DF">
            <w:pPr>
              <w:jc w:val="center"/>
              <w:rPr>
                <w:rFonts w:ascii="Corbel" w:hAnsi="Corbel" w:cs="Calibri"/>
                <w:sz w:val="18"/>
                <w:szCs w:val="18"/>
              </w:rPr>
            </w:pPr>
            <w:r w:rsidRPr="00E6523E">
              <w:rPr>
                <w:rFonts w:ascii="Corbel" w:hAnsi="Corbel" w:cs="Calibri"/>
                <w:sz w:val="18"/>
                <w:szCs w:val="18"/>
              </w:rPr>
              <w:t>2</w:t>
            </w:r>
            <w:r>
              <w:rPr>
                <w:rFonts w:ascii="Corbel" w:hAnsi="Corbel" w:cs="Calibri"/>
                <w:sz w:val="18"/>
                <w:szCs w:val="18"/>
              </w:rPr>
              <w:t>4</w:t>
            </w:r>
            <w:r w:rsidRPr="00E6523E">
              <w:rPr>
                <w:rFonts w:ascii="Corbel" w:hAnsi="Corbel" w:cs="Calibri"/>
                <w:sz w:val="18"/>
                <w:szCs w:val="18"/>
              </w:rPr>
              <w:t>.18</w:t>
            </w:r>
          </w:p>
        </w:tc>
        <w:tc>
          <w:tcPr>
            <w:tcW w:w="858" w:type="dxa"/>
            <w:shd w:val="clear" w:color="auto" w:fill="auto"/>
            <w:noWrap/>
            <w:vAlign w:val="center"/>
          </w:tcPr>
          <w:p w14:paraId="15099EF4" w14:textId="77777777" w:rsidR="00E30685" w:rsidRDefault="00E30685" w:rsidP="00E730DF">
            <w:pPr>
              <w:jc w:val="center"/>
              <w:rPr>
                <w:rFonts w:ascii="Corbel" w:hAnsi="Corbel" w:cs="Calibri"/>
                <w:sz w:val="18"/>
                <w:szCs w:val="18"/>
              </w:rPr>
            </w:pPr>
            <w:r>
              <w:rPr>
                <w:rFonts w:ascii="Corbel" w:hAnsi="Corbel" w:cs="Calibri"/>
                <w:sz w:val="18"/>
                <w:szCs w:val="18"/>
              </w:rPr>
              <w:t>1</w:t>
            </w:r>
            <w:r w:rsidRPr="00E6523E">
              <w:rPr>
                <w:rFonts w:ascii="Corbel" w:hAnsi="Corbel" w:cs="Calibri"/>
                <w:sz w:val="18"/>
                <w:szCs w:val="18"/>
              </w:rPr>
              <w:t>1.54</w:t>
            </w:r>
          </w:p>
        </w:tc>
        <w:tc>
          <w:tcPr>
            <w:tcW w:w="944" w:type="dxa"/>
            <w:shd w:val="clear" w:color="auto" w:fill="auto"/>
            <w:noWrap/>
            <w:vAlign w:val="center"/>
          </w:tcPr>
          <w:p w14:paraId="2D23C65E" w14:textId="77777777" w:rsidR="00E30685" w:rsidRDefault="00E30685" w:rsidP="00E730DF">
            <w:pPr>
              <w:jc w:val="center"/>
              <w:rPr>
                <w:rFonts w:ascii="Corbel" w:hAnsi="Corbel" w:cs="Calibri"/>
                <w:sz w:val="18"/>
                <w:szCs w:val="18"/>
              </w:rPr>
            </w:pPr>
            <w:r>
              <w:rPr>
                <w:rFonts w:ascii="Corbel" w:hAnsi="Corbel" w:cs="Calibri"/>
                <w:sz w:val="18"/>
                <w:szCs w:val="18"/>
              </w:rPr>
              <w:t>22.30</w:t>
            </w:r>
          </w:p>
        </w:tc>
      </w:tr>
      <w:tr w:rsidR="00E30685" w14:paraId="76720BE0" w14:textId="77777777" w:rsidTr="00E730DF">
        <w:trPr>
          <w:trHeight w:val="139"/>
        </w:trPr>
        <w:tc>
          <w:tcPr>
            <w:tcW w:w="3389" w:type="dxa"/>
            <w:shd w:val="clear" w:color="auto" w:fill="auto"/>
            <w:noWrap/>
            <w:vAlign w:val="center"/>
          </w:tcPr>
          <w:p w14:paraId="03813536" w14:textId="77777777" w:rsidR="00E30685" w:rsidRDefault="00E30685" w:rsidP="00E730DF">
            <w:pPr>
              <w:rPr>
                <w:rFonts w:ascii="Corbel" w:hAnsi="Corbel" w:cs="Calibri"/>
                <w:b/>
                <w:bCs/>
                <w:sz w:val="18"/>
                <w:szCs w:val="18"/>
              </w:rPr>
            </w:pPr>
            <w:r w:rsidRPr="00E6523E">
              <w:rPr>
                <w:rFonts w:ascii="Corbel" w:hAnsi="Corbel" w:cs="Calibri"/>
                <w:sz w:val="18"/>
                <w:szCs w:val="18"/>
              </w:rPr>
              <w:t>Aquatic organisms</w:t>
            </w:r>
          </w:p>
        </w:tc>
        <w:tc>
          <w:tcPr>
            <w:tcW w:w="1157" w:type="dxa"/>
            <w:shd w:val="clear" w:color="auto" w:fill="auto"/>
            <w:noWrap/>
            <w:vAlign w:val="center"/>
          </w:tcPr>
          <w:p w14:paraId="0EE31AA2" w14:textId="77777777" w:rsidR="00E30685" w:rsidRDefault="00E30685" w:rsidP="00E730DF">
            <w:pPr>
              <w:jc w:val="center"/>
              <w:rPr>
                <w:rFonts w:ascii="Corbel" w:hAnsi="Corbel" w:cs="Calibri"/>
                <w:sz w:val="18"/>
                <w:szCs w:val="18"/>
              </w:rPr>
            </w:pPr>
            <w:r w:rsidRPr="00E6523E">
              <w:rPr>
                <w:rFonts w:ascii="Corbel" w:hAnsi="Corbel" w:cs="Calibri"/>
                <w:sz w:val="18"/>
                <w:szCs w:val="18"/>
              </w:rPr>
              <w:t>20</w:t>
            </w:r>
          </w:p>
        </w:tc>
        <w:tc>
          <w:tcPr>
            <w:tcW w:w="804" w:type="dxa"/>
            <w:shd w:val="clear" w:color="auto" w:fill="auto"/>
            <w:noWrap/>
            <w:vAlign w:val="center"/>
          </w:tcPr>
          <w:p w14:paraId="39816D4D" w14:textId="77777777" w:rsidR="00E30685" w:rsidRDefault="00E30685" w:rsidP="00E730DF">
            <w:pPr>
              <w:jc w:val="center"/>
              <w:rPr>
                <w:rFonts w:ascii="Corbel" w:hAnsi="Corbel" w:cs="Calibri"/>
                <w:sz w:val="18"/>
                <w:szCs w:val="18"/>
              </w:rPr>
            </w:pPr>
            <w:r w:rsidRPr="00E6523E">
              <w:rPr>
                <w:rFonts w:ascii="Corbel" w:hAnsi="Corbel" w:cs="Calibri"/>
                <w:sz w:val="18"/>
                <w:szCs w:val="18"/>
              </w:rPr>
              <w:t>21.24</w:t>
            </w:r>
          </w:p>
        </w:tc>
        <w:tc>
          <w:tcPr>
            <w:tcW w:w="858" w:type="dxa"/>
            <w:shd w:val="clear" w:color="auto" w:fill="auto"/>
            <w:noWrap/>
            <w:vAlign w:val="center"/>
          </w:tcPr>
          <w:p w14:paraId="354B0282" w14:textId="77777777" w:rsidR="00E30685" w:rsidRDefault="00E30685" w:rsidP="00E730DF">
            <w:pPr>
              <w:jc w:val="center"/>
              <w:rPr>
                <w:rFonts w:ascii="Corbel" w:hAnsi="Corbel" w:cs="Calibri"/>
                <w:sz w:val="18"/>
                <w:szCs w:val="18"/>
              </w:rPr>
            </w:pPr>
            <w:r w:rsidRPr="00E6523E">
              <w:rPr>
                <w:rFonts w:ascii="Corbel" w:hAnsi="Corbel" w:cs="Calibri"/>
                <w:sz w:val="18"/>
                <w:szCs w:val="18"/>
              </w:rPr>
              <w:t>12.98</w:t>
            </w:r>
          </w:p>
        </w:tc>
        <w:tc>
          <w:tcPr>
            <w:tcW w:w="944" w:type="dxa"/>
            <w:shd w:val="clear" w:color="auto" w:fill="auto"/>
            <w:noWrap/>
            <w:vAlign w:val="center"/>
          </w:tcPr>
          <w:p w14:paraId="19ABFF69" w14:textId="77777777" w:rsidR="00E30685" w:rsidRDefault="00E30685" w:rsidP="00E730DF">
            <w:pPr>
              <w:jc w:val="center"/>
              <w:rPr>
                <w:rFonts w:ascii="Corbel" w:hAnsi="Corbel" w:cs="Calibri"/>
                <w:sz w:val="18"/>
                <w:szCs w:val="18"/>
              </w:rPr>
            </w:pPr>
            <w:r>
              <w:rPr>
                <w:rFonts w:ascii="Corbel" w:hAnsi="Corbel" w:cs="Calibri"/>
                <w:sz w:val="18"/>
                <w:szCs w:val="18"/>
              </w:rPr>
              <w:t>21.52</w:t>
            </w:r>
          </w:p>
        </w:tc>
      </w:tr>
      <w:tr w:rsidR="00E30685" w14:paraId="07677BE0" w14:textId="77777777" w:rsidTr="00E730DF">
        <w:trPr>
          <w:trHeight w:val="139"/>
        </w:trPr>
        <w:tc>
          <w:tcPr>
            <w:tcW w:w="3389" w:type="dxa"/>
            <w:shd w:val="clear" w:color="auto" w:fill="auto"/>
            <w:noWrap/>
            <w:vAlign w:val="center"/>
          </w:tcPr>
          <w:p w14:paraId="103E7B13" w14:textId="77777777" w:rsidR="00E30685" w:rsidRDefault="00E30685" w:rsidP="00E730DF">
            <w:pPr>
              <w:rPr>
                <w:rFonts w:ascii="Corbel" w:hAnsi="Corbel" w:cs="Calibri"/>
                <w:b/>
                <w:bCs/>
                <w:sz w:val="18"/>
                <w:szCs w:val="18"/>
              </w:rPr>
            </w:pPr>
            <w:r w:rsidRPr="00E6523E">
              <w:rPr>
                <w:rFonts w:ascii="Calibri" w:hAnsi="Calibri" w:cs="Calibri"/>
                <w:color w:val="000000"/>
                <w:sz w:val="18"/>
                <w:szCs w:val="18"/>
              </w:rPr>
              <w:t>Groundwater</w:t>
            </w:r>
            <w:r>
              <w:rPr>
                <w:rFonts w:ascii="Calibri" w:hAnsi="Calibri" w:cs="Calibri"/>
                <w:color w:val="000000"/>
                <w:sz w:val="18"/>
                <w:szCs w:val="18"/>
              </w:rPr>
              <w:t xml:space="preserve"> resources</w:t>
            </w:r>
          </w:p>
        </w:tc>
        <w:tc>
          <w:tcPr>
            <w:tcW w:w="1157" w:type="dxa"/>
            <w:shd w:val="clear" w:color="auto" w:fill="auto"/>
            <w:noWrap/>
            <w:vAlign w:val="center"/>
          </w:tcPr>
          <w:p w14:paraId="4804548E" w14:textId="77777777" w:rsidR="00E30685" w:rsidRDefault="00E30685" w:rsidP="00E730DF">
            <w:pPr>
              <w:jc w:val="center"/>
              <w:rPr>
                <w:rFonts w:ascii="Corbel" w:hAnsi="Corbel" w:cs="Calibri"/>
                <w:sz w:val="18"/>
                <w:szCs w:val="18"/>
              </w:rPr>
            </w:pPr>
            <w:r w:rsidRPr="00E6523E">
              <w:rPr>
                <w:rFonts w:ascii="Corbel" w:hAnsi="Corbel" w:cs="Calibri"/>
                <w:sz w:val="18"/>
                <w:szCs w:val="18"/>
              </w:rPr>
              <w:t>17</w:t>
            </w:r>
          </w:p>
        </w:tc>
        <w:tc>
          <w:tcPr>
            <w:tcW w:w="804" w:type="dxa"/>
            <w:shd w:val="clear" w:color="auto" w:fill="auto"/>
            <w:noWrap/>
            <w:vAlign w:val="center"/>
          </w:tcPr>
          <w:p w14:paraId="692C9E74" w14:textId="77777777" w:rsidR="00E30685" w:rsidRDefault="00E30685" w:rsidP="00E730DF">
            <w:pPr>
              <w:jc w:val="center"/>
              <w:rPr>
                <w:rFonts w:ascii="Corbel" w:hAnsi="Corbel" w:cs="Calibri"/>
                <w:sz w:val="18"/>
                <w:szCs w:val="18"/>
              </w:rPr>
            </w:pPr>
            <w:r w:rsidRPr="00E6523E">
              <w:rPr>
                <w:rFonts w:ascii="Corbel" w:hAnsi="Corbel" w:cs="Calibri"/>
                <w:sz w:val="18"/>
                <w:szCs w:val="18"/>
              </w:rPr>
              <w:t>26.29</w:t>
            </w:r>
          </w:p>
        </w:tc>
        <w:tc>
          <w:tcPr>
            <w:tcW w:w="858" w:type="dxa"/>
            <w:shd w:val="clear" w:color="auto" w:fill="auto"/>
            <w:noWrap/>
            <w:vAlign w:val="center"/>
          </w:tcPr>
          <w:p w14:paraId="6FC7C44B" w14:textId="77777777" w:rsidR="00E30685" w:rsidRDefault="00E30685" w:rsidP="00E730DF">
            <w:pPr>
              <w:jc w:val="center"/>
              <w:rPr>
                <w:rFonts w:ascii="Corbel" w:hAnsi="Corbel" w:cs="Calibri"/>
                <w:sz w:val="18"/>
                <w:szCs w:val="18"/>
              </w:rPr>
            </w:pPr>
            <w:r w:rsidRPr="00E6523E">
              <w:rPr>
                <w:rFonts w:ascii="Corbel" w:hAnsi="Corbel" w:cs="Calibri"/>
                <w:sz w:val="18"/>
                <w:szCs w:val="18"/>
              </w:rPr>
              <w:t>13.64</w:t>
            </w:r>
          </w:p>
        </w:tc>
        <w:tc>
          <w:tcPr>
            <w:tcW w:w="944" w:type="dxa"/>
            <w:shd w:val="clear" w:color="auto" w:fill="auto"/>
            <w:noWrap/>
            <w:vAlign w:val="center"/>
          </w:tcPr>
          <w:p w14:paraId="5DC2709F" w14:textId="77777777" w:rsidR="00E30685" w:rsidRDefault="00E30685" w:rsidP="00E730DF">
            <w:pPr>
              <w:jc w:val="center"/>
              <w:rPr>
                <w:rFonts w:ascii="Corbel" w:hAnsi="Corbel" w:cs="Calibri"/>
                <w:sz w:val="18"/>
                <w:szCs w:val="18"/>
              </w:rPr>
            </w:pPr>
            <w:r>
              <w:rPr>
                <w:rFonts w:ascii="Corbel" w:hAnsi="Corbel" w:cs="Calibri"/>
                <w:sz w:val="18"/>
                <w:szCs w:val="18"/>
              </w:rPr>
              <w:t>25.22</w:t>
            </w:r>
          </w:p>
        </w:tc>
      </w:tr>
      <w:tr w:rsidR="00E30685" w14:paraId="76B98AAF" w14:textId="77777777" w:rsidTr="00E730DF">
        <w:trPr>
          <w:trHeight w:val="139"/>
        </w:trPr>
        <w:tc>
          <w:tcPr>
            <w:tcW w:w="3389" w:type="dxa"/>
            <w:shd w:val="clear" w:color="auto" w:fill="auto"/>
            <w:noWrap/>
            <w:vAlign w:val="center"/>
          </w:tcPr>
          <w:p w14:paraId="2807FA5F" w14:textId="77777777" w:rsidR="00E30685" w:rsidRDefault="00E30685" w:rsidP="00E730DF">
            <w:pPr>
              <w:rPr>
                <w:rFonts w:ascii="Corbel" w:hAnsi="Corbel" w:cs="Calibri"/>
                <w:b/>
                <w:bCs/>
                <w:sz w:val="18"/>
                <w:szCs w:val="18"/>
              </w:rPr>
            </w:pPr>
            <w:r w:rsidRPr="00E6523E">
              <w:rPr>
                <w:rFonts w:ascii="Corbel" w:hAnsi="Corbel" w:cs="Calibri"/>
                <w:sz w:val="18"/>
                <w:szCs w:val="18"/>
              </w:rPr>
              <w:t>Surface water</w:t>
            </w:r>
            <w:r>
              <w:rPr>
                <w:rFonts w:ascii="Corbel" w:hAnsi="Corbel" w:cs="Calibri"/>
                <w:sz w:val="18"/>
                <w:szCs w:val="18"/>
              </w:rPr>
              <w:t xml:space="preserve"> resources</w:t>
            </w:r>
          </w:p>
        </w:tc>
        <w:tc>
          <w:tcPr>
            <w:tcW w:w="1157" w:type="dxa"/>
            <w:shd w:val="clear" w:color="auto" w:fill="auto"/>
            <w:noWrap/>
            <w:vAlign w:val="center"/>
          </w:tcPr>
          <w:p w14:paraId="551CD89D" w14:textId="77777777" w:rsidR="00E30685" w:rsidRDefault="00E30685" w:rsidP="00E730DF">
            <w:pPr>
              <w:jc w:val="center"/>
              <w:rPr>
                <w:rFonts w:ascii="Corbel" w:hAnsi="Corbel" w:cs="Calibri"/>
                <w:sz w:val="18"/>
                <w:szCs w:val="18"/>
              </w:rPr>
            </w:pPr>
            <w:r w:rsidRPr="00E6523E">
              <w:rPr>
                <w:rFonts w:ascii="Corbel" w:hAnsi="Corbel" w:cs="Calibri"/>
                <w:sz w:val="18"/>
                <w:szCs w:val="18"/>
              </w:rPr>
              <w:t>17</w:t>
            </w:r>
          </w:p>
        </w:tc>
        <w:tc>
          <w:tcPr>
            <w:tcW w:w="804" w:type="dxa"/>
            <w:shd w:val="clear" w:color="auto" w:fill="auto"/>
            <w:noWrap/>
            <w:vAlign w:val="center"/>
          </w:tcPr>
          <w:p w14:paraId="4EAEF186" w14:textId="77777777" w:rsidR="00E30685" w:rsidRDefault="00E30685" w:rsidP="00E730DF">
            <w:pPr>
              <w:jc w:val="center"/>
              <w:rPr>
                <w:rFonts w:ascii="Corbel" w:hAnsi="Corbel" w:cs="Calibri"/>
                <w:sz w:val="18"/>
                <w:szCs w:val="18"/>
              </w:rPr>
            </w:pPr>
            <w:r w:rsidRPr="00E6523E">
              <w:rPr>
                <w:rFonts w:ascii="Corbel" w:hAnsi="Corbel" w:cs="Calibri"/>
                <w:sz w:val="18"/>
                <w:szCs w:val="18"/>
              </w:rPr>
              <w:t>26.51</w:t>
            </w:r>
          </w:p>
        </w:tc>
        <w:tc>
          <w:tcPr>
            <w:tcW w:w="858" w:type="dxa"/>
            <w:shd w:val="clear" w:color="auto" w:fill="auto"/>
            <w:noWrap/>
            <w:vAlign w:val="center"/>
          </w:tcPr>
          <w:p w14:paraId="28749080" w14:textId="77777777" w:rsidR="00E30685" w:rsidRDefault="00E30685" w:rsidP="00E730DF">
            <w:pPr>
              <w:jc w:val="center"/>
              <w:rPr>
                <w:rFonts w:ascii="Corbel" w:hAnsi="Corbel" w:cs="Calibri"/>
                <w:sz w:val="18"/>
                <w:szCs w:val="18"/>
              </w:rPr>
            </w:pPr>
            <w:r w:rsidRPr="00E6523E">
              <w:rPr>
                <w:rFonts w:ascii="Corbel" w:hAnsi="Corbel" w:cs="Calibri"/>
                <w:sz w:val="18"/>
                <w:szCs w:val="18"/>
              </w:rPr>
              <w:t>15.25</w:t>
            </w:r>
          </w:p>
        </w:tc>
        <w:tc>
          <w:tcPr>
            <w:tcW w:w="944" w:type="dxa"/>
            <w:shd w:val="clear" w:color="auto" w:fill="auto"/>
            <w:noWrap/>
            <w:vAlign w:val="center"/>
          </w:tcPr>
          <w:p w14:paraId="1AD84AC8" w14:textId="77777777" w:rsidR="00E30685" w:rsidRDefault="00E30685" w:rsidP="00E730DF">
            <w:pPr>
              <w:jc w:val="center"/>
              <w:rPr>
                <w:rFonts w:ascii="Corbel" w:hAnsi="Corbel" w:cs="Calibri"/>
                <w:sz w:val="18"/>
                <w:szCs w:val="18"/>
              </w:rPr>
            </w:pPr>
            <w:r>
              <w:rPr>
                <w:rFonts w:ascii="Corbel" w:hAnsi="Corbel" w:cs="Calibri"/>
                <w:sz w:val="18"/>
                <w:szCs w:val="18"/>
              </w:rPr>
              <w:t>23.85</w:t>
            </w:r>
          </w:p>
        </w:tc>
      </w:tr>
      <w:tr w:rsidR="00E30685" w14:paraId="46417CC9" w14:textId="77777777" w:rsidTr="00E730DF">
        <w:trPr>
          <w:trHeight w:val="139"/>
        </w:trPr>
        <w:tc>
          <w:tcPr>
            <w:tcW w:w="3389" w:type="dxa"/>
            <w:tcBorders>
              <w:bottom w:val="single" w:sz="4" w:space="0" w:color="auto"/>
            </w:tcBorders>
            <w:shd w:val="clear" w:color="auto" w:fill="auto"/>
            <w:noWrap/>
            <w:vAlign w:val="center"/>
          </w:tcPr>
          <w:p w14:paraId="470A45F9" w14:textId="77777777" w:rsidR="00E30685" w:rsidRDefault="00E30685" w:rsidP="00E730DF">
            <w:pPr>
              <w:rPr>
                <w:rFonts w:ascii="Corbel" w:hAnsi="Corbel" w:cs="Calibri"/>
                <w:b/>
                <w:bCs/>
                <w:sz w:val="18"/>
                <w:szCs w:val="18"/>
              </w:rPr>
            </w:pPr>
            <w:r w:rsidRPr="00E6523E">
              <w:rPr>
                <w:rFonts w:ascii="Corbel" w:hAnsi="Corbel" w:cs="Calibri"/>
                <w:bCs/>
                <w:i/>
                <w:sz w:val="18"/>
                <w:szCs w:val="18"/>
              </w:rPr>
              <w:t>Kruskal-</w:t>
            </w:r>
            <w:proofErr w:type="gramStart"/>
            <w:r w:rsidRPr="00E6523E">
              <w:rPr>
                <w:rFonts w:ascii="Corbel" w:hAnsi="Corbel" w:cs="Calibri"/>
                <w:bCs/>
                <w:i/>
                <w:sz w:val="18"/>
                <w:szCs w:val="18"/>
              </w:rPr>
              <w:t>Wallis</w:t>
            </w:r>
            <w:proofErr w:type="gramEnd"/>
            <w:r w:rsidRPr="00E6523E">
              <w:rPr>
                <w:rFonts w:ascii="Corbel" w:hAnsi="Corbel" w:cs="Calibri"/>
                <w:bCs/>
                <w:i/>
                <w:sz w:val="18"/>
                <w:szCs w:val="18"/>
              </w:rPr>
              <w:t xml:space="preserve"> test</w:t>
            </w:r>
          </w:p>
        </w:tc>
        <w:tc>
          <w:tcPr>
            <w:tcW w:w="1157" w:type="dxa"/>
            <w:tcBorders>
              <w:bottom w:val="single" w:sz="4" w:space="0" w:color="auto"/>
            </w:tcBorders>
            <w:shd w:val="clear" w:color="auto" w:fill="auto"/>
            <w:noWrap/>
            <w:vAlign w:val="center"/>
          </w:tcPr>
          <w:p w14:paraId="702B3899" w14:textId="77777777" w:rsidR="00E30685" w:rsidRDefault="00E30685" w:rsidP="00E730DF">
            <w:pPr>
              <w:jc w:val="center"/>
              <w:rPr>
                <w:rFonts w:ascii="Corbel" w:hAnsi="Corbel" w:cs="Calibri"/>
                <w:sz w:val="18"/>
                <w:szCs w:val="18"/>
              </w:rPr>
            </w:pPr>
            <w:r w:rsidRPr="00E6523E">
              <w:rPr>
                <w:rFonts w:ascii="Corbel" w:hAnsi="Corbel" w:cs="Calibri"/>
                <w:sz w:val="18"/>
                <w:szCs w:val="18"/>
              </w:rPr>
              <w:t>Χ</w:t>
            </w:r>
            <w:r w:rsidRPr="00E6523E">
              <w:rPr>
                <w:rFonts w:ascii="Corbel" w:hAnsi="Corbel" w:cs="Calibri"/>
                <w:sz w:val="18"/>
                <w:szCs w:val="18"/>
                <w:vertAlign w:val="superscript"/>
              </w:rPr>
              <w:t xml:space="preserve">2 </w:t>
            </w:r>
            <w:r w:rsidRPr="00E6523E">
              <w:rPr>
                <w:rFonts w:ascii="Corbel" w:hAnsi="Corbel" w:cs="Calibri"/>
                <w:sz w:val="18"/>
                <w:szCs w:val="18"/>
              </w:rPr>
              <w:t>=</w:t>
            </w:r>
            <w:r>
              <w:rPr>
                <w:rFonts w:ascii="Corbel" w:hAnsi="Corbel" w:cs="Calibri"/>
                <w:sz w:val="18"/>
                <w:szCs w:val="18"/>
              </w:rPr>
              <w:t xml:space="preserve"> 31.550</w:t>
            </w:r>
          </w:p>
        </w:tc>
        <w:tc>
          <w:tcPr>
            <w:tcW w:w="1662" w:type="dxa"/>
            <w:gridSpan w:val="2"/>
            <w:tcBorders>
              <w:bottom w:val="single" w:sz="4" w:space="0" w:color="auto"/>
            </w:tcBorders>
            <w:shd w:val="clear" w:color="auto" w:fill="auto"/>
            <w:noWrap/>
            <w:vAlign w:val="center"/>
          </w:tcPr>
          <w:p w14:paraId="452728F0"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0.001</w:t>
            </w:r>
          </w:p>
        </w:tc>
        <w:tc>
          <w:tcPr>
            <w:tcW w:w="944" w:type="dxa"/>
            <w:tcBorders>
              <w:bottom w:val="single" w:sz="4" w:space="0" w:color="auto"/>
            </w:tcBorders>
            <w:shd w:val="clear" w:color="auto" w:fill="auto"/>
            <w:noWrap/>
            <w:vAlign w:val="center"/>
          </w:tcPr>
          <w:p w14:paraId="0A5A537C" w14:textId="77777777" w:rsidR="00E30685" w:rsidRDefault="00E30685" w:rsidP="00E730DF">
            <w:pPr>
              <w:jc w:val="center"/>
              <w:rPr>
                <w:rFonts w:ascii="Corbel" w:hAnsi="Corbel" w:cs="Calibri"/>
                <w:sz w:val="18"/>
                <w:szCs w:val="18"/>
              </w:rPr>
            </w:pPr>
          </w:p>
        </w:tc>
      </w:tr>
      <w:tr w:rsidR="00E30685" w14:paraId="04CAA7AD"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595D0276" w14:textId="77777777" w:rsidR="00E30685" w:rsidRDefault="00E30685" w:rsidP="00E730DF">
            <w:pPr>
              <w:rPr>
                <w:rFonts w:ascii="Corbel" w:hAnsi="Corbel" w:cs="Calibri"/>
                <w:b/>
                <w:bCs/>
                <w:sz w:val="18"/>
                <w:szCs w:val="18"/>
              </w:rPr>
            </w:pPr>
            <w:r>
              <w:rPr>
                <w:rFonts w:ascii="Corbel" w:hAnsi="Corbel" w:cs="Calibri"/>
                <w:b/>
                <w:color w:val="000000"/>
                <w:sz w:val="18"/>
                <w:szCs w:val="18"/>
              </w:rPr>
              <w:t xml:space="preserve">Pesticide </w:t>
            </w:r>
            <w:r w:rsidRPr="00E6523E">
              <w:rPr>
                <w:rFonts w:ascii="Corbel" w:hAnsi="Corbel" w:cs="Calibri"/>
                <w:b/>
                <w:color w:val="000000"/>
                <w:sz w:val="18"/>
                <w:szCs w:val="18"/>
              </w:rPr>
              <w:t>baseline risk levels</w:t>
            </w:r>
          </w:p>
        </w:tc>
        <w:tc>
          <w:tcPr>
            <w:tcW w:w="1157" w:type="dxa"/>
            <w:tcBorders>
              <w:top w:val="single" w:sz="4" w:space="0" w:color="auto"/>
              <w:bottom w:val="single" w:sz="4" w:space="0" w:color="auto"/>
            </w:tcBorders>
            <w:shd w:val="clear" w:color="auto" w:fill="auto"/>
            <w:noWrap/>
            <w:vAlign w:val="center"/>
          </w:tcPr>
          <w:p w14:paraId="603441BB"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4FCA8D1B"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28942D69"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579EDE80" w14:textId="77777777" w:rsidR="00E30685" w:rsidRDefault="00E30685" w:rsidP="00E730DF">
            <w:pPr>
              <w:jc w:val="center"/>
              <w:rPr>
                <w:rFonts w:ascii="Corbel" w:hAnsi="Corbel" w:cs="Calibri"/>
                <w:sz w:val="18"/>
                <w:szCs w:val="18"/>
              </w:rPr>
            </w:pPr>
          </w:p>
        </w:tc>
      </w:tr>
      <w:tr w:rsidR="00E30685" w14:paraId="6E40F0FE" w14:textId="77777777" w:rsidTr="00E730DF">
        <w:trPr>
          <w:trHeight w:val="139"/>
        </w:trPr>
        <w:tc>
          <w:tcPr>
            <w:tcW w:w="3389" w:type="dxa"/>
            <w:tcBorders>
              <w:top w:val="single" w:sz="4" w:space="0" w:color="auto"/>
            </w:tcBorders>
            <w:shd w:val="clear" w:color="auto" w:fill="auto"/>
            <w:noWrap/>
            <w:vAlign w:val="center"/>
          </w:tcPr>
          <w:p w14:paraId="6D8F3CC9"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Low</w:t>
            </w:r>
          </w:p>
        </w:tc>
        <w:tc>
          <w:tcPr>
            <w:tcW w:w="1157" w:type="dxa"/>
            <w:tcBorders>
              <w:top w:val="single" w:sz="4" w:space="0" w:color="auto"/>
            </w:tcBorders>
            <w:shd w:val="clear" w:color="auto" w:fill="auto"/>
            <w:noWrap/>
            <w:vAlign w:val="center"/>
          </w:tcPr>
          <w:p w14:paraId="2B1BD9EA" w14:textId="77777777" w:rsidR="00E30685" w:rsidRDefault="00E30685" w:rsidP="00E730DF">
            <w:pPr>
              <w:jc w:val="center"/>
              <w:rPr>
                <w:rFonts w:ascii="Corbel" w:hAnsi="Corbel" w:cs="Calibri"/>
                <w:sz w:val="18"/>
                <w:szCs w:val="18"/>
              </w:rPr>
            </w:pPr>
            <w:r>
              <w:rPr>
                <w:rFonts w:ascii="Corbel" w:hAnsi="Corbel" w:cs="Calibri"/>
                <w:color w:val="000000"/>
                <w:sz w:val="18"/>
                <w:szCs w:val="18"/>
              </w:rPr>
              <w:t>104</w:t>
            </w:r>
          </w:p>
        </w:tc>
        <w:tc>
          <w:tcPr>
            <w:tcW w:w="804" w:type="dxa"/>
            <w:tcBorders>
              <w:top w:val="single" w:sz="4" w:space="0" w:color="auto"/>
            </w:tcBorders>
            <w:shd w:val="clear" w:color="auto" w:fill="auto"/>
            <w:noWrap/>
            <w:vAlign w:val="center"/>
          </w:tcPr>
          <w:p w14:paraId="6683B940"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8</w:t>
            </w:r>
            <w:r>
              <w:rPr>
                <w:rFonts w:ascii="Corbel" w:hAnsi="Corbel" w:cs="Calibri"/>
                <w:color w:val="000000"/>
                <w:sz w:val="18"/>
                <w:szCs w:val="18"/>
              </w:rPr>
              <w:t>1</w:t>
            </w:r>
            <w:r w:rsidRPr="00E6523E">
              <w:rPr>
                <w:rFonts w:ascii="Corbel" w:hAnsi="Corbel" w:cs="Calibri"/>
                <w:color w:val="000000"/>
                <w:sz w:val="18"/>
                <w:szCs w:val="18"/>
              </w:rPr>
              <w:t>.</w:t>
            </w:r>
            <w:r>
              <w:rPr>
                <w:rFonts w:ascii="Corbel" w:hAnsi="Corbel" w:cs="Calibri"/>
                <w:color w:val="000000"/>
                <w:sz w:val="18"/>
                <w:szCs w:val="18"/>
              </w:rPr>
              <w:t>06</w:t>
            </w:r>
          </w:p>
        </w:tc>
        <w:tc>
          <w:tcPr>
            <w:tcW w:w="858" w:type="dxa"/>
            <w:tcBorders>
              <w:top w:val="single" w:sz="4" w:space="0" w:color="auto"/>
            </w:tcBorders>
            <w:shd w:val="clear" w:color="auto" w:fill="auto"/>
            <w:noWrap/>
            <w:vAlign w:val="center"/>
          </w:tcPr>
          <w:p w14:paraId="6666C4E2"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w:t>
            </w:r>
            <w:r>
              <w:rPr>
                <w:rFonts w:ascii="Corbel" w:hAnsi="Corbel" w:cs="Calibri"/>
                <w:color w:val="000000"/>
                <w:sz w:val="18"/>
                <w:szCs w:val="18"/>
              </w:rPr>
              <w:t>59</w:t>
            </w:r>
            <w:r w:rsidRPr="00E6523E">
              <w:rPr>
                <w:rFonts w:ascii="Corbel" w:hAnsi="Corbel" w:cs="Calibri"/>
                <w:color w:val="000000"/>
                <w:sz w:val="18"/>
                <w:szCs w:val="18"/>
              </w:rPr>
              <w:t>.</w:t>
            </w:r>
            <w:r>
              <w:rPr>
                <w:rFonts w:ascii="Corbel" w:hAnsi="Corbel" w:cs="Calibri"/>
                <w:color w:val="000000"/>
                <w:sz w:val="18"/>
                <w:szCs w:val="18"/>
              </w:rPr>
              <w:t>11</w:t>
            </w:r>
          </w:p>
        </w:tc>
        <w:tc>
          <w:tcPr>
            <w:tcW w:w="944" w:type="dxa"/>
            <w:tcBorders>
              <w:top w:val="single" w:sz="4" w:space="0" w:color="auto"/>
            </w:tcBorders>
            <w:shd w:val="clear" w:color="auto" w:fill="auto"/>
            <w:noWrap/>
            <w:vAlign w:val="center"/>
          </w:tcPr>
          <w:p w14:paraId="0F9BFCE1" w14:textId="77777777" w:rsidR="00E30685" w:rsidRDefault="00E30685" w:rsidP="00E730DF">
            <w:pPr>
              <w:jc w:val="center"/>
              <w:rPr>
                <w:rFonts w:ascii="Corbel" w:hAnsi="Corbel" w:cs="Calibri"/>
                <w:sz w:val="18"/>
                <w:szCs w:val="18"/>
              </w:rPr>
            </w:pPr>
            <w:r>
              <w:rPr>
                <w:rFonts w:ascii="Corbel" w:hAnsi="Corbel" w:cs="Calibri"/>
                <w:color w:val="000000"/>
                <w:sz w:val="18"/>
                <w:szCs w:val="18"/>
              </w:rPr>
              <w:t>20.95</w:t>
            </w:r>
          </w:p>
        </w:tc>
      </w:tr>
      <w:tr w:rsidR="00E30685" w14:paraId="1B817E2C" w14:textId="77777777" w:rsidTr="00E730DF">
        <w:trPr>
          <w:trHeight w:val="139"/>
        </w:trPr>
        <w:tc>
          <w:tcPr>
            <w:tcW w:w="3389" w:type="dxa"/>
            <w:shd w:val="clear" w:color="auto" w:fill="auto"/>
            <w:noWrap/>
            <w:vAlign w:val="center"/>
          </w:tcPr>
          <w:p w14:paraId="4C6A3563"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Medium</w:t>
            </w:r>
          </w:p>
        </w:tc>
        <w:tc>
          <w:tcPr>
            <w:tcW w:w="1157" w:type="dxa"/>
            <w:shd w:val="clear" w:color="auto" w:fill="auto"/>
            <w:noWrap/>
            <w:vAlign w:val="center"/>
          </w:tcPr>
          <w:p w14:paraId="218EED36"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9</w:t>
            </w:r>
            <w:r>
              <w:rPr>
                <w:rFonts w:ascii="Corbel" w:hAnsi="Corbel" w:cs="Calibri"/>
                <w:color w:val="000000"/>
                <w:sz w:val="18"/>
                <w:szCs w:val="18"/>
              </w:rPr>
              <w:t>7</w:t>
            </w:r>
          </w:p>
        </w:tc>
        <w:tc>
          <w:tcPr>
            <w:tcW w:w="804" w:type="dxa"/>
            <w:shd w:val="clear" w:color="auto" w:fill="auto"/>
            <w:noWrap/>
            <w:vAlign w:val="center"/>
          </w:tcPr>
          <w:p w14:paraId="032EE6B8"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w:t>
            </w:r>
            <w:r>
              <w:rPr>
                <w:rFonts w:ascii="Corbel" w:hAnsi="Corbel" w:cs="Calibri"/>
                <w:color w:val="000000"/>
                <w:sz w:val="18"/>
                <w:szCs w:val="18"/>
              </w:rPr>
              <w:t>7</w:t>
            </w:r>
            <w:r w:rsidRPr="00E6523E">
              <w:rPr>
                <w:rFonts w:ascii="Corbel" w:hAnsi="Corbel" w:cs="Calibri"/>
                <w:color w:val="000000"/>
                <w:sz w:val="18"/>
                <w:szCs w:val="18"/>
              </w:rPr>
              <w:t>.</w:t>
            </w:r>
            <w:r>
              <w:rPr>
                <w:rFonts w:ascii="Corbel" w:hAnsi="Corbel" w:cs="Calibri"/>
                <w:color w:val="000000"/>
                <w:sz w:val="18"/>
                <w:szCs w:val="18"/>
              </w:rPr>
              <w:t>81</w:t>
            </w:r>
          </w:p>
        </w:tc>
        <w:tc>
          <w:tcPr>
            <w:tcW w:w="858" w:type="dxa"/>
            <w:shd w:val="clear" w:color="auto" w:fill="auto"/>
            <w:noWrap/>
            <w:vAlign w:val="center"/>
          </w:tcPr>
          <w:p w14:paraId="3955D9DD"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w:t>
            </w:r>
            <w:r>
              <w:rPr>
                <w:rFonts w:ascii="Corbel" w:hAnsi="Corbel" w:cs="Calibri"/>
                <w:color w:val="000000"/>
                <w:sz w:val="18"/>
                <w:szCs w:val="18"/>
              </w:rPr>
              <w:t>2</w:t>
            </w:r>
            <w:r w:rsidRPr="00E6523E">
              <w:rPr>
                <w:rFonts w:ascii="Corbel" w:hAnsi="Corbel" w:cs="Calibri"/>
                <w:color w:val="000000"/>
                <w:sz w:val="18"/>
                <w:szCs w:val="18"/>
              </w:rPr>
              <w:t>.</w:t>
            </w:r>
            <w:r>
              <w:rPr>
                <w:rFonts w:ascii="Corbel" w:hAnsi="Corbel" w:cs="Calibri"/>
                <w:color w:val="000000"/>
                <w:sz w:val="18"/>
                <w:szCs w:val="18"/>
              </w:rPr>
              <w:t>37</w:t>
            </w:r>
          </w:p>
        </w:tc>
        <w:tc>
          <w:tcPr>
            <w:tcW w:w="944" w:type="dxa"/>
            <w:shd w:val="clear" w:color="auto" w:fill="auto"/>
            <w:noWrap/>
            <w:vAlign w:val="center"/>
          </w:tcPr>
          <w:p w14:paraId="2D93D5E5" w14:textId="77777777" w:rsidR="00E30685" w:rsidRDefault="00E30685" w:rsidP="00E730DF">
            <w:pPr>
              <w:jc w:val="center"/>
              <w:rPr>
                <w:rFonts w:ascii="Corbel" w:hAnsi="Corbel" w:cs="Calibri"/>
                <w:sz w:val="18"/>
                <w:szCs w:val="18"/>
              </w:rPr>
            </w:pPr>
            <w:r>
              <w:rPr>
                <w:rFonts w:ascii="Corbel" w:hAnsi="Corbel" w:cs="Calibri"/>
                <w:color w:val="000000"/>
                <w:sz w:val="18"/>
                <w:szCs w:val="18"/>
              </w:rPr>
              <w:t>21.54</w:t>
            </w:r>
          </w:p>
        </w:tc>
      </w:tr>
      <w:tr w:rsidR="00E30685" w14:paraId="4B695874" w14:textId="77777777" w:rsidTr="00E730DF">
        <w:trPr>
          <w:trHeight w:val="139"/>
        </w:trPr>
        <w:tc>
          <w:tcPr>
            <w:tcW w:w="3389" w:type="dxa"/>
            <w:shd w:val="clear" w:color="auto" w:fill="auto"/>
            <w:noWrap/>
            <w:vAlign w:val="center"/>
          </w:tcPr>
          <w:p w14:paraId="51D21881"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High</w:t>
            </w:r>
          </w:p>
        </w:tc>
        <w:tc>
          <w:tcPr>
            <w:tcW w:w="1157" w:type="dxa"/>
            <w:shd w:val="clear" w:color="auto" w:fill="auto"/>
            <w:noWrap/>
            <w:vAlign w:val="center"/>
          </w:tcPr>
          <w:p w14:paraId="0402E163"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8</w:t>
            </w:r>
            <w:r>
              <w:rPr>
                <w:rFonts w:ascii="Corbel" w:hAnsi="Corbel" w:cs="Calibri"/>
                <w:color w:val="000000"/>
                <w:sz w:val="18"/>
                <w:szCs w:val="18"/>
              </w:rPr>
              <w:t>0</w:t>
            </w:r>
          </w:p>
        </w:tc>
        <w:tc>
          <w:tcPr>
            <w:tcW w:w="804" w:type="dxa"/>
            <w:shd w:val="clear" w:color="auto" w:fill="auto"/>
            <w:noWrap/>
            <w:vAlign w:val="center"/>
          </w:tcPr>
          <w:p w14:paraId="7D8D423E" w14:textId="77777777" w:rsidR="00E30685" w:rsidRDefault="00E30685" w:rsidP="00E730DF">
            <w:pPr>
              <w:jc w:val="center"/>
              <w:rPr>
                <w:rFonts w:ascii="Corbel" w:hAnsi="Corbel" w:cs="Calibri"/>
                <w:sz w:val="18"/>
                <w:szCs w:val="18"/>
              </w:rPr>
            </w:pPr>
            <w:r>
              <w:rPr>
                <w:rFonts w:ascii="Corbel" w:hAnsi="Corbel" w:cs="Calibri"/>
                <w:color w:val="000000"/>
                <w:sz w:val="18"/>
                <w:szCs w:val="18"/>
              </w:rPr>
              <w:t>41</w:t>
            </w:r>
            <w:r w:rsidRPr="00E6523E">
              <w:rPr>
                <w:rFonts w:ascii="Corbel" w:hAnsi="Corbel" w:cs="Calibri"/>
                <w:color w:val="000000"/>
                <w:sz w:val="18"/>
                <w:szCs w:val="18"/>
              </w:rPr>
              <w:t>.</w:t>
            </w:r>
            <w:r>
              <w:rPr>
                <w:rFonts w:ascii="Corbel" w:hAnsi="Corbel" w:cs="Calibri"/>
                <w:color w:val="000000"/>
                <w:sz w:val="18"/>
                <w:szCs w:val="18"/>
              </w:rPr>
              <w:t>41</w:t>
            </w:r>
          </w:p>
        </w:tc>
        <w:tc>
          <w:tcPr>
            <w:tcW w:w="858" w:type="dxa"/>
            <w:shd w:val="clear" w:color="auto" w:fill="auto"/>
            <w:noWrap/>
            <w:vAlign w:val="center"/>
          </w:tcPr>
          <w:p w14:paraId="2F3335F7"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7</w:t>
            </w:r>
            <w:r>
              <w:rPr>
                <w:rFonts w:ascii="Corbel" w:hAnsi="Corbel" w:cs="Calibri"/>
                <w:color w:val="000000"/>
                <w:sz w:val="18"/>
                <w:szCs w:val="18"/>
              </w:rPr>
              <w:t>2</w:t>
            </w:r>
            <w:r w:rsidRPr="00E6523E">
              <w:rPr>
                <w:rFonts w:ascii="Corbel" w:hAnsi="Corbel" w:cs="Calibri"/>
                <w:color w:val="000000"/>
                <w:sz w:val="18"/>
                <w:szCs w:val="18"/>
              </w:rPr>
              <w:t>.</w:t>
            </w:r>
            <w:r>
              <w:rPr>
                <w:rFonts w:ascii="Corbel" w:hAnsi="Corbel" w:cs="Calibri"/>
                <w:color w:val="000000"/>
                <w:sz w:val="18"/>
                <w:szCs w:val="18"/>
              </w:rPr>
              <w:t>71</w:t>
            </w:r>
          </w:p>
        </w:tc>
        <w:tc>
          <w:tcPr>
            <w:tcW w:w="944" w:type="dxa"/>
            <w:shd w:val="clear" w:color="auto" w:fill="auto"/>
            <w:noWrap/>
            <w:vAlign w:val="center"/>
          </w:tcPr>
          <w:p w14:paraId="5AAA1EB8" w14:textId="77777777" w:rsidR="00E30685" w:rsidRDefault="00E30685" w:rsidP="00E730DF">
            <w:pPr>
              <w:jc w:val="center"/>
              <w:rPr>
                <w:rFonts w:ascii="Corbel" w:hAnsi="Corbel" w:cs="Calibri"/>
                <w:sz w:val="18"/>
                <w:szCs w:val="18"/>
              </w:rPr>
            </w:pPr>
            <w:r>
              <w:rPr>
                <w:rFonts w:ascii="Corbel" w:hAnsi="Corbel" w:cs="Calibri"/>
                <w:color w:val="000000"/>
                <w:sz w:val="18"/>
                <w:szCs w:val="18"/>
              </w:rPr>
              <w:t>23.98</w:t>
            </w:r>
          </w:p>
        </w:tc>
      </w:tr>
      <w:tr w:rsidR="00E30685" w14:paraId="0A73173B" w14:textId="77777777" w:rsidTr="00E730DF">
        <w:trPr>
          <w:trHeight w:val="139"/>
        </w:trPr>
        <w:tc>
          <w:tcPr>
            <w:tcW w:w="3389" w:type="dxa"/>
            <w:shd w:val="clear" w:color="auto" w:fill="auto"/>
            <w:noWrap/>
            <w:vAlign w:val="center"/>
          </w:tcPr>
          <w:p w14:paraId="23732B4A" w14:textId="77777777" w:rsidR="00E30685" w:rsidRDefault="00E30685" w:rsidP="00E730DF">
            <w:pPr>
              <w:rPr>
                <w:rFonts w:ascii="Corbel" w:hAnsi="Corbel" w:cs="Calibri"/>
                <w:b/>
                <w:bCs/>
                <w:sz w:val="18"/>
                <w:szCs w:val="18"/>
              </w:rPr>
            </w:pPr>
            <w:r w:rsidRPr="00B25123">
              <w:rPr>
                <w:rFonts w:ascii="Corbel" w:hAnsi="Corbel" w:cs="Calibri"/>
                <w:color w:val="000000"/>
                <w:sz w:val="18"/>
                <w:szCs w:val="18"/>
              </w:rPr>
              <w:t xml:space="preserve">No </w:t>
            </w:r>
            <w:r>
              <w:rPr>
                <w:rFonts w:ascii="Corbel" w:hAnsi="Corbel" w:cs="Calibri"/>
                <w:color w:val="000000"/>
                <w:sz w:val="18"/>
                <w:szCs w:val="18"/>
              </w:rPr>
              <w:t xml:space="preserve">baseline </w:t>
            </w:r>
            <w:r w:rsidRPr="00B25123">
              <w:rPr>
                <w:rFonts w:ascii="Corbel" w:hAnsi="Corbel" w:cs="Calibri"/>
                <w:color w:val="000000"/>
                <w:sz w:val="18"/>
                <w:szCs w:val="18"/>
              </w:rPr>
              <w:t xml:space="preserve">risk </w:t>
            </w:r>
            <w:r>
              <w:rPr>
                <w:rFonts w:ascii="Corbel" w:hAnsi="Corbel" w:cs="Calibri"/>
                <w:color w:val="000000"/>
                <w:sz w:val="18"/>
                <w:szCs w:val="18"/>
              </w:rPr>
              <w:t>level</w:t>
            </w:r>
            <w:r w:rsidRPr="00B25123">
              <w:rPr>
                <w:rFonts w:ascii="Corbel" w:hAnsi="Corbel" w:cs="Calibri"/>
                <w:color w:val="000000"/>
                <w:sz w:val="18"/>
                <w:szCs w:val="18"/>
              </w:rPr>
              <w:t xml:space="preserve"> specified</w:t>
            </w:r>
          </w:p>
        </w:tc>
        <w:tc>
          <w:tcPr>
            <w:tcW w:w="1157" w:type="dxa"/>
            <w:shd w:val="clear" w:color="auto" w:fill="auto"/>
            <w:noWrap/>
            <w:vAlign w:val="center"/>
          </w:tcPr>
          <w:p w14:paraId="145084DC"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21</w:t>
            </w:r>
          </w:p>
        </w:tc>
        <w:tc>
          <w:tcPr>
            <w:tcW w:w="804" w:type="dxa"/>
            <w:shd w:val="clear" w:color="auto" w:fill="auto"/>
            <w:noWrap/>
            <w:vAlign w:val="center"/>
          </w:tcPr>
          <w:p w14:paraId="7005B0A1"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97.09</w:t>
            </w:r>
          </w:p>
        </w:tc>
        <w:tc>
          <w:tcPr>
            <w:tcW w:w="858" w:type="dxa"/>
            <w:shd w:val="clear" w:color="auto" w:fill="auto"/>
            <w:noWrap/>
            <w:vAlign w:val="center"/>
          </w:tcPr>
          <w:p w14:paraId="2555FFFC"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190.32</w:t>
            </w:r>
          </w:p>
        </w:tc>
        <w:tc>
          <w:tcPr>
            <w:tcW w:w="944" w:type="dxa"/>
            <w:shd w:val="clear" w:color="auto" w:fill="auto"/>
            <w:noWrap/>
            <w:vAlign w:val="center"/>
          </w:tcPr>
          <w:p w14:paraId="6F4A24CF" w14:textId="77777777" w:rsidR="00E30685" w:rsidRDefault="00E30685" w:rsidP="00E730DF">
            <w:pPr>
              <w:jc w:val="center"/>
              <w:rPr>
                <w:rFonts w:ascii="Corbel" w:hAnsi="Corbel" w:cs="Calibri"/>
                <w:sz w:val="18"/>
                <w:szCs w:val="18"/>
              </w:rPr>
            </w:pPr>
            <w:r>
              <w:rPr>
                <w:rFonts w:ascii="Corbel" w:hAnsi="Corbel" w:cs="Calibri"/>
                <w:color w:val="000000"/>
                <w:sz w:val="18"/>
                <w:szCs w:val="18"/>
              </w:rPr>
              <w:t>9.47</w:t>
            </w:r>
          </w:p>
        </w:tc>
      </w:tr>
      <w:tr w:rsidR="00E30685" w14:paraId="480168F2" w14:textId="77777777" w:rsidTr="00E730DF">
        <w:trPr>
          <w:trHeight w:val="139"/>
        </w:trPr>
        <w:tc>
          <w:tcPr>
            <w:tcW w:w="3389" w:type="dxa"/>
            <w:tcBorders>
              <w:bottom w:val="single" w:sz="4" w:space="0" w:color="auto"/>
            </w:tcBorders>
            <w:shd w:val="clear" w:color="auto" w:fill="auto"/>
            <w:noWrap/>
            <w:vAlign w:val="center"/>
          </w:tcPr>
          <w:p w14:paraId="7C4EF9D6" w14:textId="77777777" w:rsidR="00E30685" w:rsidRDefault="00E30685" w:rsidP="00E730DF">
            <w:pPr>
              <w:rPr>
                <w:rFonts w:ascii="Corbel" w:hAnsi="Corbel" w:cs="Calibri"/>
                <w:b/>
                <w:bCs/>
                <w:sz w:val="18"/>
                <w:szCs w:val="18"/>
              </w:rPr>
            </w:pPr>
            <w:r w:rsidRPr="00E6523E">
              <w:rPr>
                <w:rFonts w:ascii="Corbel" w:hAnsi="Corbel" w:cs="Calibri"/>
                <w:bCs/>
                <w:i/>
                <w:sz w:val="18"/>
                <w:szCs w:val="18"/>
              </w:rPr>
              <w:t>Kruskal-</w:t>
            </w:r>
            <w:proofErr w:type="gramStart"/>
            <w:r w:rsidRPr="00E6523E">
              <w:rPr>
                <w:rFonts w:ascii="Corbel" w:hAnsi="Corbel" w:cs="Calibri"/>
                <w:bCs/>
                <w:i/>
                <w:sz w:val="18"/>
                <w:szCs w:val="18"/>
              </w:rPr>
              <w:t>Wallis</w:t>
            </w:r>
            <w:proofErr w:type="gramEnd"/>
            <w:r w:rsidRPr="00E6523E">
              <w:rPr>
                <w:rFonts w:ascii="Corbel" w:hAnsi="Corbel" w:cs="Calibri"/>
                <w:bCs/>
                <w:i/>
                <w:sz w:val="18"/>
                <w:szCs w:val="18"/>
              </w:rPr>
              <w:t xml:space="preserve"> test</w:t>
            </w:r>
          </w:p>
        </w:tc>
        <w:tc>
          <w:tcPr>
            <w:tcW w:w="1157" w:type="dxa"/>
            <w:tcBorders>
              <w:bottom w:val="single" w:sz="4" w:space="0" w:color="auto"/>
            </w:tcBorders>
            <w:shd w:val="clear" w:color="auto" w:fill="auto"/>
            <w:noWrap/>
            <w:vAlign w:val="center"/>
          </w:tcPr>
          <w:p w14:paraId="7CD38AEA" w14:textId="77777777" w:rsidR="00E30685" w:rsidRDefault="00E30685" w:rsidP="00E730DF">
            <w:pPr>
              <w:jc w:val="center"/>
              <w:rPr>
                <w:rFonts w:ascii="Corbel" w:hAnsi="Corbel" w:cs="Calibri"/>
                <w:sz w:val="18"/>
                <w:szCs w:val="18"/>
              </w:rPr>
            </w:pPr>
            <w:r w:rsidRPr="00E6523E">
              <w:rPr>
                <w:rFonts w:ascii="Corbel" w:hAnsi="Corbel" w:cs="Calibri"/>
                <w:sz w:val="18"/>
                <w:szCs w:val="18"/>
              </w:rPr>
              <w:t>Χ</w:t>
            </w:r>
            <w:r w:rsidRPr="00E6523E">
              <w:rPr>
                <w:rFonts w:ascii="Corbel" w:hAnsi="Corbel" w:cs="Calibri"/>
                <w:sz w:val="18"/>
                <w:szCs w:val="18"/>
                <w:vertAlign w:val="superscript"/>
              </w:rPr>
              <w:t xml:space="preserve">2 </w:t>
            </w:r>
            <w:r w:rsidRPr="00E6523E">
              <w:rPr>
                <w:rFonts w:ascii="Corbel" w:hAnsi="Corbel" w:cs="Calibri"/>
                <w:sz w:val="18"/>
                <w:szCs w:val="18"/>
              </w:rPr>
              <w:t xml:space="preserve">= </w:t>
            </w:r>
            <w:r>
              <w:rPr>
                <w:rFonts w:ascii="Corbel" w:hAnsi="Corbel" w:cs="Calibri"/>
                <w:sz w:val="18"/>
                <w:szCs w:val="18"/>
              </w:rPr>
              <w:t>4</w:t>
            </w:r>
            <w:r w:rsidRPr="00E6523E">
              <w:rPr>
                <w:rFonts w:ascii="Corbel" w:hAnsi="Corbel" w:cs="Calibri"/>
                <w:sz w:val="18"/>
                <w:szCs w:val="18"/>
              </w:rPr>
              <w:t>.</w:t>
            </w:r>
            <w:r>
              <w:rPr>
                <w:rFonts w:ascii="Corbel" w:hAnsi="Corbel" w:cs="Calibri"/>
                <w:sz w:val="18"/>
                <w:szCs w:val="18"/>
              </w:rPr>
              <w:t>287</w:t>
            </w:r>
          </w:p>
        </w:tc>
        <w:tc>
          <w:tcPr>
            <w:tcW w:w="1662" w:type="dxa"/>
            <w:gridSpan w:val="2"/>
            <w:tcBorders>
              <w:bottom w:val="single" w:sz="4" w:space="0" w:color="auto"/>
            </w:tcBorders>
            <w:shd w:val="clear" w:color="auto" w:fill="auto"/>
            <w:noWrap/>
            <w:vAlign w:val="center"/>
          </w:tcPr>
          <w:p w14:paraId="5A851CBB"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0.2</w:t>
            </w:r>
            <w:r>
              <w:rPr>
                <w:rFonts w:ascii="Corbel" w:hAnsi="Corbel" w:cs="Calibri"/>
                <w:sz w:val="18"/>
                <w:szCs w:val="18"/>
              </w:rPr>
              <w:t>32</w:t>
            </w:r>
          </w:p>
        </w:tc>
        <w:tc>
          <w:tcPr>
            <w:tcW w:w="944" w:type="dxa"/>
            <w:tcBorders>
              <w:bottom w:val="single" w:sz="4" w:space="0" w:color="auto"/>
            </w:tcBorders>
            <w:shd w:val="clear" w:color="auto" w:fill="auto"/>
            <w:noWrap/>
            <w:vAlign w:val="center"/>
          </w:tcPr>
          <w:p w14:paraId="3FAC1729" w14:textId="77777777" w:rsidR="00E30685" w:rsidRDefault="00E30685" w:rsidP="00E730DF">
            <w:pPr>
              <w:jc w:val="center"/>
              <w:rPr>
                <w:rFonts w:ascii="Corbel" w:hAnsi="Corbel" w:cs="Calibri"/>
                <w:sz w:val="18"/>
                <w:szCs w:val="18"/>
              </w:rPr>
            </w:pPr>
          </w:p>
        </w:tc>
      </w:tr>
      <w:tr w:rsidR="00E30685" w14:paraId="434454DA"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7923D8B6" w14:textId="77777777" w:rsidR="00E30685" w:rsidRDefault="00E30685" w:rsidP="00E730DF">
            <w:pPr>
              <w:rPr>
                <w:rFonts w:ascii="Corbel" w:hAnsi="Corbel" w:cs="Calibri"/>
                <w:b/>
                <w:bCs/>
                <w:sz w:val="18"/>
                <w:szCs w:val="18"/>
              </w:rPr>
            </w:pPr>
            <w:r w:rsidRPr="00E6523E">
              <w:rPr>
                <w:rFonts w:ascii="Corbel" w:hAnsi="Corbel" w:cs="Calibri"/>
                <w:b/>
                <w:color w:val="000000"/>
                <w:sz w:val="18"/>
                <w:szCs w:val="18"/>
              </w:rPr>
              <w:t>Size of risk reduction from baseline</w:t>
            </w:r>
          </w:p>
        </w:tc>
        <w:tc>
          <w:tcPr>
            <w:tcW w:w="1157" w:type="dxa"/>
            <w:tcBorders>
              <w:top w:val="single" w:sz="4" w:space="0" w:color="auto"/>
              <w:bottom w:val="single" w:sz="4" w:space="0" w:color="auto"/>
            </w:tcBorders>
            <w:shd w:val="clear" w:color="auto" w:fill="auto"/>
            <w:noWrap/>
            <w:vAlign w:val="center"/>
          </w:tcPr>
          <w:p w14:paraId="6F3DC549"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2FC6756F"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6B93FD29"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276405EE" w14:textId="77777777" w:rsidR="00E30685" w:rsidRDefault="00E30685" w:rsidP="00E730DF">
            <w:pPr>
              <w:jc w:val="center"/>
              <w:rPr>
                <w:rFonts w:ascii="Corbel" w:hAnsi="Corbel" w:cs="Calibri"/>
                <w:sz w:val="18"/>
                <w:szCs w:val="18"/>
              </w:rPr>
            </w:pPr>
          </w:p>
        </w:tc>
      </w:tr>
      <w:tr w:rsidR="00E30685" w14:paraId="0D526BD7" w14:textId="77777777" w:rsidTr="00E730DF">
        <w:trPr>
          <w:trHeight w:val="139"/>
        </w:trPr>
        <w:tc>
          <w:tcPr>
            <w:tcW w:w="3389" w:type="dxa"/>
            <w:tcBorders>
              <w:top w:val="single" w:sz="4" w:space="0" w:color="auto"/>
            </w:tcBorders>
            <w:shd w:val="clear" w:color="auto" w:fill="auto"/>
            <w:noWrap/>
            <w:vAlign w:val="center"/>
          </w:tcPr>
          <w:p w14:paraId="2F77FD6C" w14:textId="77777777" w:rsidR="00E30685" w:rsidRPr="00E6523E" w:rsidRDefault="00E30685" w:rsidP="00E730DF">
            <w:pPr>
              <w:rPr>
                <w:rFonts w:ascii="Corbel" w:hAnsi="Corbel" w:cs="Calibri"/>
                <w:color w:val="000000"/>
                <w:sz w:val="18"/>
                <w:szCs w:val="18"/>
              </w:rPr>
            </w:pPr>
            <w:r w:rsidRPr="00E6523E">
              <w:rPr>
                <w:rFonts w:ascii="Corbel" w:hAnsi="Corbel" w:cs="Calibri"/>
                <w:color w:val="000000"/>
                <w:sz w:val="18"/>
                <w:szCs w:val="18"/>
              </w:rPr>
              <w:t>Risk reduction</w:t>
            </w:r>
          </w:p>
        </w:tc>
        <w:tc>
          <w:tcPr>
            <w:tcW w:w="1157" w:type="dxa"/>
            <w:tcBorders>
              <w:top w:val="single" w:sz="4" w:space="0" w:color="auto"/>
            </w:tcBorders>
            <w:shd w:val="clear" w:color="auto" w:fill="auto"/>
            <w:noWrap/>
            <w:vAlign w:val="center"/>
          </w:tcPr>
          <w:p w14:paraId="2941E3FD" w14:textId="77777777" w:rsidR="00E30685" w:rsidRPr="00E6523E" w:rsidRDefault="00E30685" w:rsidP="00E730DF">
            <w:pPr>
              <w:jc w:val="center"/>
              <w:rPr>
                <w:rFonts w:ascii="Corbel" w:hAnsi="Corbel" w:cs="Calibri"/>
                <w:color w:val="000000"/>
                <w:sz w:val="18"/>
                <w:szCs w:val="18"/>
              </w:rPr>
            </w:pPr>
            <w:r w:rsidRPr="00E6523E">
              <w:rPr>
                <w:rFonts w:ascii="Corbel" w:hAnsi="Corbel" w:cs="Calibri"/>
                <w:color w:val="000000"/>
                <w:sz w:val="18"/>
                <w:szCs w:val="18"/>
              </w:rPr>
              <w:t>278</w:t>
            </w:r>
          </w:p>
        </w:tc>
        <w:tc>
          <w:tcPr>
            <w:tcW w:w="804" w:type="dxa"/>
            <w:tcBorders>
              <w:top w:val="single" w:sz="4" w:space="0" w:color="auto"/>
            </w:tcBorders>
            <w:shd w:val="clear" w:color="auto" w:fill="auto"/>
            <w:noWrap/>
            <w:vAlign w:val="center"/>
          </w:tcPr>
          <w:p w14:paraId="5FD42CE3" w14:textId="77777777" w:rsidR="00E30685" w:rsidRPr="00E6523E" w:rsidRDefault="00E30685" w:rsidP="00E730DF">
            <w:pPr>
              <w:jc w:val="center"/>
              <w:rPr>
                <w:rFonts w:ascii="Corbel" w:hAnsi="Corbel" w:cs="Calibri"/>
                <w:color w:val="000000"/>
                <w:sz w:val="18"/>
                <w:szCs w:val="18"/>
              </w:rPr>
            </w:pPr>
            <w:r w:rsidRPr="00E6523E">
              <w:rPr>
                <w:rFonts w:ascii="Corbel" w:hAnsi="Corbel" w:cs="Calibri"/>
                <w:color w:val="000000"/>
                <w:sz w:val="18"/>
                <w:szCs w:val="18"/>
              </w:rPr>
              <w:t>49.77</w:t>
            </w:r>
          </w:p>
        </w:tc>
        <w:tc>
          <w:tcPr>
            <w:tcW w:w="858" w:type="dxa"/>
            <w:tcBorders>
              <w:top w:val="single" w:sz="4" w:space="0" w:color="auto"/>
            </w:tcBorders>
            <w:shd w:val="clear" w:color="auto" w:fill="auto"/>
            <w:noWrap/>
            <w:vAlign w:val="center"/>
          </w:tcPr>
          <w:p w14:paraId="69CAE158" w14:textId="77777777" w:rsidR="00E30685" w:rsidRPr="00E6523E" w:rsidRDefault="00E30685" w:rsidP="00E730DF">
            <w:pPr>
              <w:jc w:val="center"/>
              <w:rPr>
                <w:rFonts w:ascii="Corbel" w:hAnsi="Corbel" w:cs="Calibri"/>
                <w:color w:val="000000"/>
                <w:sz w:val="18"/>
                <w:szCs w:val="18"/>
              </w:rPr>
            </w:pPr>
            <w:r w:rsidRPr="00E6523E">
              <w:rPr>
                <w:rFonts w:ascii="Corbel" w:hAnsi="Corbel" w:cs="Calibri"/>
                <w:color w:val="000000"/>
                <w:sz w:val="18"/>
                <w:szCs w:val="18"/>
              </w:rPr>
              <w:t>110.81</w:t>
            </w:r>
          </w:p>
        </w:tc>
        <w:tc>
          <w:tcPr>
            <w:tcW w:w="944" w:type="dxa"/>
            <w:tcBorders>
              <w:top w:val="single" w:sz="4" w:space="0" w:color="auto"/>
            </w:tcBorders>
            <w:shd w:val="clear" w:color="auto" w:fill="auto"/>
            <w:noWrap/>
            <w:vAlign w:val="center"/>
          </w:tcPr>
          <w:p w14:paraId="2733E7DA" w14:textId="77777777" w:rsidR="00E30685" w:rsidRDefault="00E30685" w:rsidP="00E730DF">
            <w:pPr>
              <w:jc w:val="center"/>
              <w:rPr>
                <w:rFonts w:ascii="Corbel" w:hAnsi="Corbel" w:cs="Calibri"/>
                <w:color w:val="000000"/>
                <w:sz w:val="18"/>
                <w:szCs w:val="18"/>
              </w:rPr>
            </w:pPr>
            <w:r>
              <w:rPr>
                <w:rFonts w:ascii="Corbel" w:hAnsi="Corbel" w:cs="Calibri"/>
                <w:color w:val="000000"/>
                <w:sz w:val="18"/>
                <w:szCs w:val="18"/>
              </w:rPr>
              <w:t>21.27</w:t>
            </w:r>
          </w:p>
        </w:tc>
      </w:tr>
      <w:tr w:rsidR="00E30685" w14:paraId="680A4079" w14:textId="77777777" w:rsidTr="00E730DF">
        <w:trPr>
          <w:trHeight w:val="139"/>
        </w:trPr>
        <w:tc>
          <w:tcPr>
            <w:tcW w:w="3389" w:type="dxa"/>
            <w:shd w:val="clear" w:color="auto" w:fill="auto"/>
            <w:noWrap/>
            <w:vAlign w:val="center"/>
          </w:tcPr>
          <w:p w14:paraId="2DFFE22F"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Risk elimination</w:t>
            </w:r>
          </w:p>
        </w:tc>
        <w:tc>
          <w:tcPr>
            <w:tcW w:w="1157" w:type="dxa"/>
            <w:shd w:val="clear" w:color="auto" w:fill="auto"/>
            <w:noWrap/>
            <w:vAlign w:val="center"/>
          </w:tcPr>
          <w:p w14:paraId="4C94FF10"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24</w:t>
            </w:r>
          </w:p>
        </w:tc>
        <w:tc>
          <w:tcPr>
            <w:tcW w:w="804" w:type="dxa"/>
            <w:shd w:val="clear" w:color="auto" w:fill="auto"/>
            <w:noWrap/>
            <w:vAlign w:val="center"/>
          </w:tcPr>
          <w:p w14:paraId="0B09E86D"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69.78</w:t>
            </w:r>
          </w:p>
        </w:tc>
        <w:tc>
          <w:tcPr>
            <w:tcW w:w="858" w:type="dxa"/>
            <w:shd w:val="clear" w:color="auto" w:fill="auto"/>
            <w:noWrap/>
            <w:vAlign w:val="center"/>
          </w:tcPr>
          <w:p w14:paraId="16264862"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162.40</w:t>
            </w:r>
          </w:p>
        </w:tc>
        <w:tc>
          <w:tcPr>
            <w:tcW w:w="944" w:type="dxa"/>
            <w:shd w:val="clear" w:color="auto" w:fill="auto"/>
            <w:noWrap/>
            <w:vAlign w:val="center"/>
          </w:tcPr>
          <w:p w14:paraId="55B3A693" w14:textId="77777777" w:rsidR="00E30685" w:rsidRDefault="00E30685" w:rsidP="00E730DF">
            <w:pPr>
              <w:jc w:val="center"/>
              <w:rPr>
                <w:rFonts w:ascii="Corbel" w:hAnsi="Corbel" w:cs="Calibri"/>
                <w:sz w:val="18"/>
                <w:szCs w:val="18"/>
              </w:rPr>
            </w:pPr>
            <w:r>
              <w:rPr>
                <w:rFonts w:ascii="Corbel" w:hAnsi="Corbel" w:cs="Calibri"/>
                <w:color w:val="000000"/>
                <w:sz w:val="18"/>
                <w:szCs w:val="18"/>
              </w:rPr>
              <w:t>22.31</w:t>
            </w:r>
          </w:p>
        </w:tc>
      </w:tr>
      <w:tr w:rsidR="00E30685" w14:paraId="7DC5BFC6" w14:textId="77777777" w:rsidTr="00E730DF">
        <w:trPr>
          <w:trHeight w:val="139"/>
        </w:trPr>
        <w:tc>
          <w:tcPr>
            <w:tcW w:w="3389" w:type="dxa"/>
            <w:tcBorders>
              <w:bottom w:val="single" w:sz="4" w:space="0" w:color="auto"/>
            </w:tcBorders>
            <w:shd w:val="clear" w:color="auto" w:fill="auto"/>
            <w:noWrap/>
            <w:vAlign w:val="center"/>
          </w:tcPr>
          <w:p w14:paraId="6C585173" w14:textId="77777777" w:rsidR="00E30685" w:rsidRDefault="00E30685" w:rsidP="00E730DF">
            <w:pPr>
              <w:rPr>
                <w:rFonts w:ascii="Corbel" w:hAnsi="Corbel" w:cs="Calibri"/>
                <w:b/>
                <w:bCs/>
                <w:sz w:val="18"/>
                <w:szCs w:val="18"/>
              </w:rPr>
            </w:pPr>
            <w:r w:rsidRPr="00E6523E">
              <w:rPr>
                <w:rFonts w:ascii="Corbel" w:hAnsi="Corbel" w:cs="Calibri"/>
                <w:bCs/>
                <w:i/>
                <w:sz w:val="18"/>
                <w:szCs w:val="18"/>
              </w:rPr>
              <w:t>Mann-Whitney test</w:t>
            </w:r>
          </w:p>
        </w:tc>
        <w:tc>
          <w:tcPr>
            <w:tcW w:w="1157" w:type="dxa"/>
            <w:tcBorders>
              <w:bottom w:val="single" w:sz="4" w:space="0" w:color="auto"/>
            </w:tcBorders>
            <w:shd w:val="clear" w:color="auto" w:fill="auto"/>
            <w:noWrap/>
            <w:vAlign w:val="center"/>
          </w:tcPr>
          <w:p w14:paraId="13398D69" w14:textId="77777777" w:rsidR="00E30685" w:rsidRDefault="00E30685" w:rsidP="00E730DF">
            <w:pPr>
              <w:jc w:val="center"/>
              <w:rPr>
                <w:rFonts w:ascii="Corbel" w:hAnsi="Corbel" w:cs="Calibri"/>
                <w:sz w:val="18"/>
                <w:szCs w:val="18"/>
              </w:rPr>
            </w:pPr>
            <w:r w:rsidRPr="00E6523E">
              <w:rPr>
                <w:rFonts w:ascii="Corbel" w:hAnsi="Corbel" w:cs="Calibri"/>
                <w:i/>
                <w:sz w:val="18"/>
                <w:szCs w:val="18"/>
              </w:rPr>
              <w:t>z</w:t>
            </w:r>
            <w:r w:rsidRPr="00E6523E">
              <w:rPr>
                <w:rFonts w:ascii="Corbel" w:hAnsi="Corbel" w:cs="Calibri"/>
                <w:sz w:val="18"/>
                <w:szCs w:val="18"/>
                <w:vertAlign w:val="superscript"/>
              </w:rPr>
              <w:t xml:space="preserve"> </w:t>
            </w:r>
            <w:r w:rsidRPr="00E6523E">
              <w:rPr>
                <w:rFonts w:ascii="Corbel" w:hAnsi="Corbel" w:cs="Calibri"/>
                <w:sz w:val="18"/>
                <w:szCs w:val="18"/>
              </w:rPr>
              <w:t>= 2.26</w:t>
            </w:r>
          </w:p>
        </w:tc>
        <w:tc>
          <w:tcPr>
            <w:tcW w:w="1662" w:type="dxa"/>
            <w:gridSpan w:val="2"/>
            <w:tcBorders>
              <w:bottom w:val="single" w:sz="4" w:space="0" w:color="auto"/>
            </w:tcBorders>
            <w:shd w:val="clear" w:color="auto" w:fill="auto"/>
            <w:noWrap/>
            <w:vAlign w:val="center"/>
          </w:tcPr>
          <w:p w14:paraId="21F2A686"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0.821</w:t>
            </w:r>
          </w:p>
        </w:tc>
        <w:tc>
          <w:tcPr>
            <w:tcW w:w="944" w:type="dxa"/>
            <w:tcBorders>
              <w:bottom w:val="single" w:sz="4" w:space="0" w:color="auto"/>
            </w:tcBorders>
            <w:shd w:val="clear" w:color="auto" w:fill="auto"/>
            <w:noWrap/>
            <w:vAlign w:val="center"/>
          </w:tcPr>
          <w:p w14:paraId="74EB310D" w14:textId="77777777" w:rsidR="00E30685" w:rsidRDefault="00E30685" w:rsidP="00E730DF">
            <w:pPr>
              <w:jc w:val="center"/>
              <w:rPr>
                <w:rFonts w:ascii="Corbel" w:hAnsi="Corbel" w:cs="Calibri"/>
                <w:sz w:val="18"/>
                <w:szCs w:val="18"/>
              </w:rPr>
            </w:pPr>
          </w:p>
        </w:tc>
      </w:tr>
      <w:tr w:rsidR="00E30685" w14:paraId="0B14D04E"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265AF91B" w14:textId="77777777" w:rsidR="00E30685" w:rsidRPr="00D36733" w:rsidRDefault="00E30685" w:rsidP="00E730DF">
            <w:pPr>
              <w:rPr>
                <w:rFonts w:ascii="Corbel" w:hAnsi="Corbel" w:cs="Calibri"/>
                <w:b/>
                <w:i/>
                <w:iCs/>
                <w:color w:val="000000"/>
                <w:sz w:val="18"/>
                <w:szCs w:val="18"/>
              </w:rPr>
            </w:pPr>
            <w:r>
              <w:rPr>
                <w:rFonts w:ascii="Corbel" w:hAnsi="Corbel" w:cs="Calibri"/>
                <w:b/>
                <w:i/>
                <w:iCs/>
                <w:color w:val="000000"/>
                <w:sz w:val="18"/>
                <w:szCs w:val="18"/>
              </w:rPr>
              <w:t>Study</w:t>
            </w:r>
            <w:r w:rsidRPr="00D36733">
              <w:rPr>
                <w:rFonts w:ascii="Corbel" w:hAnsi="Corbel" w:cs="Calibri"/>
                <w:b/>
                <w:i/>
                <w:iCs/>
                <w:color w:val="000000"/>
                <w:sz w:val="18"/>
                <w:szCs w:val="18"/>
              </w:rPr>
              <w:t xml:space="preserve"> characteristics</w:t>
            </w:r>
          </w:p>
        </w:tc>
        <w:tc>
          <w:tcPr>
            <w:tcW w:w="1157" w:type="dxa"/>
            <w:tcBorders>
              <w:top w:val="single" w:sz="4" w:space="0" w:color="auto"/>
              <w:bottom w:val="single" w:sz="4" w:space="0" w:color="auto"/>
            </w:tcBorders>
            <w:shd w:val="clear" w:color="auto" w:fill="auto"/>
            <w:noWrap/>
            <w:vAlign w:val="center"/>
          </w:tcPr>
          <w:p w14:paraId="0B134320"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7D02CC95" w14:textId="77777777" w:rsidR="00E30685" w:rsidRPr="00E6523E" w:rsidRDefault="00E30685" w:rsidP="00E730DF">
            <w:pPr>
              <w:jc w:val="center"/>
              <w:rPr>
                <w:rFonts w:ascii="Corbel" w:hAnsi="Corbel" w:cs="Calibri"/>
                <w:color w:val="000000"/>
                <w:sz w:val="18"/>
                <w:szCs w:val="18"/>
              </w:rPr>
            </w:pPr>
          </w:p>
        </w:tc>
        <w:tc>
          <w:tcPr>
            <w:tcW w:w="858" w:type="dxa"/>
            <w:tcBorders>
              <w:top w:val="single" w:sz="4" w:space="0" w:color="auto"/>
              <w:bottom w:val="single" w:sz="4" w:space="0" w:color="auto"/>
            </w:tcBorders>
            <w:shd w:val="clear" w:color="auto" w:fill="auto"/>
            <w:noWrap/>
            <w:vAlign w:val="center"/>
          </w:tcPr>
          <w:p w14:paraId="6F6F658A" w14:textId="77777777" w:rsidR="00E30685" w:rsidRPr="00E6523E" w:rsidRDefault="00E30685" w:rsidP="00E730DF">
            <w:pPr>
              <w:jc w:val="center"/>
              <w:rPr>
                <w:rFonts w:ascii="Corbel" w:hAnsi="Corbel" w:cs="Calibri"/>
                <w:color w:val="000000"/>
                <w:sz w:val="18"/>
                <w:szCs w:val="18"/>
              </w:rPr>
            </w:pPr>
          </w:p>
        </w:tc>
        <w:tc>
          <w:tcPr>
            <w:tcW w:w="944" w:type="dxa"/>
            <w:tcBorders>
              <w:top w:val="single" w:sz="4" w:space="0" w:color="auto"/>
              <w:bottom w:val="single" w:sz="4" w:space="0" w:color="auto"/>
            </w:tcBorders>
            <w:shd w:val="clear" w:color="auto" w:fill="auto"/>
            <w:noWrap/>
            <w:vAlign w:val="center"/>
          </w:tcPr>
          <w:p w14:paraId="1F975140" w14:textId="77777777" w:rsidR="00E30685" w:rsidRPr="00B80209" w:rsidRDefault="00E30685" w:rsidP="00E730DF">
            <w:pPr>
              <w:jc w:val="center"/>
              <w:rPr>
                <w:rFonts w:ascii="Corbel" w:hAnsi="Corbel" w:cs="Calibri"/>
                <w:color w:val="000000"/>
                <w:sz w:val="18"/>
                <w:szCs w:val="18"/>
              </w:rPr>
            </w:pPr>
          </w:p>
        </w:tc>
      </w:tr>
      <w:tr w:rsidR="00E30685" w14:paraId="74584C12"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388801D3" w14:textId="77777777" w:rsidR="00E30685" w:rsidRDefault="00E30685" w:rsidP="00E730DF">
            <w:pPr>
              <w:rPr>
                <w:rFonts w:ascii="Corbel" w:hAnsi="Corbel" w:cs="Calibri"/>
                <w:b/>
                <w:bCs/>
                <w:sz w:val="18"/>
                <w:szCs w:val="18"/>
              </w:rPr>
            </w:pPr>
            <w:r w:rsidRPr="00E6523E">
              <w:rPr>
                <w:rFonts w:ascii="Corbel" w:hAnsi="Corbel" w:cs="Calibri"/>
                <w:b/>
                <w:bCs/>
                <w:sz w:val="18"/>
                <w:szCs w:val="18"/>
              </w:rPr>
              <w:t>Valuation method</w:t>
            </w:r>
          </w:p>
        </w:tc>
        <w:tc>
          <w:tcPr>
            <w:tcW w:w="1157" w:type="dxa"/>
            <w:tcBorders>
              <w:top w:val="single" w:sz="4" w:space="0" w:color="auto"/>
              <w:bottom w:val="single" w:sz="4" w:space="0" w:color="auto"/>
            </w:tcBorders>
            <w:shd w:val="clear" w:color="auto" w:fill="auto"/>
            <w:noWrap/>
            <w:vAlign w:val="center"/>
          </w:tcPr>
          <w:p w14:paraId="54BACC0D"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1D32E4BE"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447E1494"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33E85D83" w14:textId="77777777" w:rsidR="00E30685" w:rsidRDefault="00E30685" w:rsidP="00E730DF">
            <w:pPr>
              <w:jc w:val="center"/>
              <w:rPr>
                <w:rFonts w:ascii="Corbel" w:hAnsi="Corbel" w:cs="Calibri"/>
                <w:sz w:val="18"/>
                <w:szCs w:val="18"/>
              </w:rPr>
            </w:pPr>
          </w:p>
        </w:tc>
      </w:tr>
      <w:tr w:rsidR="00E30685" w14:paraId="710B40B4" w14:textId="77777777" w:rsidTr="00E730DF">
        <w:trPr>
          <w:trHeight w:val="139"/>
        </w:trPr>
        <w:tc>
          <w:tcPr>
            <w:tcW w:w="3389" w:type="dxa"/>
            <w:tcBorders>
              <w:top w:val="single" w:sz="4" w:space="0" w:color="auto"/>
            </w:tcBorders>
            <w:shd w:val="clear" w:color="auto" w:fill="auto"/>
            <w:noWrap/>
            <w:vAlign w:val="center"/>
          </w:tcPr>
          <w:p w14:paraId="7A6B3470" w14:textId="77777777" w:rsidR="00E30685" w:rsidRDefault="00E30685" w:rsidP="00E730DF">
            <w:pPr>
              <w:rPr>
                <w:rFonts w:ascii="Corbel" w:hAnsi="Corbel" w:cs="Calibri"/>
                <w:b/>
                <w:bCs/>
                <w:sz w:val="18"/>
                <w:szCs w:val="18"/>
              </w:rPr>
            </w:pPr>
            <w:r w:rsidRPr="00E6523E">
              <w:rPr>
                <w:rFonts w:ascii="Corbel" w:hAnsi="Corbel" w:cs="Calibri"/>
                <w:bCs/>
                <w:sz w:val="18"/>
                <w:szCs w:val="18"/>
              </w:rPr>
              <w:t>Revealed preferences</w:t>
            </w:r>
          </w:p>
        </w:tc>
        <w:tc>
          <w:tcPr>
            <w:tcW w:w="1157" w:type="dxa"/>
            <w:tcBorders>
              <w:top w:val="single" w:sz="4" w:space="0" w:color="auto"/>
            </w:tcBorders>
            <w:shd w:val="clear" w:color="auto" w:fill="auto"/>
            <w:noWrap/>
            <w:vAlign w:val="center"/>
          </w:tcPr>
          <w:p w14:paraId="7DC7AE16" w14:textId="77777777" w:rsidR="00E30685" w:rsidRDefault="00E30685" w:rsidP="00E730DF">
            <w:pPr>
              <w:jc w:val="center"/>
              <w:rPr>
                <w:rFonts w:ascii="Corbel" w:hAnsi="Corbel" w:cs="Calibri"/>
                <w:sz w:val="18"/>
                <w:szCs w:val="18"/>
              </w:rPr>
            </w:pPr>
            <w:r>
              <w:rPr>
                <w:rFonts w:ascii="Corbel" w:hAnsi="Corbel" w:cs="Calibri"/>
                <w:sz w:val="18"/>
                <w:szCs w:val="18"/>
              </w:rPr>
              <w:t>75</w:t>
            </w:r>
          </w:p>
        </w:tc>
        <w:tc>
          <w:tcPr>
            <w:tcW w:w="804" w:type="dxa"/>
            <w:tcBorders>
              <w:top w:val="single" w:sz="4" w:space="0" w:color="auto"/>
            </w:tcBorders>
            <w:shd w:val="clear" w:color="auto" w:fill="auto"/>
            <w:noWrap/>
            <w:vAlign w:val="center"/>
          </w:tcPr>
          <w:p w14:paraId="706E7681" w14:textId="77777777" w:rsidR="00E30685" w:rsidRDefault="00E30685" w:rsidP="00E730DF">
            <w:pPr>
              <w:jc w:val="center"/>
              <w:rPr>
                <w:rFonts w:ascii="Corbel" w:hAnsi="Corbel" w:cs="Calibri"/>
                <w:sz w:val="18"/>
                <w:szCs w:val="18"/>
              </w:rPr>
            </w:pPr>
            <w:r>
              <w:rPr>
                <w:rFonts w:ascii="Corbel" w:hAnsi="Corbel" w:cs="Calibri"/>
                <w:sz w:val="18"/>
                <w:szCs w:val="18"/>
              </w:rPr>
              <w:t>30.99</w:t>
            </w:r>
          </w:p>
        </w:tc>
        <w:tc>
          <w:tcPr>
            <w:tcW w:w="858" w:type="dxa"/>
            <w:tcBorders>
              <w:top w:val="single" w:sz="4" w:space="0" w:color="auto"/>
            </w:tcBorders>
            <w:shd w:val="clear" w:color="auto" w:fill="auto"/>
            <w:noWrap/>
            <w:vAlign w:val="center"/>
          </w:tcPr>
          <w:p w14:paraId="58C51E16" w14:textId="77777777" w:rsidR="00E30685" w:rsidRDefault="00E30685" w:rsidP="00E730DF">
            <w:pPr>
              <w:jc w:val="center"/>
              <w:rPr>
                <w:rFonts w:ascii="Corbel" w:hAnsi="Corbel" w:cs="Calibri"/>
                <w:sz w:val="18"/>
                <w:szCs w:val="18"/>
              </w:rPr>
            </w:pPr>
            <w:r>
              <w:rPr>
                <w:rFonts w:ascii="Corbel" w:hAnsi="Corbel" w:cs="Calibri"/>
                <w:sz w:val="18"/>
                <w:szCs w:val="18"/>
              </w:rPr>
              <w:t>70.07</w:t>
            </w:r>
          </w:p>
        </w:tc>
        <w:tc>
          <w:tcPr>
            <w:tcW w:w="944" w:type="dxa"/>
            <w:tcBorders>
              <w:top w:val="single" w:sz="4" w:space="0" w:color="auto"/>
            </w:tcBorders>
            <w:shd w:val="clear" w:color="auto" w:fill="auto"/>
            <w:noWrap/>
            <w:vAlign w:val="center"/>
          </w:tcPr>
          <w:p w14:paraId="1D200923" w14:textId="77777777" w:rsidR="00E30685" w:rsidRDefault="00E30685" w:rsidP="00E730DF">
            <w:pPr>
              <w:jc w:val="center"/>
              <w:rPr>
                <w:rFonts w:ascii="Corbel" w:hAnsi="Corbel" w:cs="Calibri"/>
                <w:sz w:val="18"/>
                <w:szCs w:val="18"/>
              </w:rPr>
            </w:pPr>
            <w:r>
              <w:rPr>
                <w:rFonts w:ascii="Corbel" w:hAnsi="Corbel" w:cs="Calibri"/>
                <w:sz w:val="18"/>
                <w:szCs w:val="18"/>
              </w:rPr>
              <w:t>8.64</w:t>
            </w:r>
          </w:p>
        </w:tc>
      </w:tr>
      <w:tr w:rsidR="00E30685" w14:paraId="21246705" w14:textId="77777777" w:rsidTr="00E730DF">
        <w:trPr>
          <w:trHeight w:val="139"/>
        </w:trPr>
        <w:tc>
          <w:tcPr>
            <w:tcW w:w="3389" w:type="dxa"/>
            <w:shd w:val="clear" w:color="auto" w:fill="auto"/>
            <w:noWrap/>
            <w:vAlign w:val="center"/>
          </w:tcPr>
          <w:p w14:paraId="57BE340C" w14:textId="77777777" w:rsidR="00E30685" w:rsidRDefault="00E30685" w:rsidP="00E730DF">
            <w:pPr>
              <w:rPr>
                <w:rFonts w:ascii="Corbel" w:hAnsi="Corbel" w:cs="Calibri"/>
                <w:b/>
                <w:bCs/>
                <w:sz w:val="18"/>
                <w:szCs w:val="18"/>
              </w:rPr>
            </w:pPr>
            <w:r>
              <w:rPr>
                <w:rFonts w:ascii="Corbel" w:hAnsi="Corbel" w:cs="Calibri"/>
                <w:bCs/>
                <w:sz w:val="18"/>
                <w:szCs w:val="18"/>
              </w:rPr>
              <w:t>Stated</w:t>
            </w:r>
            <w:r w:rsidRPr="00E6523E">
              <w:rPr>
                <w:rFonts w:ascii="Corbel" w:hAnsi="Corbel" w:cs="Calibri"/>
                <w:bCs/>
                <w:sz w:val="18"/>
                <w:szCs w:val="18"/>
              </w:rPr>
              <w:t xml:space="preserve"> preferences</w:t>
            </w:r>
          </w:p>
        </w:tc>
        <w:tc>
          <w:tcPr>
            <w:tcW w:w="1157" w:type="dxa"/>
            <w:shd w:val="clear" w:color="auto" w:fill="auto"/>
            <w:noWrap/>
            <w:vAlign w:val="center"/>
          </w:tcPr>
          <w:p w14:paraId="36DF9789" w14:textId="77777777" w:rsidR="00E30685" w:rsidRDefault="00E30685" w:rsidP="00E730DF">
            <w:pPr>
              <w:jc w:val="center"/>
              <w:rPr>
                <w:rFonts w:ascii="Corbel" w:hAnsi="Corbel" w:cs="Calibri"/>
                <w:sz w:val="18"/>
                <w:szCs w:val="18"/>
              </w:rPr>
            </w:pPr>
            <w:r>
              <w:rPr>
                <w:rFonts w:ascii="Corbel" w:hAnsi="Corbel" w:cs="Calibri"/>
                <w:sz w:val="18"/>
                <w:szCs w:val="18"/>
              </w:rPr>
              <w:t>227</w:t>
            </w:r>
          </w:p>
        </w:tc>
        <w:tc>
          <w:tcPr>
            <w:tcW w:w="804" w:type="dxa"/>
            <w:shd w:val="clear" w:color="auto" w:fill="auto"/>
            <w:noWrap/>
            <w:vAlign w:val="center"/>
          </w:tcPr>
          <w:p w14:paraId="3AC5412E" w14:textId="77777777" w:rsidR="00E30685" w:rsidRDefault="00E30685" w:rsidP="00E730DF">
            <w:pPr>
              <w:jc w:val="center"/>
              <w:rPr>
                <w:rFonts w:ascii="Corbel" w:hAnsi="Corbel" w:cs="Calibri"/>
                <w:sz w:val="18"/>
                <w:szCs w:val="18"/>
              </w:rPr>
            </w:pPr>
            <w:r>
              <w:rPr>
                <w:rFonts w:ascii="Corbel" w:hAnsi="Corbel" w:cs="Calibri"/>
                <w:sz w:val="18"/>
                <w:szCs w:val="18"/>
              </w:rPr>
              <w:t>58.09</w:t>
            </w:r>
          </w:p>
        </w:tc>
        <w:tc>
          <w:tcPr>
            <w:tcW w:w="858" w:type="dxa"/>
            <w:shd w:val="clear" w:color="auto" w:fill="auto"/>
            <w:noWrap/>
            <w:vAlign w:val="center"/>
          </w:tcPr>
          <w:p w14:paraId="3C625675" w14:textId="77777777" w:rsidR="00E30685" w:rsidRDefault="00E30685" w:rsidP="00E730DF">
            <w:pPr>
              <w:jc w:val="center"/>
              <w:rPr>
                <w:rFonts w:ascii="Corbel" w:hAnsi="Corbel" w:cs="Calibri"/>
                <w:sz w:val="18"/>
                <w:szCs w:val="18"/>
              </w:rPr>
            </w:pPr>
            <w:r>
              <w:rPr>
                <w:rFonts w:ascii="Corbel" w:hAnsi="Corbel" w:cs="Calibri"/>
                <w:sz w:val="18"/>
                <w:szCs w:val="18"/>
              </w:rPr>
              <w:t>126.42</w:t>
            </w:r>
          </w:p>
        </w:tc>
        <w:tc>
          <w:tcPr>
            <w:tcW w:w="944" w:type="dxa"/>
            <w:shd w:val="clear" w:color="auto" w:fill="auto"/>
            <w:noWrap/>
            <w:vAlign w:val="center"/>
          </w:tcPr>
          <w:p w14:paraId="239B8AB1" w14:textId="77777777" w:rsidR="00E30685" w:rsidRDefault="00E30685" w:rsidP="00E730DF">
            <w:pPr>
              <w:jc w:val="center"/>
              <w:rPr>
                <w:rFonts w:ascii="Corbel" w:hAnsi="Corbel" w:cs="Calibri"/>
                <w:sz w:val="18"/>
                <w:szCs w:val="18"/>
              </w:rPr>
            </w:pPr>
            <w:r>
              <w:rPr>
                <w:rFonts w:ascii="Corbel" w:hAnsi="Corbel" w:cs="Calibri"/>
                <w:sz w:val="18"/>
                <w:szCs w:val="18"/>
              </w:rPr>
              <w:t>22.21</w:t>
            </w:r>
          </w:p>
        </w:tc>
      </w:tr>
      <w:tr w:rsidR="00E30685" w14:paraId="13984434" w14:textId="77777777" w:rsidTr="00E730DF">
        <w:trPr>
          <w:trHeight w:val="139"/>
        </w:trPr>
        <w:tc>
          <w:tcPr>
            <w:tcW w:w="3389" w:type="dxa"/>
            <w:tcBorders>
              <w:bottom w:val="single" w:sz="4" w:space="0" w:color="auto"/>
            </w:tcBorders>
            <w:shd w:val="clear" w:color="auto" w:fill="auto"/>
            <w:noWrap/>
            <w:vAlign w:val="center"/>
          </w:tcPr>
          <w:p w14:paraId="0C90DF92" w14:textId="77777777" w:rsidR="00E30685" w:rsidRDefault="00E30685" w:rsidP="00E730DF">
            <w:pPr>
              <w:rPr>
                <w:rFonts w:ascii="Corbel" w:hAnsi="Corbel" w:cs="Calibri"/>
                <w:b/>
                <w:bCs/>
                <w:sz w:val="18"/>
                <w:szCs w:val="18"/>
              </w:rPr>
            </w:pPr>
            <w:r w:rsidRPr="00E6523E">
              <w:rPr>
                <w:rFonts w:ascii="Corbel" w:hAnsi="Corbel" w:cs="Calibri"/>
                <w:bCs/>
                <w:i/>
                <w:sz w:val="18"/>
                <w:szCs w:val="18"/>
              </w:rPr>
              <w:t>Mann-Whitney test</w:t>
            </w:r>
          </w:p>
        </w:tc>
        <w:tc>
          <w:tcPr>
            <w:tcW w:w="1157" w:type="dxa"/>
            <w:tcBorders>
              <w:bottom w:val="single" w:sz="4" w:space="0" w:color="auto"/>
            </w:tcBorders>
            <w:shd w:val="clear" w:color="auto" w:fill="auto"/>
            <w:noWrap/>
            <w:vAlign w:val="center"/>
          </w:tcPr>
          <w:p w14:paraId="2CDD92B9" w14:textId="77777777" w:rsidR="00E30685" w:rsidRDefault="00E30685" w:rsidP="00E730DF">
            <w:pPr>
              <w:jc w:val="center"/>
              <w:rPr>
                <w:rFonts w:ascii="Corbel" w:hAnsi="Corbel" w:cs="Calibri"/>
                <w:sz w:val="18"/>
                <w:szCs w:val="18"/>
              </w:rPr>
            </w:pPr>
            <w:r w:rsidRPr="00E6523E">
              <w:rPr>
                <w:rFonts w:ascii="Corbel" w:hAnsi="Corbel" w:cs="Calibri"/>
                <w:i/>
                <w:sz w:val="18"/>
                <w:szCs w:val="18"/>
              </w:rPr>
              <w:t>z</w:t>
            </w:r>
            <w:r w:rsidRPr="00E6523E">
              <w:rPr>
                <w:rFonts w:ascii="Corbel" w:hAnsi="Corbel" w:cs="Calibri"/>
                <w:sz w:val="18"/>
                <w:szCs w:val="18"/>
                <w:vertAlign w:val="superscript"/>
              </w:rPr>
              <w:t xml:space="preserve"> </w:t>
            </w:r>
            <w:r w:rsidRPr="00E6523E">
              <w:rPr>
                <w:rFonts w:ascii="Corbel" w:hAnsi="Corbel" w:cs="Calibri"/>
                <w:sz w:val="18"/>
                <w:szCs w:val="18"/>
              </w:rPr>
              <w:t xml:space="preserve">= </w:t>
            </w:r>
            <w:r>
              <w:rPr>
                <w:rFonts w:ascii="Corbel" w:hAnsi="Corbel" w:cs="Calibri"/>
                <w:sz w:val="18"/>
                <w:szCs w:val="18"/>
              </w:rPr>
              <w:t>2.967</w:t>
            </w:r>
          </w:p>
        </w:tc>
        <w:tc>
          <w:tcPr>
            <w:tcW w:w="1662" w:type="dxa"/>
            <w:gridSpan w:val="2"/>
            <w:tcBorders>
              <w:bottom w:val="single" w:sz="4" w:space="0" w:color="auto"/>
            </w:tcBorders>
            <w:shd w:val="clear" w:color="auto" w:fill="auto"/>
            <w:noWrap/>
            <w:vAlign w:val="center"/>
          </w:tcPr>
          <w:p w14:paraId="4B527CE7"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0.00</w:t>
            </w:r>
            <w:r>
              <w:rPr>
                <w:rFonts w:ascii="Corbel" w:hAnsi="Corbel" w:cs="Calibri"/>
                <w:sz w:val="18"/>
                <w:szCs w:val="18"/>
              </w:rPr>
              <w:t>3</w:t>
            </w:r>
          </w:p>
        </w:tc>
        <w:tc>
          <w:tcPr>
            <w:tcW w:w="944" w:type="dxa"/>
            <w:tcBorders>
              <w:bottom w:val="single" w:sz="4" w:space="0" w:color="auto"/>
            </w:tcBorders>
            <w:shd w:val="clear" w:color="auto" w:fill="auto"/>
            <w:noWrap/>
            <w:vAlign w:val="center"/>
          </w:tcPr>
          <w:p w14:paraId="368E7E83" w14:textId="77777777" w:rsidR="00E30685" w:rsidRDefault="00E30685" w:rsidP="00E730DF">
            <w:pPr>
              <w:jc w:val="center"/>
              <w:rPr>
                <w:rFonts w:ascii="Corbel" w:hAnsi="Corbel" w:cs="Calibri"/>
                <w:sz w:val="18"/>
                <w:szCs w:val="18"/>
              </w:rPr>
            </w:pPr>
          </w:p>
        </w:tc>
      </w:tr>
      <w:tr w:rsidR="00E30685" w14:paraId="3B0091B4"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537D45D9" w14:textId="77777777" w:rsidR="00E30685" w:rsidRDefault="00E30685" w:rsidP="00E730DF">
            <w:pPr>
              <w:rPr>
                <w:rFonts w:ascii="Corbel" w:hAnsi="Corbel" w:cs="Calibri"/>
                <w:b/>
                <w:bCs/>
                <w:sz w:val="18"/>
                <w:szCs w:val="18"/>
              </w:rPr>
            </w:pPr>
            <w:r w:rsidRPr="00E6523E">
              <w:rPr>
                <w:rFonts w:ascii="Corbel" w:hAnsi="Corbel" w:cs="Calibri"/>
                <w:b/>
                <w:color w:val="000000"/>
                <w:sz w:val="18"/>
                <w:szCs w:val="18"/>
              </w:rPr>
              <w:t>W</w:t>
            </w:r>
            <w:r>
              <w:rPr>
                <w:rFonts w:ascii="Corbel" w:hAnsi="Corbel" w:cs="Calibri"/>
                <w:b/>
                <w:color w:val="000000"/>
                <w:sz w:val="18"/>
                <w:szCs w:val="18"/>
              </w:rPr>
              <w:t>TP w</w:t>
            </w:r>
            <w:r w:rsidRPr="00E6523E">
              <w:rPr>
                <w:rFonts w:ascii="Corbel" w:hAnsi="Corbel" w:cs="Calibri"/>
                <w:b/>
                <w:color w:val="000000"/>
                <w:sz w:val="18"/>
                <w:szCs w:val="18"/>
              </w:rPr>
              <w:t>elfare measure</w:t>
            </w:r>
          </w:p>
        </w:tc>
        <w:tc>
          <w:tcPr>
            <w:tcW w:w="1157" w:type="dxa"/>
            <w:tcBorders>
              <w:top w:val="single" w:sz="4" w:space="0" w:color="auto"/>
              <w:bottom w:val="single" w:sz="4" w:space="0" w:color="auto"/>
            </w:tcBorders>
            <w:shd w:val="clear" w:color="auto" w:fill="auto"/>
            <w:noWrap/>
            <w:vAlign w:val="center"/>
          </w:tcPr>
          <w:p w14:paraId="07ED7033"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3AF60A40"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0BF41C29"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2EE8FB61" w14:textId="77777777" w:rsidR="00E30685" w:rsidRDefault="00E30685" w:rsidP="00E730DF">
            <w:pPr>
              <w:jc w:val="center"/>
              <w:rPr>
                <w:rFonts w:ascii="Corbel" w:hAnsi="Corbel" w:cs="Calibri"/>
                <w:sz w:val="18"/>
                <w:szCs w:val="18"/>
              </w:rPr>
            </w:pPr>
          </w:p>
        </w:tc>
      </w:tr>
      <w:tr w:rsidR="00E30685" w14:paraId="528DCB6D" w14:textId="77777777" w:rsidTr="00E730DF">
        <w:trPr>
          <w:trHeight w:val="139"/>
        </w:trPr>
        <w:tc>
          <w:tcPr>
            <w:tcW w:w="3389" w:type="dxa"/>
            <w:tcBorders>
              <w:top w:val="single" w:sz="4" w:space="0" w:color="auto"/>
            </w:tcBorders>
            <w:shd w:val="clear" w:color="auto" w:fill="auto"/>
            <w:noWrap/>
            <w:vAlign w:val="center"/>
          </w:tcPr>
          <w:p w14:paraId="1FE27B96" w14:textId="77777777" w:rsidR="00E30685" w:rsidRDefault="00E30685" w:rsidP="00E730DF">
            <w:pPr>
              <w:rPr>
                <w:rFonts w:ascii="Corbel" w:hAnsi="Corbel" w:cs="Calibri"/>
                <w:b/>
                <w:bCs/>
                <w:sz w:val="18"/>
                <w:szCs w:val="18"/>
              </w:rPr>
            </w:pPr>
            <w:r>
              <w:rPr>
                <w:rFonts w:ascii="Corbel" w:hAnsi="Corbel" w:cs="Calibri"/>
                <w:color w:val="000000"/>
                <w:sz w:val="18"/>
                <w:szCs w:val="18"/>
              </w:rPr>
              <w:t>Equivalent surplus</w:t>
            </w:r>
          </w:p>
        </w:tc>
        <w:tc>
          <w:tcPr>
            <w:tcW w:w="1157" w:type="dxa"/>
            <w:tcBorders>
              <w:top w:val="single" w:sz="4" w:space="0" w:color="auto"/>
            </w:tcBorders>
            <w:shd w:val="clear" w:color="auto" w:fill="auto"/>
            <w:noWrap/>
            <w:vAlign w:val="center"/>
          </w:tcPr>
          <w:p w14:paraId="4EABF120" w14:textId="77777777" w:rsidR="00E30685" w:rsidRDefault="00E30685" w:rsidP="00E730DF">
            <w:pPr>
              <w:jc w:val="center"/>
              <w:rPr>
                <w:rFonts w:ascii="Corbel" w:hAnsi="Corbel" w:cs="Calibri"/>
                <w:sz w:val="18"/>
                <w:szCs w:val="18"/>
              </w:rPr>
            </w:pPr>
            <w:r w:rsidRPr="00E6523E">
              <w:rPr>
                <w:rFonts w:ascii="Corbel" w:hAnsi="Corbel" w:cs="Calibri"/>
                <w:sz w:val="18"/>
                <w:szCs w:val="18"/>
              </w:rPr>
              <w:t>197</w:t>
            </w:r>
          </w:p>
        </w:tc>
        <w:tc>
          <w:tcPr>
            <w:tcW w:w="804" w:type="dxa"/>
            <w:tcBorders>
              <w:top w:val="single" w:sz="4" w:space="0" w:color="auto"/>
            </w:tcBorders>
            <w:shd w:val="clear" w:color="auto" w:fill="auto"/>
            <w:noWrap/>
            <w:vAlign w:val="center"/>
          </w:tcPr>
          <w:p w14:paraId="354E24FA" w14:textId="77777777" w:rsidR="00E30685" w:rsidRDefault="00E30685" w:rsidP="00E730DF">
            <w:pPr>
              <w:jc w:val="center"/>
              <w:rPr>
                <w:rFonts w:ascii="Corbel" w:hAnsi="Corbel" w:cs="Calibri"/>
                <w:sz w:val="18"/>
                <w:szCs w:val="18"/>
              </w:rPr>
            </w:pPr>
            <w:r w:rsidRPr="00E6523E">
              <w:rPr>
                <w:rFonts w:ascii="Corbel" w:hAnsi="Corbel" w:cs="Calibri"/>
                <w:sz w:val="18"/>
                <w:szCs w:val="18"/>
              </w:rPr>
              <w:t>69.78</w:t>
            </w:r>
          </w:p>
        </w:tc>
        <w:tc>
          <w:tcPr>
            <w:tcW w:w="858" w:type="dxa"/>
            <w:tcBorders>
              <w:top w:val="single" w:sz="4" w:space="0" w:color="auto"/>
            </w:tcBorders>
            <w:shd w:val="clear" w:color="auto" w:fill="auto"/>
            <w:noWrap/>
            <w:vAlign w:val="center"/>
          </w:tcPr>
          <w:p w14:paraId="11ED682F" w14:textId="77777777" w:rsidR="00E30685" w:rsidRDefault="00E30685" w:rsidP="00E730DF">
            <w:pPr>
              <w:jc w:val="center"/>
              <w:rPr>
                <w:rFonts w:ascii="Corbel" w:hAnsi="Corbel" w:cs="Calibri"/>
                <w:sz w:val="18"/>
                <w:szCs w:val="18"/>
              </w:rPr>
            </w:pPr>
            <w:r w:rsidRPr="00E6523E">
              <w:rPr>
                <w:rFonts w:ascii="Corbel" w:hAnsi="Corbel" w:cs="Calibri"/>
                <w:sz w:val="18"/>
                <w:szCs w:val="18"/>
              </w:rPr>
              <w:t>136.36</w:t>
            </w:r>
          </w:p>
        </w:tc>
        <w:tc>
          <w:tcPr>
            <w:tcW w:w="944" w:type="dxa"/>
            <w:tcBorders>
              <w:top w:val="single" w:sz="4" w:space="0" w:color="auto"/>
            </w:tcBorders>
            <w:shd w:val="clear" w:color="auto" w:fill="auto"/>
            <w:noWrap/>
            <w:vAlign w:val="center"/>
          </w:tcPr>
          <w:p w14:paraId="5BC292FD" w14:textId="77777777" w:rsidR="00E30685" w:rsidRDefault="00E30685" w:rsidP="00E730DF">
            <w:pPr>
              <w:jc w:val="center"/>
              <w:rPr>
                <w:rFonts w:ascii="Corbel" w:hAnsi="Corbel" w:cs="Calibri"/>
                <w:sz w:val="18"/>
                <w:szCs w:val="18"/>
              </w:rPr>
            </w:pPr>
            <w:r>
              <w:rPr>
                <w:rFonts w:ascii="Corbel" w:hAnsi="Corbel" w:cs="Calibri"/>
                <w:sz w:val="18"/>
                <w:szCs w:val="18"/>
              </w:rPr>
              <w:t>24.30</w:t>
            </w:r>
          </w:p>
        </w:tc>
      </w:tr>
      <w:tr w:rsidR="00E30685" w14:paraId="7014DB34" w14:textId="77777777" w:rsidTr="00E730DF">
        <w:trPr>
          <w:trHeight w:val="139"/>
        </w:trPr>
        <w:tc>
          <w:tcPr>
            <w:tcW w:w="3389" w:type="dxa"/>
            <w:shd w:val="clear" w:color="auto" w:fill="auto"/>
            <w:noWrap/>
            <w:vAlign w:val="center"/>
          </w:tcPr>
          <w:p w14:paraId="24C1F46F" w14:textId="77777777" w:rsidR="00E30685" w:rsidRDefault="00E30685" w:rsidP="00E730DF">
            <w:pPr>
              <w:rPr>
                <w:rFonts w:ascii="Corbel" w:hAnsi="Corbel" w:cs="Calibri"/>
                <w:b/>
                <w:bCs/>
                <w:sz w:val="18"/>
                <w:szCs w:val="18"/>
              </w:rPr>
            </w:pPr>
            <w:r>
              <w:rPr>
                <w:rFonts w:ascii="Corbel" w:hAnsi="Corbel" w:cs="Calibri"/>
                <w:color w:val="000000"/>
                <w:sz w:val="18"/>
                <w:szCs w:val="18"/>
              </w:rPr>
              <w:t>Consumer surplus</w:t>
            </w:r>
          </w:p>
        </w:tc>
        <w:tc>
          <w:tcPr>
            <w:tcW w:w="1157" w:type="dxa"/>
            <w:shd w:val="clear" w:color="auto" w:fill="auto"/>
            <w:noWrap/>
            <w:vAlign w:val="center"/>
          </w:tcPr>
          <w:p w14:paraId="3FCB0603" w14:textId="77777777" w:rsidR="00E30685" w:rsidRDefault="00E30685" w:rsidP="00E730DF">
            <w:pPr>
              <w:jc w:val="center"/>
              <w:rPr>
                <w:rFonts w:ascii="Corbel" w:hAnsi="Corbel" w:cs="Calibri"/>
                <w:sz w:val="18"/>
                <w:szCs w:val="18"/>
              </w:rPr>
            </w:pPr>
            <w:r w:rsidRPr="00E6523E">
              <w:rPr>
                <w:rFonts w:ascii="Corbel" w:hAnsi="Corbel" w:cs="Calibri"/>
                <w:sz w:val="18"/>
                <w:szCs w:val="18"/>
              </w:rPr>
              <w:t>105</w:t>
            </w:r>
          </w:p>
        </w:tc>
        <w:tc>
          <w:tcPr>
            <w:tcW w:w="804" w:type="dxa"/>
            <w:shd w:val="clear" w:color="auto" w:fill="auto"/>
            <w:noWrap/>
            <w:vAlign w:val="center"/>
          </w:tcPr>
          <w:p w14:paraId="6AB28A10" w14:textId="77777777" w:rsidR="00E30685" w:rsidRDefault="00E30685" w:rsidP="00E730DF">
            <w:pPr>
              <w:jc w:val="center"/>
              <w:rPr>
                <w:rFonts w:ascii="Corbel" w:hAnsi="Corbel" w:cs="Calibri"/>
                <w:sz w:val="18"/>
                <w:szCs w:val="18"/>
              </w:rPr>
            </w:pPr>
            <w:r w:rsidRPr="00E6523E">
              <w:rPr>
                <w:rFonts w:ascii="Corbel" w:hAnsi="Corbel" w:cs="Calibri"/>
                <w:sz w:val="18"/>
                <w:szCs w:val="18"/>
              </w:rPr>
              <w:t>16.80</w:t>
            </w:r>
          </w:p>
        </w:tc>
        <w:tc>
          <w:tcPr>
            <w:tcW w:w="858" w:type="dxa"/>
            <w:shd w:val="clear" w:color="auto" w:fill="auto"/>
            <w:noWrap/>
            <w:vAlign w:val="center"/>
          </w:tcPr>
          <w:p w14:paraId="5E677402" w14:textId="77777777" w:rsidR="00E30685" w:rsidRDefault="00E30685" w:rsidP="00E730DF">
            <w:pPr>
              <w:jc w:val="center"/>
              <w:rPr>
                <w:rFonts w:ascii="Corbel" w:hAnsi="Corbel" w:cs="Calibri"/>
                <w:sz w:val="18"/>
                <w:szCs w:val="18"/>
              </w:rPr>
            </w:pPr>
            <w:r w:rsidRPr="00E6523E">
              <w:rPr>
                <w:rFonts w:ascii="Corbel" w:hAnsi="Corbel" w:cs="Calibri"/>
                <w:sz w:val="18"/>
                <w:szCs w:val="18"/>
              </w:rPr>
              <w:t>41.62</w:t>
            </w:r>
          </w:p>
        </w:tc>
        <w:tc>
          <w:tcPr>
            <w:tcW w:w="944" w:type="dxa"/>
            <w:shd w:val="clear" w:color="auto" w:fill="auto"/>
            <w:noWrap/>
            <w:vAlign w:val="center"/>
          </w:tcPr>
          <w:p w14:paraId="41DA55A8" w14:textId="77777777" w:rsidR="00E30685" w:rsidRDefault="00E30685" w:rsidP="00E730DF">
            <w:pPr>
              <w:jc w:val="center"/>
              <w:rPr>
                <w:rFonts w:ascii="Corbel" w:hAnsi="Corbel" w:cs="Calibri"/>
                <w:sz w:val="18"/>
                <w:szCs w:val="18"/>
              </w:rPr>
            </w:pPr>
            <w:r>
              <w:rPr>
                <w:rFonts w:ascii="Corbel" w:hAnsi="Corbel" w:cs="Calibri"/>
                <w:sz w:val="18"/>
                <w:szCs w:val="18"/>
              </w:rPr>
              <w:t>9.62</w:t>
            </w:r>
          </w:p>
        </w:tc>
      </w:tr>
      <w:tr w:rsidR="00E30685" w14:paraId="59A0F15C" w14:textId="77777777" w:rsidTr="00E730DF">
        <w:trPr>
          <w:trHeight w:val="139"/>
        </w:trPr>
        <w:tc>
          <w:tcPr>
            <w:tcW w:w="3389" w:type="dxa"/>
            <w:tcBorders>
              <w:bottom w:val="single" w:sz="4" w:space="0" w:color="auto"/>
            </w:tcBorders>
            <w:shd w:val="clear" w:color="auto" w:fill="auto"/>
            <w:noWrap/>
            <w:vAlign w:val="center"/>
          </w:tcPr>
          <w:p w14:paraId="6B2A5D8A" w14:textId="77777777" w:rsidR="00E30685" w:rsidRDefault="00E30685" w:rsidP="00E730DF">
            <w:pPr>
              <w:rPr>
                <w:rFonts w:ascii="Corbel" w:hAnsi="Corbel" w:cs="Calibri"/>
                <w:b/>
                <w:bCs/>
                <w:sz w:val="18"/>
                <w:szCs w:val="18"/>
              </w:rPr>
            </w:pPr>
            <w:r w:rsidRPr="00E6523E">
              <w:rPr>
                <w:rFonts w:ascii="Corbel" w:hAnsi="Corbel" w:cs="Calibri"/>
                <w:bCs/>
                <w:i/>
                <w:sz w:val="18"/>
                <w:szCs w:val="18"/>
              </w:rPr>
              <w:t>Mann-Whitney test</w:t>
            </w:r>
          </w:p>
        </w:tc>
        <w:tc>
          <w:tcPr>
            <w:tcW w:w="1157" w:type="dxa"/>
            <w:tcBorders>
              <w:bottom w:val="single" w:sz="4" w:space="0" w:color="auto"/>
            </w:tcBorders>
            <w:shd w:val="clear" w:color="auto" w:fill="auto"/>
            <w:noWrap/>
            <w:vAlign w:val="center"/>
          </w:tcPr>
          <w:p w14:paraId="53535684" w14:textId="77777777" w:rsidR="00E30685" w:rsidRDefault="00E30685" w:rsidP="00E730DF">
            <w:pPr>
              <w:jc w:val="center"/>
              <w:rPr>
                <w:rFonts w:ascii="Corbel" w:hAnsi="Corbel" w:cs="Calibri"/>
                <w:sz w:val="18"/>
                <w:szCs w:val="18"/>
              </w:rPr>
            </w:pPr>
            <w:r w:rsidRPr="00E6523E">
              <w:rPr>
                <w:rFonts w:ascii="Corbel" w:hAnsi="Corbel" w:cs="Calibri"/>
                <w:i/>
                <w:sz w:val="18"/>
                <w:szCs w:val="18"/>
              </w:rPr>
              <w:t>z</w:t>
            </w:r>
            <w:r w:rsidRPr="00E6523E">
              <w:rPr>
                <w:rFonts w:ascii="Corbel" w:hAnsi="Corbel" w:cs="Calibri"/>
                <w:sz w:val="18"/>
                <w:szCs w:val="18"/>
                <w:vertAlign w:val="superscript"/>
              </w:rPr>
              <w:t xml:space="preserve"> </w:t>
            </w:r>
            <w:r w:rsidRPr="00E6523E">
              <w:rPr>
                <w:rFonts w:ascii="Corbel" w:hAnsi="Corbel" w:cs="Calibri"/>
                <w:sz w:val="18"/>
                <w:szCs w:val="18"/>
              </w:rPr>
              <w:t>= -6.117</w:t>
            </w:r>
          </w:p>
        </w:tc>
        <w:tc>
          <w:tcPr>
            <w:tcW w:w="1662" w:type="dxa"/>
            <w:gridSpan w:val="2"/>
            <w:tcBorders>
              <w:bottom w:val="single" w:sz="4" w:space="0" w:color="auto"/>
            </w:tcBorders>
            <w:shd w:val="clear" w:color="auto" w:fill="auto"/>
            <w:noWrap/>
            <w:vAlign w:val="center"/>
          </w:tcPr>
          <w:p w14:paraId="3F2AE8A2"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0.00</w:t>
            </w:r>
            <w:r>
              <w:rPr>
                <w:rFonts w:ascii="Corbel" w:hAnsi="Corbel" w:cs="Calibri"/>
                <w:sz w:val="18"/>
                <w:szCs w:val="18"/>
              </w:rPr>
              <w:t>1</w:t>
            </w:r>
          </w:p>
        </w:tc>
        <w:tc>
          <w:tcPr>
            <w:tcW w:w="944" w:type="dxa"/>
            <w:tcBorders>
              <w:bottom w:val="single" w:sz="4" w:space="0" w:color="auto"/>
            </w:tcBorders>
            <w:shd w:val="clear" w:color="auto" w:fill="auto"/>
            <w:noWrap/>
            <w:vAlign w:val="center"/>
          </w:tcPr>
          <w:p w14:paraId="6C2B7128" w14:textId="77777777" w:rsidR="00E30685" w:rsidRDefault="00E30685" w:rsidP="00E730DF">
            <w:pPr>
              <w:jc w:val="center"/>
              <w:rPr>
                <w:rFonts w:ascii="Corbel" w:hAnsi="Corbel" w:cs="Calibri"/>
                <w:sz w:val="18"/>
                <w:szCs w:val="18"/>
              </w:rPr>
            </w:pPr>
          </w:p>
        </w:tc>
      </w:tr>
      <w:tr w:rsidR="00E30685" w14:paraId="3A9FFA38"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0E582A92" w14:textId="77777777" w:rsidR="00E30685" w:rsidRDefault="00E30685" w:rsidP="00E730DF">
            <w:pPr>
              <w:rPr>
                <w:rFonts w:ascii="Corbel" w:hAnsi="Corbel" w:cs="Calibri"/>
                <w:b/>
                <w:bCs/>
                <w:sz w:val="18"/>
                <w:szCs w:val="18"/>
              </w:rPr>
            </w:pPr>
            <w:r>
              <w:rPr>
                <w:rFonts w:ascii="Corbel" w:hAnsi="Corbel" w:cs="Calibri"/>
                <w:b/>
                <w:bCs/>
                <w:sz w:val="18"/>
                <w:szCs w:val="18"/>
              </w:rPr>
              <w:t>Valuation framing</w:t>
            </w:r>
          </w:p>
        </w:tc>
        <w:tc>
          <w:tcPr>
            <w:tcW w:w="1157" w:type="dxa"/>
            <w:tcBorders>
              <w:top w:val="single" w:sz="4" w:space="0" w:color="auto"/>
              <w:bottom w:val="single" w:sz="4" w:space="0" w:color="auto"/>
            </w:tcBorders>
            <w:shd w:val="clear" w:color="auto" w:fill="auto"/>
            <w:noWrap/>
            <w:vAlign w:val="center"/>
          </w:tcPr>
          <w:p w14:paraId="6765D5D7"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48C978CA"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742BB57F"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4BDEBA5A" w14:textId="77777777" w:rsidR="00E30685" w:rsidRDefault="00E30685" w:rsidP="00E730DF">
            <w:pPr>
              <w:jc w:val="center"/>
              <w:rPr>
                <w:rFonts w:ascii="Corbel" w:hAnsi="Corbel" w:cs="Calibri"/>
                <w:sz w:val="18"/>
                <w:szCs w:val="18"/>
              </w:rPr>
            </w:pPr>
          </w:p>
        </w:tc>
      </w:tr>
      <w:tr w:rsidR="00E30685" w14:paraId="44AE3214" w14:textId="77777777" w:rsidTr="00E730DF">
        <w:trPr>
          <w:trHeight w:val="139"/>
        </w:trPr>
        <w:tc>
          <w:tcPr>
            <w:tcW w:w="3389" w:type="dxa"/>
            <w:tcBorders>
              <w:top w:val="single" w:sz="4" w:space="0" w:color="auto"/>
            </w:tcBorders>
            <w:shd w:val="clear" w:color="auto" w:fill="auto"/>
            <w:noWrap/>
            <w:vAlign w:val="center"/>
          </w:tcPr>
          <w:p w14:paraId="264F02EC" w14:textId="77777777" w:rsidR="00E30685" w:rsidRDefault="00E30685" w:rsidP="00E730DF">
            <w:pPr>
              <w:rPr>
                <w:rFonts w:ascii="Corbel" w:hAnsi="Corbel" w:cs="Calibri"/>
                <w:b/>
                <w:bCs/>
                <w:sz w:val="18"/>
                <w:szCs w:val="18"/>
              </w:rPr>
            </w:pPr>
            <w:r w:rsidRPr="00E6523E">
              <w:rPr>
                <w:rFonts w:ascii="Corbel" w:hAnsi="Corbel" w:cs="Calibri"/>
                <w:bCs/>
                <w:sz w:val="18"/>
                <w:szCs w:val="18"/>
              </w:rPr>
              <w:t>Private good</w:t>
            </w:r>
          </w:p>
        </w:tc>
        <w:tc>
          <w:tcPr>
            <w:tcW w:w="1157" w:type="dxa"/>
            <w:tcBorders>
              <w:top w:val="single" w:sz="4" w:space="0" w:color="auto"/>
            </w:tcBorders>
            <w:shd w:val="clear" w:color="auto" w:fill="auto"/>
            <w:noWrap/>
            <w:vAlign w:val="center"/>
          </w:tcPr>
          <w:p w14:paraId="402FE3A3" w14:textId="77777777" w:rsidR="00E30685" w:rsidRDefault="00E30685" w:rsidP="00E730DF">
            <w:pPr>
              <w:jc w:val="center"/>
              <w:rPr>
                <w:rFonts w:ascii="Corbel" w:hAnsi="Corbel" w:cs="Calibri"/>
                <w:sz w:val="18"/>
                <w:szCs w:val="18"/>
              </w:rPr>
            </w:pPr>
            <w:r w:rsidRPr="00E6523E">
              <w:rPr>
                <w:rFonts w:ascii="Corbel" w:hAnsi="Corbel" w:cs="Calibri"/>
                <w:sz w:val="18"/>
                <w:szCs w:val="18"/>
              </w:rPr>
              <w:t>29</w:t>
            </w:r>
            <w:r>
              <w:rPr>
                <w:rFonts w:ascii="Corbel" w:hAnsi="Corbel" w:cs="Calibri"/>
                <w:sz w:val="18"/>
                <w:szCs w:val="18"/>
              </w:rPr>
              <w:t>8</w:t>
            </w:r>
          </w:p>
        </w:tc>
        <w:tc>
          <w:tcPr>
            <w:tcW w:w="804" w:type="dxa"/>
            <w:tcBorders>
              <w:top w:val="single" w:sz="4" w:space="0" w:color="auto"/>
            </w:tcBorders>
            <w:shd w:val="clear" w:color="auto" w:fill="auto"/>
            <w:noWrap/>
            <w:vAlign w:val="center"/>
          </w:tcPr>
          <w:p w14:paraId="083CBE22" w14:textId="77777777" w:rsidR="00E30685" w:rsidRDefault="00E30685" w:rsidP="00E730DF">
            <w:pPr>
              <w:jc w:val="center"/>
              <w:rPr>
                <w:rFonts w:ascii="Corbel" w:hAnsi="Corbel" w:cs="Calibri"/>
                <w:sz w:val="18"/>
                <w:szCs w:val="18"/>
              </w:rPr>
            </w:pPr>
            <w:r>
              <w:rPr>
                <w:rFonts w:ascii="Corbel" w:hAnsi="Corbel" w:cs="Calibri"/>
                <w:sz w:val="18"/>
                <w:szCs w:val="18"/>
              </w:rPr>
              <w:t>49.95</w:t>
            </w:r>
          </w:p>
        </w:tc>
        <w:tc>
          <w:tcPr>
            <w:tcW w:w="858" w:type="dxa"/>
            <w:tcBorders>
              <w:top w:val="single" w:sz="4" w:space="0" w:color="auto"/>
            </w:tcBorders>
            <w:shd w:val="clear" w:color="auto" w:fill="auto"/>
            <w:noWrap/>
            <w:vAlign w:val="center"/>
          </w:tcPr>
          <w:p w14:paraId="1D56D0A2" w14:textId="77777777" w:rsidR="00E30685" w:rsidRDefault="00E30685" w:rsidP="00E730DF">
            <w:pPr>
              <w:jc w:val="center"/>
              <w:rPr>
                <w:rFonts w:ascii="Corbel" w:hAnsi="Corbel" w:cs="Calibri"/>
                <w:sz w:val="18"/>
                <w:szCs w:val="18"/>
              </w:rPr>
            </w:pPr>
            <w:r w:rsidRPr="00E6523E">
              <w:rPr>
                <w:rFonts w:ascii="Corbel" w:hAnsi="Corbel" w:cs="Calibri"/>
                <w:sz w:val="18"/>
                <w:szCs w:val="18"/>
              </w:rPr>
              <w:t>11</w:t>
            </w:r>
            <w:r>
              <w:rPr>
                <w:rFonts w:ascii="Corbel" w:hAnsi="Corbel" w:cs="Calibri"/>
                <w:sz w:val="18"/>
                <w:szCs w:val="18"/>
              </w:rPr>
              <w:t>1.66</w:t>
            </w:r>
          </w:p>
        </w:tc>
        <w:tc>
          <w:tcPr>
            <w:tcW w:w="944" w:type="dxa"/>
            <w:tcBorders>
              <w:top w:val="single" w:sz="4" w:space="0" w:color="auto"/>
            </w:tcBorders>
            <w:shd w:val="clear" w:color="auto" w:fill="auto"/>
            <w:noWrap/>
            <w:vAlign w:val="center"/>
          </w:tcPr>
          <w:p w14:paraId="268E85C2" w14:textId="77777777" w:rsidR="00E30685" w:rsidRDefault="00E30685" w:rsidP="00E730DF">
            <w:pPr>
              <w:jc w:val="center"/>
              <w:rPr>
                <w:rFonts w:ascii="Corbel" w:hAnsi="Corbel" w:cs="Calibri"/>
                <w:sz w:val="18"/>
                <w:szCs w:val="18"/>
              </w:rPr>
            </w:pPr>
            <w:r>
              <w:rPr>
                <w:rFonts w:ascii="Corbel" w:hAnsi="Corbel" w:cs="Calibri"/>
                <w:sz w:val="18"/>
                <w:szCs w:val="18"/>
              </w:rPr>
              <w:t>21.44</w:t>
            </w:r>
          </w:p>
        </w:tc>
      </w:tr>
      <w:tr w:rsidR="00E30685" w14:paraId="3B953DFD" w14:textId="77777777" w:rsidTr="00E730DF">
        <w:trPr>
          <w:trHeight w:val="139"/>
        </w:trPr>
        <w:tc>
          <w:tcPr>
            <w:tcW w:w="3389" w:type="dxa"/>
            <w:shd w:val="clear" w:color="auto" w:fill="auto"/>
            <w:noWrap/>
            <w:vAlign w:val="center"/>
          </w:tcPr>
          <w:p w14:paraId="69C3F17F" w14:textId="77777777" w:rsidR="00E30685" w:rsidRDefault="00E30685" w:rsidP="00E730DF">
            <w:pPr>
              <w:rPr>
                <w:rFonts w:ascii="Corbel" w:hAnsi="Corbel" w:cs="Calibri"/>
                <w:b/>
                <w:bCs/>
                <w:sz w:val="18"/>
                <w:szCs w:val="18"/>
              </w:rPr>
            </w:pPr>
            <w:r w:rsidRPr="00E6523E">
              <w:rPr>
                <w:rFonts w:ascii="Corbel" w:hAnsi="Corbel" w:cs="Calibri"/>
                <w:bCs/>
                <w:sz w:val="18"/>
                <w:szCs w:val="18"/>
              </w:rPr>
              <w:t>Public good</w:t>
            </w:r>
          </w:p>
        </w:tc>
        <w:tc>
          <w:tcPr>
            <w:tcW w:w="1157" w:type="dxa"/>
            <w:shd w:val="clear" w:color="auto" w:fill="auto"/>
            <w:noWrap/>
            <w:vAlign w:val="center"/>
          </w:tcPr>
          <w:p w14:paraId="1D1472E0" w14:textId="77777777" w:rsidR="00E30685" w:rsidRDefault="00E30685" w:rsidP="00E730DF">
            <w:pPr>
              <w:jc w:val="center"/>
              <w:rPr>
                <w:rFonts w:ascii="Corbel" w:hAnsi="Corbel" w:cs="Calibri"/>
                <w:sz w:val="18"/>
                <w:szCs w:val="18"/>
              </w:rPr>
            </w:pPr>
            <w:r>
              <w:rPr>
                <w:rFonts w:ascii="Corbel" w:hAnsi="Corbel" w:cs="Calibri"/>
                <w:sz w:val="18"/>
                <w:szCs w:val="18"/>
              </w:rPr>
              <w:t>4</w:t>
            </w:r>
          </w:p>
        </w:tc>
        <w:tc>
          <w:tcPr>
            <w:tcW w:w="804" w:type="dxa"/>
            <w:shd w:val="clear" w:color="auto" w:fill="auto"/>
            <w:noWrap/>
            <w:vAlign w:val="center"/>
          </w:tcPr>
          <w:p w14:paraId="3487B7C5" w14:textId="77777777" w:rsidR="00E30685" w:rsidRDefault="00E30685" w:rsidP="00E730DF">
            <w:pPr>
              <w:jc w:val="center"/>
              <w:rPr>
                <w:rFonts w:ascii="Corbel" w:hAnsi="Corbel" w:cs="Calibri"/>
                <w:sz w:val="18"/>
                <w:szCs w:val="18"/>
              </w:rPr>
            </w:pPr>
            <w:r>
              <w:rPr>
                <w:rFonts w:ascii="Corbel" w:hAnsi="Corbel" w:cs="Calibri"/>
                <w:sz w:val="18"/>
                <w:szCs w:val="18"/>
              </w:rPr>
              <w:t>156.44</w:t>
            </w:r>
          </w:p>
        </w:tc>
        <w:tc>
          <w:tcPr>
            <w:tcW w:w="858" w:type="dxa"/>
            <w:shd w:val="clear" w:color="auto" w:fill="auto"/>
            <w:noWrap/>
            <w:vAlign w:val="center"/>
          </w:tcPr>
          <w:p w14:paraId="55A1C37A" w14:textId="77777777" w:rsidR="00E30685" w:rsidRDefault="00E30685" w:rsidP="00E730DF">
            <w:pPr>
              <w:jc w:val="center"/>
              <w:rPr>
                <w:rFonts w:ascii="Corbel" w:hAnsi="Corbel" w:cs="Calibri"/>
                <w:sz w:val="18"/>
                <w:szCs w:val="18"/>
              </w:rPr>
            </w:pPr>
            <w:r>
              <w:rPr>
                <w:rFonts w:ascii="Corbel" w:hAnsi="Corbel" w:cs="Calibri"/>
                <w:sz w:val="18"/>
                <w:szCs w:val="18"/>
              </w:rPr>
              <w:t>299.41</w:t>
            </w:r>
          </w:p>
        </w:tc>
        <w:tc>
          <w:tcPr>
            <w:tcW w:w="944" w:type="dxa"/>
            <w:shd w:val="clear" w:color="auto" w:fill="auto"/>
            <w:noWrap/>
            <w:vAlign w:val="center"/>
          </w:tcPr>
          <w:p w14:paraId="39D50107" w14:textId="77777777" w:rsidR="00E30685" w:rsidRDefault="00E30685" w:rsidP="00E730DF">
            <w:pPr>
              <w:jc w:val="center"/>
              <w:rPr>
                <w:rFonts w:ascii="Corbel" w:hAnsi="Corbel" w:cs="Calibri"/>
                <w:sz w:val="18"/>
                <w:szCs w:val="18"/>
              </w:rPr>
            </w:pPr>
            <w:r>
              <w:rPr>
                <w:rFonts w:ascii="Corbel" w:hAnsi="Corbel" w:cs="Calibri"/>
                <w:sz w:val="18"/>
                <w:szCs w:val="18"/>
              </w:rPr>
              <w:t>10.20</w:t>
            </w:r>
          </w:p>
        </w:tc>
      </w:tr>
      <w:tr w:rsidR="00E30685" w14:paraId="75E07D77" w14:textId="77777777" w:rsidTr="00E730DF">
        <w:trPr>
          <w:trHeight w:val="139"/>
        </w:trPr>
        <w:tc>
          <w:tcPr>
            <w:tcW w:w="3389" w:type="dxa"/>
            <w:tcBorders>
              <w:bottom w:val="single" w:sz="4" w:space="0" w:color="auto"/>
            </w:tcBorders>
            <w:shd w:val="clear" w:color="auto" w:fill="auto"/>
            <w:noWrap/>
            <w:vAlign w:val="center"/>
          </w:tcPr>
          <w:p w14:paraId="6777E195" w14:textId="77777777" w:rsidR="00E30685" w:rsidRDefault="00E30685" w:rsidP="00E730DF">
            <w:pPr>
              <w:rPr>
                <w:rFonts w:ascii="Corbel" w:hAnsi="Corbel" w:cs="Calibri"/>
                <w:b/>
                <w:bCs/>
                <w:sz w:val="18"/>
                <w:szCs w:val="18"/>
              </w:rPr>
            </w:pPr>
            <w:r w:rsidRPr="00E6523E">
              <w:rPr>
                <w:rFonts w:ascii="Corbel" w:hAnsi="Corbel" w:cs="Calibri"/>
                <w:bCs/>
                <w:i/>
                <w:sz w:val="18"/>
                <w:szCs w:val="18"/>
              </w:rPr>
              <w:t>Mann-Whitney test</w:t>
            </w:r>
          </w:p>
        </w:tc>
        <w:tc>
          <w:tcPr>
            <w:tcW w:w="1157" w:type="dxa"/>
            <w:tcBorders>
              <w:bottom w:val="single" w:sz="4" w:space="0" w:color="auto"/>
            </w:tcBorders>
            <w:shd w:val="clear" w:color="auto" w:fill="auto"/>
            <w:noWrap/>
            <w:vAlign w:val="center"/>
          </w:tcPr>
          <w:p w14:paraId="7D1606B0" w14:textId="77777777" w:rsidR="00E30685" w:rsidRDefault="00E30685" w:rsidP="00E730DF">
            <w:pPr>
              <w:jc w:val="center"/>
              <w:rPr>
                <w:rFonts w:ascii="Corbel" w:hAnsi="Corbel" w:cs="Calibri"/>
                <w:sz w:val="18"/>
                <w:szCs w:val="18"/>
              </w:rPr>
            </w:pPr>
            <w:r w:rsidRPr="00E6523E">
              <w:rPr>
                <w:rFonts w:ascii="Corbel" w:hAnsi="Corbel" w:cs="Calibri"/>
                <w:i/>
                <w:sz w:val="18"/>
                <w:szCs w:val="18"/>
              </w:rPr>
              <w:t>z</w:t>
            </w:r>
            <w:r w:rsidRPr="00E6523E">
              <w:rPr>
                <w:rFonts w:ascii="Corbel" w:hAnsi="Corbel" w:cs="Calibri"/>
                <w:sz w:val="18"/>
                <w:szCs w:val="18"/>
                <w:vertAlign w:val="superscript"/>
              </w:rPr>
              <w:t xml:space="preserve"> </w:t>
            </w:r>
            <w:r w:rsidRPr="00E6523E">
              <w:rPr>
                <w:rFonts w:ascii="Corbel" w:hAnsi="Corbel" w:cs="Calibri"/>
                <w:sz w:val="18"/>
                <w:szCs w:val="18"/>
              </w:rPr>
              <w:t>= 0.</w:t>
            </w:r>
            <w:r>
              <w:rPr>
                <w:rFonts w:ascii="Corbel" w:hAnsi="Corbel" w:cs="Calibri"/>
                <w:sz w:val="18"/>
                <w:szCs w:val="18"/>
              </w:rPr>
              <w:t>758</w:t>
            </w:r>
          </w:p>
        </w:tc>
        <w:tc>
          <w:tcPr>
            <w:tcW w:w="1662" w:type="dxa"/>
            <w:gridSpan w:val="2"/>
            <w:tcBorders>
              <w:bottom w:val="single" w:sz="4" w:space="0" w:color="auto"/>
            </w:tcBorders>
            <w:shd w:val="clear" w:color="auto" w:fill="auto"/>
            <w:noWrap/>
            <w:vAlign w:val="center"/>
          </w:tcPr>
          <w:p w14:paraId="510B8DEA"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w:t>
            </w:r>
            <w:r>
              <w:rPr>
                <w:rFonts w:ascii="Corbel" w:hAnsi="Corbel" w:cs="Calibri"/>
                <w:sz w:val="18"/>
                <w:szCs w:val="18"/>
              </w:rPr>
              <w:t>449</w:t>
            </w:r>
          </w:p>
        </w:tc>
        <w:tc>
          <w:tcPr>
            <w:tcW w:w="944" w:type="dxa"/>
            <w:tcBorders>
              <w:bottom w:val="single" w:sz="4" w:space="0" w:color="auto"/>
            </w:tcBorders>
            <w:shd w:val="clear" w:color="auto" w:fill="auto"/>
            <w:noWrap/>
            <w:vAlign w:val="center"/>
          </w:tcPr>
          <w:p w14:paraId="43502D23" w14:textId="77777777" w:rsidR="00E30685" w:rsidRDefault="00E30685" w:rsidP="00E730DF">
            <w:pPr>
              <w:jc w:val="center"/>
              <w:rPr>
                <w:rFonts w:ascii="Corbel" w:hAnsi="Corbel" w:cs="Calibri"/>
                <w:sz w:val="18"/>
                <w:szCs w:val="18"/>
              </w:rPr>
            </w:pPr>
          </w:p>
        </w:tc>
      </w:tr>
      <w:tr w:rsidR="00E30685" w14:paraId="08DD3BCC" w14:textId="77777777" w:rsidTr="00E730DF">
        <w:trPr>
          <w:trHeight w:val="139"/>
        </w:trPr>
        <w:tc>
          <w:tcPr>
            <w:tcW w:w="3389" w:type="dxa"/>
            <w:tcBorders>
              <w:bottom w:val="single" w:sz="4" w:space="0" w:color="auto"/>
            </w:tcBorders>
            <w:shd w:val="clear" w:color="auto" w:fill="auto"/>
            <w:noWrap/>
            <w:vAlign w:val="center"/>
          </w:tcPr>
          <w:p w14:paraId="403A31B2" w14:textId="77777777" w:rsidR="00E30685" w:rsidRPr="00E6523E" w:rsidRDefault="00E30685" w:rsidP="00E730DF">
            <w:pPr>
              <w:rPr>
                <w:rFonts w:ascii="Corbel" w:hAnsi="Corbel" w:cs="Calibri"/>
                <w:bCs/>
                <w:i/>
                <w:sz w:val="18"/>
                <w:szCs w:val="18"/>
              </w:rPr>
            </w:pPr>
            <w:r>
              <w:rPr>
                <w:rFonts w:ascii="Corbel" w:hAnsi="Corbel" w:cs="Calibri"/>
                <w:b/>
                <w:color w:val="000000"/>
                <w:sz w:val="18"/>
                <w:szCs w:val="18"/>
              </w:rPr>
              <w:t>Elicitation of risk</w:t>
            </w:r>
            <w:r w:rsidRPr="00E6523E">
              <w:rPr>
                <w:rFonts w:ascii="Corbel" w:hAnsi="Corbel" w:cs="Calibri"/>
                <w:b/>
                <w:color w:val="000000"/>
                <w:sz w:val="18"/>
                <w:szCs w:val="18"/>
              </w:rPr>
              <w:t xml:space="preserve"> </w:t>
            </w:r>
            <w:r>
              <w:rPr>
                <w:rFonts w:ascii="Corbel" w:hAnsi="Corbel" w:cs="Calibri"/>
                <w:b/>
                <w:color w:val="000000"/>
                <w:sz w:val="18"/>
                <w:szCs w:val="18"/>
              </w:rPr>
              <w:t>perception before WTP</w:t>
            </w:r>
          </w:p>
        </w:tc>
        <w:tc>
          <w:tcPr>
            <w:tcW w:w="1157" w:type="dxa"/>
            <w:tcBorders>
              <w:bottom w:val="single" w:sz="4" w:space="0" w:color="auto"/>
            </w:tcBorders>
            <w:shd w:val="clear" w:color="auto" w:fill="auto"/>
            <w:noWrap/>
            <w:vAlign w:val="center"/>
          </w:tcPr>
          <w:p w14:paraId="1391500F" w14:textId="77777777" w:rsidR="00E30685" w:rsidRPr="00E6523E" w:rsidRDefault="00E30685" w:rsidP="00E730DF">
            <w:pPr>
              <w:jc w:val="center"/>
              <w:rPr>
                <w:rFonts w:ascii="Corbel" w:hAnsi="Corbel" w:cs="Calibri"/>
                <w:i/>
                <w:sz w:val="18"/>
                <w:szCs w:val="18"/>
              </w:rPr>
            </w:pPr>
          </w:p>
        </w:tc>
        <w:tc>
          <w:tcPr>
            <w:tcW w:w="1662" w:type="dxa"/>
            <w:gridSpan w:val="2"/>
            <w:tcBorders>
              <w:bottom w:val="single" w:sz="4" w:space="0" w:color="auto"/>
            </w:tcBorders>
            <w:shd w:val="clear" w:color="auto" w:fill="auto"/>
            <w:noWrap/>
            <w:vAlign w:val="center"/>
          </w:tcPr>
          <w:p w14:paraId="48B9137C" w14:textId="77777777" w:rsidR="00E30685" w:rsidRPr="00E6523E" w:rsidRDefault="00E30685" w:rsidP="00E730DF">
            <w:pPr>
              <w:jc w:val="center"/>
              <w:rPr>
                <w:rFonts w:ascii="Corbel" w:hAnsi="Corbel" w:cs="Calibri"/>
                <w:i/>
                <w:sz w:val="18"/>
                <w:szCs w:val="18"/>
              </w:rPr>
            </w:pPr>
          </w:p>
        </w:tc>
        <w:tc>
          <w:tcPr>
            <w:tcW w:w="944" w:type="dxa"/>
            <w:tcBorders>
              <w:bottom w:val="single" w:sz="4" w:space="0" w:color="auto"/>
            </w:tcBorders>
            <w:shd w:val="clear" w:color="auto" w:fill="auto"/>
            <w:noWrap/>
            <w:vAlign w:val="center"/>
          </w:tcPr>
          <w:p w14:paraId="7F2D532F" w14:textId="77777777" w:rsidR="00E30685" w:rsidRDefault="00E30685" w:rsidP="00E730DF">
            <w:pPr>
              <w:jc w:val="center"/>
              <w:rPr>
                <w:rFonts w:ascii="Corbel" w:hAnsi="Corbel" w:cs="Calibri"/>
                <w:sz w:val="18"/>
                <w:szCs w:val="18"/>
              </w:rPr>
            </w:pPr>
          </w:p>
        </w:tc>
      </w:tr>
      <w:tr w:rsidR="00E30685" w14:paraId="0474F4CD" w14:textId="77777777" w:rsidTr="00E730DF">
        <w:trPr>
          <w:trHeight w:val="139"/>
        </w:trPr>
        <w:tc>
          <w:tcPr>
            <w:tcW w:w="3389" w:type="dxa"/>
            <w:tcBorders>
              <w:top w:val="single" w:sz="4" w:space="0" w:color="auto"/>
            </w:tcBorders>
            <w:shd w:val="clear" w:color="auto" w:fill="auto"/>
            <w:noWrap/>
            <w:vAlign w:val="center"/>
          </w:tcPr>
          <w:p w14:paraId="2A4BAF0B" w14:textId="77777777" w:rsidR="00E30685" w:rsidRPr="00E6523E" w:rsidRDefault="00E30685" w:rsidP="00E730DF">
            <w:pPr>
              <w:rPr>
                <w:rFonts w:ascii="Corbel" w:hAnsi="Corbel" w:cs="Calibri"/>
                <w:b/>
                <w:bCs/>
                <w:sz w:val="18"/>
                <w:szCs w:val="18"/>
              </w:rPr>
            </w:pPr>
            <w:r>
              <w:rPr>
                <w:rFonts w:ascii="Corbel" w:hAnsi="Corbel" w:cs="Calibri"/>
                <w:color w:val="000000"/>
                <w:sz w:val="18"/>
                <w:szCs w:val="18"/>
              </w:rPr>
              <w:lastRenderedPageBreak/>
              <w:t>Yes</w:t>
            </w:r>
            <w:r w:rsidRPr="00E6523E">
              <w:rPr>
                <w:rFonts w:ascii="Corbel" w:hAnsi="Corbel" w:cs="Calibri"/>
                <w:color w:val="000000"/>
                <w:sz w:val="18"/>
                <w:szCs w:val="18"/>
              </w:rPr>
              <w:t xml:space="preserve"> </w:t>
            </w:r>
          </w:p>
        </w:tc>
        <w:tc>
          <w:tcPr>
            <w:tcW w:w="1157" w:type="dxa"/>
            <w:tcBorders>
              <w:top w:val="single" w:sz="4" w:space="0" w:color="auto"/>
            </w:tcBorders>
            <w:shd w:val="clear" w:color="auto" w:fill="auto"/>
            <w:noWrap/>
            <w:vAlign w:val="center"/>
          </w:tcPr>
          <w:p w14:paraId="3486F9BC"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56</w:t>
            </w:r>
          </w:p>
        </w:tc>
        <w:tc>
          <w:tcPr>
            <w:tcW w:w="804" w:type="dxa"/>
            <w:tcBorders>
              <w:top w:val="single" w:sz="4" w:space="0" w:color="auto"/>
            </w:tcBorders>
            <w:shd w:val="clear" w:color="auto" w:fill="auto"/>
            <w:noWrap/>
            <w:vAlign w:val="center"/>
          </w:tcPr>
          <w:p w14:paraId="392778BD"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35.29</w:t>
            </w:r>
          </w:p>
        </w:tc>
        <w:tc>
          <w:tcPr>
            <w:tcW w:w="858" w:type="dxa"/>
            <w:tcBorders>
              <w:top w:val="single" w:sz="4" w:space="0" w:color="auto"/>
            </w:tcBorders>
            <w:shd w:val="clear" w:color="auto" w:fill="auto"/>
            <w:noWrap/>
            <w:vAlign w:val="center"/>
          </w:tcPr>
          <w:p w14:paraId="3A4FC387"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25.25</w:t>
            </w:r>
          </w:p>
        </w:tc>
        <w:tc>
          <w:tcPr>
            <w:tcW w:w="944" w:type="dxa"/>
            <w:tcBorders>
              <w:top w:val="single" w:sz="4" w:space="0" w:color="auto"/>
            </w:tcBorders>
            <w:shd w:val="clear" w:color="auto" w:fill="auto"/>
            <w:noWrap/>
            <w:vAlign w:val="center"/>
          </w:tcPr>
          <w:p w14:paraId="210CD5DB" w14:textId="77777777" w:rsidR="00E30685" w:rsidRDefault="00E30685" w:rsidP="00E730DF">
            <w:pPr>
              <w:jc w:val="center"/>
              <w:rPr>
                <w:rFonts w:ascii="Corbel" w:hAnsi="Corbel" w:cs="Calibri"/>
                <w:sz w:val="18"/>
                <w:szCs w:val="18"/>
              </w:rPr>
            </w:pPr>
            <w:r>
              <w:rPr>
                <w:rFonts w:ascii="Corbel" w:hAnsi="Corbel" w:cs="Calibri"/>
                <w:color w:val="000000"/>
                <w:sz w:val="18"/>
                <w:szCs w:val="18"/>
              </w:rPr>
              <w:t>33.30</w:t>
            </w:r>
          </w:p>
        </w:tc>
      </w:tr>
      <w:tr w:rsidR="00E30685" w14:paraId="7BC9AD8D" w14:textId="77777777" w:rsidTr="00E730DF">
        <w:trPr>
          <w:trHeight w:val="139"/>
        </w:trPr>
        <w:tc>
          <w:tcPr>
            <w:tcW w:w="3389" w:type="dxa"/>
            <w:shd w:val="clear" w:color="auto" w:fill="auto"/>
            <w:noWrap/>
            <w:vAlign w:val="center"/>
          </w:tcPr>
          <w:p w14:paraId="15DFFF78" w14:textId="77777777" w:rsidR="00E30685" w:rsidRPr="00E6523E" w:rsidRDefault="00E30685" w:rsidP="00E730DF">
            <w:pPr>
              <w:rPr>
                <w:rFonts w:ascii="Corbel" w:hAnsi="Corbel" w:cs="Calibri"/>
                <w:b/>
                <w:bCs/>
                <w:sz w:val="18"/>
                <w:szCs w:val="18"/>
              </w:rPr>
            </w:pPr>
            <w:r>
              <w:rPr>
                <w:rFonts w:ascii="Corbel" w:hAnsi="Corbel" w:cs="Calibri"/>
                <w:color w:val="000000"/>
                <w:sz w:val="18"/>
                <w:szCs w:val="18"/>
              </w:rPr>
              <w:t>No</w:t>
            </w:r>
            <w:r w:rsidRPr="00E6523E">
              <w:rPr>
                <w:rFonts w:ascii="Corbel" w:hAnsi="Corbel" w:cs="Calibri"/>
                <w:color w:val="000000"/>
                <w:sz w:val="18"/>
                <w:szCs w:val="18"/>
              </w:rPr>
              <w:t xml:space="preserve"> </w:t>
            </w:r>
          </w:p>
        </w:tc>
        <w:tc>
          <w:tcPr>
            <w:tcW w:w="1157" w:type="dxa"/>
            <w:shd w:val="clear" w:color="auto" w:fill="auto"/>
            <w:noWrap/>
            <w:vAlign w:val="center"/>
          </w:tcPr>
          <w:p w14:paraId="4D584B66"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246</w:t>
            </w:r>
          </w:p>
        </w:tc>
        <w:tc>
          <w:tcPr>
            <w:tcW w:w="804" w:type="dxa"/>
            <w:shd w:val="clear" w:color="auto" w:fill="auto"/>
            <w:noWrap/>
            <w:vAlign w:val="center"/>
          </w:tcPr>
          <w:p w14:paraId="4F5179B8"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55.01</w:t>
            </w:r>
          </w:p>
        </w:tc>
        <w:tc>
          <w:tcPr>
            <w:tcW w:w="858" w:type="dxa"/>
            <w:shd w:val="clear" w:color="auto" w:fill="auto"/>
            <w:noWrap/>
            <w:vAlign w:val="center"/>
          </w:tcPr>
          <w:p w14:paraId="03B776BE" w14:textId="77777777" w:rsidR="00E30685" w:rsidRDefault="00E30685" w:rsidP="00E730DF">
            <w:pPr>
              <w:jc w:val="center"/>
              <w:rPr>
                <w:rFonts w:ascii="Corbel" w:hAnsi="Corbel" w:cs="Calibri"/>
                <w:sz w:val="18"/>
                <w:szCs w:val="18"/>
              </w:rPr>
            </w:pPr>
            <w:r w:rsidRPr="00E6523E">
              <w:rPr>
                <w:rFonts w:ascii="Corbel" w:hAnsi="Corbel" w:cs="Calibri"/>
                <w:color w:val="000000"/>
                <w:sz w:val="18"/>
                <w:szCs w:val="18"/>
              </w:rPr>
              <w:t>127.20</w:t>
            </w:r>
          </w:p>
        </w:tc>
        <w:tc>
          <w:tcPr>
            <w:tcW w:w="944" w:type="dxa"/>
            <w:shd w:val="clear" w:color="auto" w:fill="auto"/>
            <w:noWrap/>
            <w:vAlign w:val="center"/>
          </w:tcPr>
          <w:p w14:paraId="305303E8" w14:textId="77777777" w:rsidR="00E30685" w:rsidRDefault="00E30685" w:rsidP="00E730DF">
            <w:pPr>
              <w:jc w:val="center"/>
              <w:rPr>
                <w:rFonts w:ascii="Corbel" w:hAnsi="Corbel" w:cs="Calibri"/>
                <w:sz w:val="18"/>
                <w:szCs w:val="18"/>
              </w:rPr>
            </w:pPr>
            <w:r>
              <w:rPr>
                <w:rFonts w:ascii="Corbel" w:hAnsi="Corbel" w:cs="Calibri"/>
                <w:color w:val="000000"/>
                <w:sz w:val="18"/>
                <w:szCs w:val="18"/>
              </w:rPr>
              <w:t>15.84</w:t>
            </w:r>
          </w:p>
        </w:tc>
      </w:tr>
      <w:tr w:rsidR="00E30685" w14:paraId="0893C9A8" w14:textId="77777777" w:rsidTr="00E730DF">
        <w:trPr>
          <w:trHeight w:val="139"/>
        </w:trPr>
        <w:tc>
          <w:tcPr>
            <w:tcW w:w="3389" w:type="dxa"/>
            <w:tcBorders>
              <w:bottom w:val="single" w:sz="4" w:space="0" w:color="auto"/>
            </w:tcBorders>
            <w:shd w:val="clear" w:color="auto" w:fill="auto"/>
            <w:noWrap/>
            <w:vAlign w:val="center"/>
          </w:tcPr>
          <w:p w14:paraId="0313E500" w14:textId="77777777" w:rsidR="00E30685" w:rsidRPr="00E6523E" w:rsidRDefault="00E30685" w:rsidP="00E730DF">
            <w:pPr>
              <w:rPr>
                <w:rFonts w:ascii="Corbel" w:hAnsi="Corbel" w:cs="Calibri"/>
                <w:b/>
                <w:bCs/>
                <w:sz w:val="18"/>
                <w:szCs w:val="18"/>
              </w:rPr>
            </w:pPr>
            <w:r w:rsidRPr="00E6523E">
              <w:rPr>
                <w:rFonts w:ascii="Corbel" w:hAnsi="Corbel" w:cs="Calibri"/>
                <w:bCs/>
                <w:i/>
                <w:sz w:val="18"/>
                <w:szCs w:val="18"/>
              </w:rPr>
              <w:t>Mann-Whitney test</w:t>
            </w:r>
          </w:p>
        </w:tc>
        <w:tc>
          <w:tcPr>
            <w:tcW w:w="1157" w:type="dxa"/>
            <w:tcBorders>
              <w:bottom w:val="single" w:sz="4" w:space="0" w:color="auto"/>
            </w:tcBorders>
            <w:shd w:val="clear" w:color="auto" w:fill="auto"/>
            <w:noWrap/>
            <w:vAlign w:val="center"/>
          </w:tcPr>
          <w:p w14:paraId="2D44DE55" w14:textId="77777777" w:rsidR="00E30685" w:rsidRDefault="00E30685" w:rsidP="00E730DF">
            <w:pPr>
              <w:jc w:val="center"/>
              <w:rPr>
                <w:rFonts w:ascii="Corbel" w:hAnsi="Corbel" w:cs="Calibri"/>
                <w:sz w:val="18"/>
                <w:szCs w:val="18"/>
              </w:rPr>
            </w:pPr>
            <w:r w:rsidRPr="00E6523E">
              <w:rPr>
                <w:rFonts w:ascii="Corbel" w:hAnsi="Corbel" w:cs="Calibri"/>
                <w:i/>
                <w:sz w:val="18"/>
                <w:szCs w:val="18"/>
              </w:rPr>
              <w:t>z</w:t>
            </w:r>
            <w:r w:rsidRPr="00E6523E">
              <w:rPr>
                <w:rFonts w:ascii="Corbel" w:hAnsi="Corbel" w:cs="Calibri"/>
                <w:sz w:val="18"/>
                <w:szCs w:val="18"/>
                <w:vertAlign w:val="superscript"/>
              </w:rPr>
              <w:t xml:space="preserve"> </w:t>
            </w:r>
            <w:r w:rsidRPr="00E6523E">
              <w:rPr>
                <w:rFonts w:ascii="Corbel" w:hAnsi="Corbel" w:cs="Calibri"/>
                <w:sz w:val="18"/>
                <w:szCs w:val="18"/>
              </w:rPr>
              <w:t>= -5.116</w:t>
            </w:r>
          </w:p>
        </w:tc>
        <w:tc>
          <w:tcPr>
            <w:tcW w:w="1662" w:type="dxa"/>
            <w:gridSpan w:val="2"/>
            <w:tcBorders>
              <w:bottom w:val="single" w:sz="4" w:space="0" w:color="auto"/>
            </w:tcBorders>
            <w:shd w:val="clear" w:color="auto" w:fill="auto"/>
            <w:noWrap/>
            <w:vAlign w:val="center"/>
          </w:tcPr>
          <w:p w14:paraId="46123899"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0.00</w:t>
            </w:r>
            <w:r>
              <w:rPr>
                <w:rFonts w:ascii="Corbel" w:hAnsi="Corbel" w:cs="Calibri"/>
                <w:sz w:val="18"/>
                <w:szCs w:val="18"/>
              </w:rPr>
              <w:t>1</w:t>
            </w:r>
          </w:p>
        </w:tc>
        <w:tc>
          <w:tcPr>
            <w:tcW w:w="944" w:type="dxa"/>
            <w:tcBorders>
              <w:bottom w:val="single" w:sz="4" w:space="0" w:color="auto"/>
            </w:tcBorders>
            <w:shd w:val="clear" w:color="auto" w:fill="auto"/>
            <w:noWrap/>
            <w:vAlign w:val="center"/>
          </w:tcPr>
          <w:p w14:paraId="44122EA2" w14:textId="77777777" w:rsidR="00E30685" w:rsidRDefault="00E30685" w:rsidP="00E730DF">
            <w:pPr>
              <w:jc w:val="center"/>
              <w:rPr>
                <w:rFonts w:ascii="Corbel" w:hAnsi="Corbel" w:cs="Calibri"/>
                <w:sz w:val="18"/>
                <w:szCs w:val="18"/>
              </w:rPr>
            </w:pPr>
          </w:p>
        </w:tc>
      </w:tr>
      <w:tr w:rsidR="00E30685" w14:paraId="0E8D4BA9" w14:textId="77777777" w:rsidTr="00E730DF">
        <w:trPr>
          <w:trHeight w:val="139"/>
        </w:trPr>
        <w:tc>
          <w:tcPr>
            <w:tcW w:w="3389" w:type="dxa"/>
            <w:tcBorders>
              <w:top w:val="single" w:sz="4" w:space="0" w:color="auto"/>
              <w:bottom w:val="single" w:sz="4" w:space="0" w:color="auto"/>
            </w:tcBorders>
            <w:shd w:val="clear" w:color="auto" w:fill="auto"/>
            <w:noWrap/>
            <w:vAlign w:val="center"/>
          </w:tcPr>
          <w:p w14:paraId="28ABEC7A" w14:textId="77777777" w:rsidR="00E30685" w:rsidRDefault="00E30685" w:rsidP="00E730DF">
            <w:pPr>
              <w:rPr>
                <w:rFonts w:ascii="Corbel" w:hAnsi="Corbel" w:cs="Calibri"/>
                <w:b/>
                <w:bCs/>
                <w:sz w:val="18"/>
                <w:szCs w:val="18"/>
              </w:rPr>
            </w:pPr>
            <w:r w:rsidRPr="00E6523E">
              <w:rPr>
                <w:rFonts w:ascii="Corbel" w:hAnsi="Corbel" w:cs="Calibri"/>
                <w:b/>
                <w:bCs/>
                <w:sz w:val="18"/>
                <w:szCs w:val="18"/>
              </w:rPr>
              <w:t xml:space="preserve">Survey </w:t>
            </w:r>
            <w:r>
              <w:rPr>
                <w:rFonts w:ascii="Corbel" w:hAnsi="Corbel" w:cs="Calibri"/>
                <w:b/>
                <w:bCs/>
                <w:sz w:val="18"/>
                <w:szCs w:val="18"/>
              </w:rPr>
              <w:t>administration</w:t>
            </w:r>
          </w:p>
        </w:tc>
        <w:tc>
          <w:tcPr>
            <w:tcW w:w="1157" w:type="dxa"/>
            <w:tcBorders>
              <w:top w:val="single" w:sz="4" w:space="0" w:color="auto"/>
              <w:bottom w:val="single" w:sz="4" w:space="0" w:color="auto"/>
            </w:tcBorders>
            <w:shd w:val="clear" w:color="auto" w:fill="auto"/>
            <w:noWrap/>
            <w:vAlign w:val="center"/>
          </w:tcPr>
          <w:p w14:paraId="669BD1DE" w14:textId="77777777" w:rsidR="00E30685" w:rsidRDefault="00E30685" w:rsidP="00E730DF">
            <w:pPr>
              <w:jc w:val="center"/>
              <w:rPr>
                <w:rFonts w:ascii="Corbel" w:hAnsi="Corbel" w:cs="Calibri"/>
                <w:sz w:val="18"/>
                <w:szCs w:val="18"/>
              </w:rPr>
            </w:pPr>
          </w:p>
        </w:tc>
        <w:tc>
          <w:tcPr>
            <w:tcW w:w="804" w:type="dxa"/>
            <w:tcBorders>
              <w:top w:val="single" w:sz="4" w:space="0" w:color="auto"/>
              <w:bottom w:val="single" w:sz="4" w:space="0" w:color="auto"/>
            </w:tcBorders>
            <w:shd w:val="clear" w:color="auto" w:fill="auto"/>
            <w:noWrap/>
            <w:vAlign w:val="center"/>
          </w:tcPr>
          <w:p w14:paraId="02CF31C8" w14:textId="77777777" w:rsidR="00E30685" w:rsidRDefault="00E30685" w:rsidP="00E730DF">
            <w:pPr>
              <w:jc w:val="center"/>
              <w:rPr>
                <w:rFonts w:ascii="Corbel" w:hAnsi="Corbel" w:cs="Calibri"/>
                <w:sz w:val="18"/>
                <w:szCs w:val="18"/>
              </w:rPr>
            </w:pPr>
          </w:p>
        </w:tc>
        <w:tc>
          <w:tcPr>
            <w:tcW w:w="858" w:type="dxa"/>
            <w:tcBorders>
              <w:top w:val="single" w:sz="4" w:space="0" w:color="auto"/>
              <w:bottom w:val="single" w:sz="4" w:space="0" w:color="auto"/>
            </w:tcBorders>
            <w:shd w:val="clear" w:color="auto" w:fill="auto"/>
            <w:noWrap/>
            <w:vAlign w:val="center"/>
          </w:tcPr>
          <w:p w14:paraId="61B569FF" w14:textId="77777777" w:rsidR="00E30685" w:rsidRDefault="00E30685" w:rsidP="00E730DF">
            <w:pPr>
              <w:jc w:val="center"/>
              <w:rPr>
                <w:rFonts w:ascii="Corbel" w:hAnsi="Corbel" w:cs="Calibri"/>
                <w:sz w:val="18"/>
                <w:szCs w:val="18"/>
              </w:rPr>
            </w:pPr>
          </w:p>
        </w:tc>
        <w:tc>
          <w:tcPr>
            <w:tcW w:w="944" w:type="dxa"/>
            <w:tcBorders>
              <w:top w:val="single" w:sz="4" w:space="0" w:color="auto"/>
              <w:bottom w:val="single" w:sz="4" w:space="0" w:color="auto"/>
            </w:tcBorders>
            <w:shd w:val="clear" w:color="auto" w:fill="auto"/>
            <w:noWrap/>
            <w:vAlign w:val="center"/>
          </w:tcPr>
          <w:p w14:paraId="07B03927" w14:textId="77777777" w:rsidR="00E30685" w:rsidRDefault="00E30685" w:rsidP="00E730DF">
            <w:pPr>
              <w:jc w:val="center"/>
              <w:rPr>
                <w:rFonts w:ascii="Corbel" w:hAnsi="Corbel" w:cs="Calibri"/>
                <w:sz w:val="18"/>
                <w:szCs w:val="18"/>
              </w:rPr>
            </w:pPr>
          </w:p>
        </w:tc>
      </w:tr>
      <w:tr w:rsidR="00E30685" w14:paraId="1AC7BF11" w14:textId="77777777" w:rsidTr="00E730DF">
        <w:trPr>
          <w:trHeight w:val="139"/>
        </w:trPr>
        <w:tc>
          <w:tcPr>
            <w:tcW w:w="3389" w:type="dxa"/>
            <w:tcBorders>
              <w:top w:val="single" w:sz="4" w:space="0" w:color="auto"/>
            </w:tcBorders>
            <w:shd w:val="clear" w:color="auto" w:fill="auto"/>
            <w:noWrap/>
            <w:vAlign w:val="center"/>
          </w:tcPr>
          <w:p w14:paraId="5D9C589A" w14:textId="77777777" w:rsidR="00E30685" w:rsidRDefault="00E30685" w:rsidP="00E730DF">
            <w:pPr>
              <w:rPr>
                <w:rFonts w:ascii="Corbel" w:hAnsi="Corbel" w:cs="Calibri"/>
                <w:b/>
                <w:bCs/>
                <w:sz w:val="18"/>
                <w:szCs w:val="18"/>
              </w:rPr>
            </w:pPr>
            <w:r>
              <w:rPr>
                <w:rFonts w:ascii="Corbel" w:hAnsi="Corbel" w:cs="Calibri"/>
                <w:color w:val="000000"/>
                <w:sz w:val="18"/>
                <w:szCs w:val="18"/>
              </w:rPr>
              <w:t>In person (f</w:t>
            </w:r>
            <w:r w:rsidRPr="00E6523E">
              <w:rPr>
                <w:rFonts w:ascii="Corbel" w:hAnsi="Corbel" w:cs="Calibri"/>
                <w:color w:val="000000"/>
                <w:sz w:val="18"/>
                <w:szCs w:val="18"/>
              </w:rPr>
              <w:t>ace-to-face</w:t>
            </w:r>
            <w:r>
              <w:rPr>
                <w:rFonts w:ascii="Corbel" w:hAnsi="Corbel" w:cs="Calibri"/>
                <w:color w:val="000000"/>
                <w:sz w:val="18"/>
                <w:szCs w:val="18"/>
              </w:rPr>
              <w:t>)</w:t>
            </w:r>
          </w:p>
        </w:tc>
        <w:tc>
          <w:tcPr>
            <w:tcW w:w="1157" w:type="dxa"/>
            <w:tcBorders>
              <w:top w:val="single" w:sz="4" w:space="0" w:color="auto"/>
            </w:tcBorders>
            <w:shd w:val="clear" w:color="auto" w:fill="auto"/>
            <w:noWrap/>
            <w:vAlign w:val="center"/>
          </w:tcPr>
          <w:p w14:paraId="51FFED5A" w14:textId="77777777" w:rsidR="00E30685" w:rsidRDefault="00E30685" w:rsidP="00E730DF">
            <w:pPr>
              <w:jc w:val="center"/>
              <w:rPr>
                <w:rFonts w:ascii="Corbel" w:hAnsi="Corbel" w:cs="Calibri"/>
                <w:sz w:val="18"/>
                <w:szCs w:val="18"/>
              </w:rPr>
            </w:pPr>
            <w:r w:rsidRPr="00E6523E">
              <w:rPr>
                <w:rFonts w:ascii="Corbel" w:hAnsi="Corbel" w:cs="Calibri"/>
                <w:sz w:val="18"/>
                <w:szCs w:val="18"/>
              </w:rPr>
              <w:t>118</w:t>
            </w:r>
          </w:p>
        </w:tc>
        <w:tc>
          <w:tcPr>
            <w:tcW w:w="804" w:type="dxa"/>
            <w:tcBorders>
              <w:top w:val="single" w:sz="4" w:space="0" w:color="auto"/>
            </w:tcBorders>
            <w:shd w:val="clear" w:color="auto" w:fill="auto"/>
            <w:noWrap/>
            <w:vAlign w:val="center"/>
          </w:tcPr>
          <w:p w14:paraId="624174A1" w14:textId="77777777" w:rsidR="00E30685" w:rsidRDefault="00E30685" w:rsidP="00E730DF">
            <w:pPr>
              <w:jc w:val="center"/>
              <w:rPr>
                <w:rFonts w:ascii="Corbel" w:hAnsi="Corbel" w:cs="Calibri"/>
                <w:sz w:val="18"/>
                <w:szCs w:val="18"/>
              </w:rPr>
            </w:pPr>
            <w:r w:rsidRPr="00E6523E">
              <w:rPr>
                <w:rFonts w:ascii="Corbel" w:hAnsi="Corbel" w:cs="Calibri"/>
                <w:sz w:val="18"/>
                <w:szCs w:val="18"/>
              </w:rPr>
              <w:t>26.55</w:t>
            </w:r>
          </w:p>
        </w:tc>
        <w:tc>
          <w:tcPr>
            <w:tcW w:w="858" w:type="dxa"/>
            <w:tcBorders>
              <w:top w:val="single" w:sz="4" w:space="0" w:color="auto"/>
            </w:tcBorders>
            <w:shd w:val="clear" w:color="auto" w:fill="auto"/>
            <w:noWrap/>
            <w:vAlign w:val="center"/>
          </w:tcPr>
          <w:p w14:paraId="042423A7" w14:textId="77777777" w:rsidR="00E30685" w:rsidRDefault="00E30685" w:rsidP="00E730DF">
            <w:pPr>
              <w:jc w:val="center"/>
              <w:rPr>
                <w:rFonts w:ascii="Corbel" w:hAnsi="Corbel" w:cs="Calibri"/>
                <w:sz w:val="18"/>
                <w:szCs w:val="18"/>
              </w:rPr>
            </w:pPr>
            <w:r w:rsidRPr="00E6523E">
              <w:rPr>
                <w:rFonts w:ascii="Corbel" w:hAnsi="Corbel" w:cs="Calibri"/>
                <w:sz w:val="18"/>
                <w:szCs w:val="18"/>
              </w:rPr>
              <w:t>86.07</w:t>
            </w:r>
          </w:p>
        </w:tc>
        <w:tc>
          <w:tcPr>
            <w:tcW w:w="944" w:type="dxa"/>
            <w:tcBorders>
              <w:top w:val="single" w:sz="4" w:space="0" w:color="auto"/>
            </w:tcBorders>
            <w:shd w:val="clear" w:color="auto" w:fill="auto"/>
            <w:noWrap/>
            <w:vAlign w:val="center"/>
          </w:tcPr>
          <w:p w14:paraId="79786501" w14:textId="77777777" w:rsidR="00E30685" w:rsidRDefault="00E30685" w:rsidP="00E730DF">
            <w:pPr>
              <w:jc w:val="center"/>
              <w:rPr>
                <w:rFonts w:ascii="Corbel" w:hAnsi="Corbel" w:cs="Calibri"/>
                <w:sz w:val="18"/>
                <w:szCs w:val="18"/>
              </w:rPr>
            </w:pPr>
            <w:r>
              <w:rPr>
                <w:rFonts w:ascii="Corbel" w:hAnsi="Corbel" w:cs="Calibri"/>
                <w:sz w:val="18"/>
                <w:szCs w:val="18"/>
              </w:rPr>
              <w:t>6.67</w:t>
            </w:r>
          </w:p>
        </w:tc>
      </w:tr>
      <w:tr w:rsidR="00E30685" w14:paraId="7B5072E5" w14:textId="77777777" w:rsidTr="00E730DF">
        <w:trPr>
          <w:trHeight w:val="139"/>
        </w:trPr>
        <w:tc>
          <w:tcPr>
            <w:tcW w:w="3389" w:type="dxa"/>
            <w:shd w:val="clear" w:color="auto" w:fill="auto"/>
            <w:noWrap/>
            <w:vAlign w:val="center"/>
          </w:tcPr>
          <w:p w14:paraId="7BF9B1A2" w14:textId="77777777" w:rsidR="00E30685" w:rsidRDefault="00E30685" w:rsidP="00E730DF">
            <w:pPr>
              <w:rPr>
                <w:rFonts w:ascii="Corbel" w:hAnsi="Corbel" w:cs="Calibri"/>
                <w:color w:val="000000"/>
                <w:sz w:val="18"/>
                <w:szCs w:val="18"/>
              </w:rPr>
            </w:pPr>
            <w:r w:rsidRPr="00E6523E">
              <w:rPr>
                <w:rFonts w:ascii="Corbel" w:hAnsi="Corbel" w:cs="Calibri"/>
                <w:color w:val="000000"/>
                <w:sz w:val="18"/>
                <w:szCs w:val="18"/>
              </w:rPr>
              <w:t>Self-administere</w:t>
            </w:r>
            <w:r>
              <w:rPr>
                <w:rFonts w:ascii="Corbel" w:hAnsi="Corbel" w:cs="Calibri"/>
                <w:color w:val="000000"/>
                <w:sz w:val="18"/>
                <w:szCs w:val="18"/>
              </w:rPr>
              <w:t>d</w:t>
            </w:r>
          </w:p>
        </w:tc>
        <w:tc>
          <w:tcPr>
            <w:tcW w:w="1157" w:type="dxa"/>
            <w:shd w:val="clear" w:color="auto" w:fill="auto"/>
            <w:noWrap/>
            <w:vAlign w:val="center"/>
          </w:tcPr>
          <w:p w14:paraId="3520987A" w14:textId="77777777" w:rsidR="00E30685" w:rsidRPr="00E6523E" w:rsidRDefault="00E30685" w:rsidP="00E730DF">
            <w:pPr>
              <w:jc w:val="center"/>
              <w:rPr>
                <w:rFonts w:ascii="Corbel" w:hAnsi="Corbel" w:cs="Calibri"/>
                <w:sz w:val="18"/>
                <w:szCs w:val="18"/>
              </w:rPr>
            </w:pPr>
            <w:r w:rsidRPr="00E6523E">
              <w:rPr>
                <w:rFonts w:ascii="Corbel" w:hAnsi="Corbel" w:cs="Calibri"/>
                <w:sz w:val="18"/>
                <w:szCs w:val="18"/>
              </w:rPr>
              <w:t>14</w:t>
            </w:r>
          </w:p>
        </w:tc>
        <w:tc>
          <w:tcPr>
            <w:tcW w:w="804" w:type="dxa"/>
            <w:shd w:val="clear" w:color="auto" w:fill="auto"/>
            <w:noWrap/>
            <w:vAlign w:val="center"/>
          </w:tcPr>
          <w:p w14:paraId="3E864721" w14:textId="77777777" w:rsidR="00E30685" w:rsidRPr="00E6523E" w:rsidRDefault="00E30685" w:rsidP="00E730DF">
            <w:pPr>
              <w:jc w:val="center"/>
              <w:rPr>
                <w:rFonts w:ascii="Corbel" w:hAnsi="Corbel" w:cs="Calibri"/>
                <w:sz w:val="18"/>
                <w:szCs w:val="18"/>
              </w:rPr>
            </w:pPr>
            <w:r w:rsidRPr="00E6523E">
              <w:rPr>
                <w:rFonts w:ascii="Corbel" w:hAnsi="Corbel" w:cs="Calibri"/>
                <w:sz w:val="18"/>
                <w:szCs w:val="18"/>
              </w:rPr>
              <w:t>366.51</w:t>
            </w:r>
          </w:p>
        </w:tc>
        <w:tc>
          <w:tcPr>
            <w:tcW w:w="858" w:type="dxa"/>
            <w:shd w:val="clear" w:color="auto" w:fill="auto"/>
            <w:noWrap/>
            <w:vAlign w:val="center"/>
          </w:tcPr>
          <w:p w14:paraId="4063896A" w14:textId="77777777" w:rsidR="00E30685" w:rsidRPr="00E6523E" w:rsidRDefault="00E30685" w:rsidP="00E730DF">
            <w:pPr>
              <w:jc w:val="center"/>
              <w:rPr>
                <w:rFonts w:ascii="Corbel" w:hAnsi="Corbel" w:cs="Calibri"/>
                <w:sz w:val="18"/>
                <w:szCs w:val="18"/>
              </w:rPr>
            </w:pPr>
            <w:r w:rsidRPr="00E6523E">
              <w:rPr>
                <w:rFonts w:ascii="Corbel" w:hAnsi="Corbel" w:cs="Calibri"/>
                <w:sz w:val="18"/>
                <w:szCs w:val="18"/>
              </w:rPr>
              <w:t>149.84</w:t>
            </w:r>
          </w:p>
        </w:tc>
        <w:tc>
          <w:tcPr>
            <w:tcW w:w="944" w:type="dxa"/>
            <w:shd w:val="clear" w:color="auto" w:fill="auto"/>
            <w:noWrap/>
            <w:vAlign w:val="center"/>
          </w:tcPr>
          <w:p w14:paraId="459B8BD6" w14:textId="77777777" w:rsidR="00E30685" w:rsidRDefault="00E30685" w:rsidP="00E730DF">
            <w:pPr>
              <w:jc w:val="center"/>
              <w:rPr>
                <w:rFonts w:ascii="Corbel" w:hAnsi="Corbel" w:cs="Calibri"/>
                <w:sz w:val="18"/>
                <w:szCs w:val="18"/>
              </w:rPr>
            </w:pPr>
            <w:r>
              <w:rPr>
                <w:rFonts w:ascii="Corbel" w:hAnsi="Corbel" w:cs="Calibri"/>
                <w:sz w:val="18"/>
                <w:szCs w:val="18"/>
              </w:rPr>
              <w:t>416.94</w:t>
            </w:r>
          </w:p>
        </w:tc>
      </w:tr>
      <w:tr w:rsidR="00E30685" w14:paraId="0D4FA950" w14:textId="77777777" w:rsidTr="00E730DF">
        <w:trPr>
          <w:trHeight w:val="139"/>
        </w:trPr>
        <w:tc>
          <w:tcPr>
            <w:tcW w:w="3389" w:type="dxa"/>
            <w:shd w:val="clear" w:color="auto" w:fill="auto"/>
            <w:noWrap/>
            <w:vAlign w:val="center"/>
          </w:tcPr>
          <w:p w14:paraId="5854B972" w14:textId="77777777" w:rsidR="00E30685" w:rsidRPr="00E6523E" w:rsidRDefault="00E30685" w:rsidP="00E730DF">
            <w:pPr>
              <w:rPr>
                <w:rFonts w:ascii="Corbel" w:hAnsi="Corbel" w:cs="Calibri"/>
                <w:color w:val="000000"/>
                <w:sz w:val="18"/>
                <w:szCs w:val="18"/>
              </w:rPr>
            </w:pPr>
            <w:r w:rsidRPr="00E6523E">
              <w:rPr>
                <w:rFonts w:ascii="Corbel" w:hAnsi="Corbel" w:cs="Calibri"/>
                <w:color w:val="000000"/>
                <w:sz w:val="18"/>
                <w:szCs w:val="18"/>
              </w:rPr>
              <w:t>Mail</w:t>
            </w:r>
          </w:p>
        </w:tc>
        <w:tc>
          <w:tcPr>
            <w:tcW w:w="1157" w:type="dxa"/>
            <w:shd w:val="clear" w:color="auto" w:fill="auto"/>
            <w:noWrap/>
            <w:vAlign w:val="center"/>
          </w:tcPr>
          <w:p w14:paraId="455B26CD" w14:textId="77777777" w:rsidR="00E30685" w:rsidRPr="00E6523E" w:rsidRDefault="00E30685" w:rsidP="00E730DF">
            <w:pPr>
              <w:jc w:val="center"/>
              <w:rPr>
                <w:rFonts w:ascii="Corbel" w:hAnsi="Corbel" w:cs="Calibri"/>
                <w:sz w:val="18"/>
                <w:szCs w:val="18"/>
              </w:rPr>
            </w:pPr>
            <w:r w:rsidRPr="00E6523E">
              <w:rPr>
                <w:rFonts w:ascii="Corbel" w:hAnsi="Corbel" w:cs="Calibri"/>
                <w:sz w:val="18"/>
                <w:szCs w:val="18"/>
              </w:rPr>
              <w:t>131</w:t>
            </w:r>
          </w:p>
        </w:tc>
        <w:tc>
          <w:tcPr>
            <w:tcW w:w="804" w:type="dxa"/>
            <w:shd w:val="clear" w:color="auto" w:fill="auto"/>
            <w:noWrap/>
            <w:vAlign w:val="center"/>
          </w:tcPr>
          <w:p w14:paraId="54EC5EE3" w14:textId="77777777" w:rsidR="00E30685" w:rsidRPr="00E6523E" w:rsidRDefault="00E30685" w:rsidP="00E730DF">
            <w:pPr>
              <w:jc w:val="center"/>
              <w:rPr>
                <w:rFonts w:ascii="Corbel" w:hAnsi="Corbel" w:cs="Calibri"/>
                <w:sz w:val="18"/>
                <w:szCs w:val="18"/>
              </w:rPr>
            </w:pPr>
            <w:r w:rsidRPr="00E6523E">
              <w:rPr>
                <w:rFonts w:ascii="Corbel" w:hAnsi="Corbel" w:cs="Calibri"/>
                <w:sz w:val="18"/>
                <w:szCs w:val="18"/>
              </w:rPr>
              <w:t>38.76</w:t>
            </w:r>
          </w:p>
        </w:tc>
        <w:tc>
          <w:tcPr>
            <w:tcW w:w="858" w:type="dxa"/>
            <w:shd w:val="clear" w:color="auto" w:fill="auto"/>
            <w:noWrap/>
            <w:vAlign w:val="center"/>
          </w:tcPr>
          <w:p w14:paraId="0B011132" w14:textId="77777777" w:rsidR="00E30685" w:rsidRPr="00E6523E" w:rsidRDefault="00E30685" w:rsidP="00E730DF">
            <w:pPr>
              <w:jc w:val="center"/>
              <w:rPr>
                <w:rFonts w:ascii="Corbel" w:hAnsi="Corbel" w:cs="Calibri"/>
                <w:sz w:val="18"/>
                <w:szCs w:val="18"/>
              </w:rPr>
            </w:pPr>
            <w:r w:rsidRPr="00E6523E">
              <w:rPr>
                <w:rFonts w:ascii="Corbel" w:hAnsi="Corbel" w:cs="Calibri"/>
                <w:sz w:val="18"/>
                <w:szCs w:val="18"/>
              </w:rPr>
              <w:t>89.06</w:t>
            </w:r>
          </w:p>
        </w:tc>
        <w:tc>
          <w:tcPr>
            <w:tcW w:w="944" w:type="dxa"/>
            <w:shd w:val="clear" w:color="auto" w:fill="auto"/>
            <w:noWrap/>
            <w:vAlign w:val="center"/>
          </w:tcPr>
          <w:p w14:paraId="42FD5FC4" w14:textId="77777777" w:rsidR="00E30685" w:rsidRDefault="00E30685" w:rsidP="00E730DF">
            <w:pPr>
              <w:jc w:val="center"/>
              <w:rPr>
                <w:rFonts w:ascii="Corbel" w:hAnsi="Corbel" w:cs="Calibri"/>
                <w:sz w:val="18"/>
                <w:szCs w:val="18"/>
              </w:rPr>
            </w:pPr>
            <w:r>
              <w:rPr>
                <w:rFonts w:ascii="Corbel" w:hAnsi="Corbel" w:cs="Calibri"/>
                <w:sz w:val="18"/>
                <w:szCs w:val="18"/>
              </w:rPr>
              <w:t>23.91</w:t>
            </w:r>
          </w:p>
        </w:tc>
      </w:tr>
      <w:tr w:rsidR="00E30685" w14:paraId="04D8AEB6" w14:textId="77777777" w:rsidTr="00E730DF">
        <w:trPr>
          <w:trHeight w:val="139"/>
        </w:trPr>
        <w:tc>
          <w:tcPr>
            <w:tcW w:w="3389" w:type="dxa"/>
            <w:shd w:val="clear" w:color="auto" w:fill="auto"/>
            <w:noWrap/>
            <w:vAlign w:val="center"/>
          </w:tcPr>
          <w:p w14:paraId="441F2400" w14:textId="77777777" w:rsidR="00E30685" w:rsidRDefault="00E30685" w:rsidP="00E730DF">
            <w:pPr>
              <w:rPr>
                <w:rFonts w:ascii="Corbel" w:hAnsi="Corbel" w:cs="Calibri"/>
                <w:b/>
                <w:bCs/>
                <w:sz w:val="18"/>
                <w:szCs w:val="18"/>
              </w:rPr>
            </w:pPr>
            <w:r w:rsidRPr="00E6523E">
              <w:rPr>
                <w:rFonts w:ascii="Corbel" w:hAnsi="Corbel" w:cs="Calibri"/>
                <w:color w:val="000000"/>
                <w:sz w:val="18"/>
                <w:szCs w:val="18"/>
              </w:rPr>
              <w:t>Telephone</w:t>
            </w:r>
          </w:p>
        </w:tc>
        <w:tc>
          <w:tcPr>
            <w:tcW w:w="1157" w:type="dxa"/>
            <w:shd w:val="clear" w:color="auto" w:fill="auto"/>
            <w:noWrap/>
            <w:vAlign w:val="center"/>
          </w:tcPr>
          <w:p w14:paraId="79B4E7D7" w14:textId="77777777" w:rsidR="00E30685" w:rsidRDefault="00E30685" w:rsidP="00E730DF">
            <w:pPr>
              <w:jc w:val="center"/>
              <w:rPr>
                <w:rFonts w:ascii="Corbel" w:hAnsi="Corbel" w:cs="Calibri"/>
                <w:sz w:val="18"/>
                <w:szCs w:val="18"/>
              </w:rPr>
            </w:pPr>
            <w:r w:rsidRPr="00E6523E">
              <w:rPr>
                <w:rFonts w:ascii="Corbel" w:hAnsi="Corbel" w:cs="Calibri"/>
                <w:sz w:val="18"/>
                <w:szCs w:val="18"/>
              </w:rPr>
              <w:t>8</w:t>
            </w:r>
          </w:p>
        </w:tc>
        <w:tc>
          <w:tcPr>
            <w:tcW w:w="804" w:type="dxa"/>
            <w:shd w:val="clear" w:color="auto" w:fill="auto"/>
            <w:noWrap/>
            <w:vAlign w:val="center"/>
          </w:tcPr>
          <w:p w14:paraId="2C2F2D20" w14:textId="77777777" w:rsidR="00E30685" w:rsidRDefault="00E30685" w:rsidP="00E730DF">
            <w:pPr>
              <w:jc w:val="center"/>
              <w:rPr>
                <w:rFonts w:ascii="Corbel" w:hAnsi="Corbel" w:cs="Calibri"/>
                <w:sz w:val="18"/>
                <w:szCs w:val="18"/>
              </w:rPr>
            </w:pPr>
            <w:r w:rsidRPr="00E6523E">
              <w:rPr>
                <w:rFonts w:ascii="Corbel" w:hAnsi="Corbel" w:cs="Calibri"/>
                <w:sz w:val="18"/>
                <w:szCs w:val="18"/>
              </w:rPr>
              <w:t>37.50</w:t>
            </w:r>
          </w:p>
        </w:tc>
        <w:tc>
          <w:tcPr>
            <w:tcW w:w="858" w:type="dxa"/>
            <w:shd w:val="clear" w:color="auto" w:fill="auto"/>
            <w:noWrap/>
            <w:vAlign w:val="center"/>
          </w:tcPr>
          <w:p w14:paraId="28E2EE6E" w14:textId="77777777" w:rsidR="00E30685" w:rsidRDefault="00E30685" w:rsidP="00E730DF">
            <w:pPr>
              <w:jc w:val="center"/>
              <w:rPr>
                <w:rFonts w:ascii="Corbel" w:hAnsi="Corbel" w:cs="Calibri"/>
                <w:sz w:val="18"/>
                <w:szCs w:val="18"/>
              </w:rPr>
            </w:pPr>
            <w:r w:rsidRPr="00E6523E">
              <w:rPr>
                <w:rFonts w:ascii="Corbel" w:hAnsi="Corbel" w:cs="Calibri"/>
                <w:sz w:val="18"/>
                <w:szCs w:val="18"/>
              </w:rPr>
              <w:t>52.55</w:t>
            </w:r>
          </w:p>
        </w:tc>
        <w:tc>
          <w:tcPr>
            <w:tcW w:w="944" w:type="dxa"/>
            <w:shd w:val="clear" w:color="auto" w:fill="auto"/>
            <w:noWrap/>
            <w:vAlign w:val="center"/>
          </w:tcPr>
          <w:p w14:paraId="24E1C894" w14:textId="77777777" w:rsidR="00E30685" w:rsidRDefault="00E30685" w:rsidP="00E730DF">
            <w:pPr>
              <w:jc w:val="center"/>
              <w:rPr>
                <w:rFonts w:ascii="Corbel" w:hAnsi="Corbel" w:cs="Calibri"/>
                <w:sz w:val="18"/>
                <w:szCs w:val="18"/>
              </w:rPr>
            </w:pPr>
            <w:r>
              <w:rPr>
                <w:rFonts w:ascii="Corbel" w:hAnsi="Corbel" w:cs="Calibri"/>
                <w:sz w:val="18"/>
                <w:szCs w:val="18"/>
              </w:rPr>
              <w:t>7.52</w:t>
            </w:r>
          </w:p>
        </w:tc>
      </w:tr>
      <w:tr w:rsidR="00E30685" w14:paraId="2E381C88" w14:textId="77777777" w:rsidTr="00E730DF">
        <w:trPr>
          <w:trHeight w:val="139"/>
        </w:trPr>
        <w:tc>
          <w:tcPr>
            <w:tcW w:w="3389" w:type="dxa"/>
            <w:shd w:val="clear" w:color="auto" w:fill="auto"/>
            <w:noWrap/>
            <w:vAlign w:val="center"/>
          </w:tcPr>
          <w:p w14:paraId="07B32089" w14:textId="77777777" w:rsidR="00E30685" w:rsidRDefault="00E30685" w:rsidP="00E730DF">
            <w:pPr>
              <w:rPr>
                <w:rFonts w:ascii="Corbel" w:hAnsi="Corbel" w:cs="Calibri"/>
                <w:b/>
                <w:bCs/>
                <w:sz w:val="18"/>
                <w:szCs w:val="18"/>
              </w:rPr>
            </w:pPr>
            <w:r>
              <w:rPr>
                <w:rFonts w:ascii="Corbel" w:hAnsi="Corbel" w:cs="Calibri"/>
                <w:color w:val="000000"/>
                <w:sz w:val="18"/>
                <w:szCs w:val="18"/>
              </w:rPr>
              <w:t>Web-based</w:t>
            </w:r>
          </w:p>
        </w:tc>
        <w:tc>
          <w:tcPr>
            <w:tcW w:w="1157" w:type="dxa"/>
            <w:shd w:val="clear" w:color="auto" w:fill="auto"/>
            <w:noWrap/>
            <w:vAlign w:val="center"/>
          </w:tcPr>
          <w:p w14:paraId="7DF3E5E2" w14:textId="77777777" w:rsidR="00E30685" w:rsidRDefault="00E30685" w:rsidP="00E730DF">
            <w:pPr>
              <w:jc w:val="center"/>
              <w:rPr>
                <w:rFonts w:ascii="Corbel" w:hAnsi="Corbel" w:cs="Calibri"/>
                <w:sz w:val="18"/>
                <w:szCs w:val="18"/>
              </w:rPr>
            </w:pPr>
            <w:r w:rsidRPr="00E6523E">
              <w:rPr>
                <w:rFonts w:ascii="Corbel" w:hAnsi="Corbel" w:cs="Calibri"/>
                <w:sz w:val="18"/>
                <w:szCs w:val="18"/>
              </w:rPr>
              <w:t>3</w:t>
            </w:r>
          </w:p>
        </w:tc>
        <w:tc>
          <w:tcPr>
            <w:tcW w:w="804" w:type="dxa"/>
            <w:shd w:val="clear" w:color="auto" w:fill="auto"/>
            <w:noWrap/>
            <w:vAlign w:val="center"/>
          </w:tcPr>
          <w:p w14:paraId="10C6FF33" w14:textId="77777777" w:rsidR="00E30685" w:rsidRDefault="00E30685" w:rsidP="00E730DF">
            <w:pPr>
              <w:jc w:val="center"/>
              <w:rPr>
                <w:rFonts w:ascii="Corbel" w:hAnsi="Corbel" w:cs="Calibri"/>
                <w:sz w:val="18"/>
                <w:szCs w:val="18"/>
              </w:rPr>
            </w:pPr>
            <w:r w:rsidRPr="00E6523E">
              <w:rPr>
                <w:rFonts w:ascii="Corbel" w:hAnsi="Corbel" w:cs="Calibri"/>
                <w:sz w:val="18"/>
                <w:szCs w:val="18"/>
              </w:rPr>
              <w:t>70.30</w:t>
            </w:r>
          </w:p>
        </w:tc>
        <w:tc>
          <w:tcPr>
            <w:tcW w:w="858" w:type="dxa"/>
            <w:shd w:val="clear" w:color="auto" w:fill="auto"/>
            <w:noWrap/>
            <w:vAlign w:val="center"/>
          </w:tcPr>
          <w:p w14:paraId="3D38F0D0" w14:textId="77777777" w:rsidR="00E30685" w:rsidRDefault="00E30685" w:rsidP="00E730DF">
            <w:pPr>
              <w:jc w:val="center"/>
              <w:rPr>
                <w:rFonts w:ascii="Corbel" w:hAnsi="Corbel" w:cs="Calibri"/>
                <w:sz w:val="18"/>
                <w:szCs w:val="18"/>
              </w:rPr>
            </w:pPr>
            <w:r w:rsidRPr="00E6523E">
              <w:rPr>
                <w:rFonts w:ascii="Corbel" w:hAnsi="Corbel" w:cs="Calibri"/>
                <w:sz w:val="18"/>
                <w:szCs w:val="18"/>
              </w:rPr>
              <w:t>99.71</w:t>
            </w:r>
          </w:p>
        </w:tc>
        <w:tc>
          <w:tcPr>
            <w:tcW w:w="944" w:type="dxa"/>
            <w:shd w:val="clear" w:color="auto" w:fill="auto"/>
            <w:noWrap/>
            <w:vAlign w:val="center"/>
          </w:tcPr>
          <w:p w14:paraId="4C7B389F" w14:textId="77777777" w:rsidR="00E30685" w:rsidRDefault="00E30685" w:rsidP="00E730DF">
            <w:pPr>
              <w:jc w:val="center"/>
              <w:rPr>
                <w:rFonts w:ascii="Corbel" w:hAnsi="Corbel" w:cs="Calibri"/>
                <w:sz w:val="18"/>
                <w:szCs w:val="18"/>
              </w:rPr>
            </w:pPr>
            <w:r>
              <w:rPr>
                <w:rFonts w:ascii="Corbel" w:hAnsi="Corbel" w:cs="Calibri"/>
                <w:sz w:val="18"/>
                <w:szCs w:val="18"/>
              </w:rPr>
              <w:t>26.25</w:t>
            </w:r>
          </w:p>
        </w:tc>
      </w:tr>
      <w:tr w:rsidR="00E30685" w14:paraId="3E3E35F2" w14:textId="77777777" w:rsidTr="00E730DF">
        <w:trPr>
          <w:trHeight w:val="139"/>
        </w:trPr>
        <w:tc>
          <w:tcPr>
            <w:tcW w:w="3389" w:type="dxa"/>
            <w:tcBorders>
              <w:bottom w:val="single" w:sz="4" w:space="0" w:color="auto"/>
            </w:tcBorders>
            <w:shd w:val="clear" w:color="auto" w:fill="auto"/>
            <w:noWrap/>
            <w:vAlign w:val="center"/>
          </w:tcPr>
          <w:p w14:paraId="39AB4F0B" w14:textId="77777777" w:rsidR="00E30685" w:rsidRDefault="00E30685" w:rsidP="00E730DF">
            <w:pPr>
              <w:rPr>
                <w:rFonts w:ascii="Corbel" w:hAnsi="Corbel" w:cs="Calibri"/>
                <w:b/>
                <w:bCs/>
                <w:sz w:val="18"/>
                <w:szCs w:val="18"/>
              </w:rPr>
            </w:pPr>
            <w:r w:rsidRPr="00E6523E">
              <w:rPr>
                <w:rFonts w:ascii="Corbel" w:hAnsi="Corbel" w:cs="Calibri"/>
                <w:bCs/>
                <w:i/>
                <w:sz w:val="18"/>
                <w:szCs w:val="18"/>
              </w:rPr>
              <w:t>Kruskal-</w:t>
            </w:r>
            <w:proofErr w:type="gramStart"/>
            <w:r w:rsidRPr="00E6523E">
              <w:rPr>
                <w:rFonts w:ascii="Corbel" w:hAnsi="Corbel" w:cs="Calibri"/>
                <w:bCs/>
                <w:i/>
                <w:sz w:val="18"/>
                <w:szCs w:val="18"/>
              </w:rPr>
              <w:t>Wallis</w:t>
            </w:r>
            <w:proofErr w:type="gramEnd"/>
            <w:r w:rsidRPr="00E6523E">
              <w:rPr>
                <w:rFonts w:ascii="Corbel" w:hAnsi="Corbel" w:cs="Calibri"/>
                <w:bCs/>
                <w:i/>
                <w:sz w:val="18"/>
                <w:szCs w:val="18"/>
              </w:rPr>
              <w:t xml:space="preserve"> test</w:t>
            </w:r>
          </w:p>
        </w:tc>
        <w:tc>
          <w:tcPr>
            <w:tcW w:w="1157" w:type="dxa"/>
            <w:tcBorders>
              <w:bottom w:val="single" w:sz="4" w:space="0" w:color="auto"/>
            </w:tcBorders>
            <w:shd w:val="clear" w:color="auto" w:fill="auto"/>
            <w:noWrap/>
            <w:vAlign w:val="center"/>
          </w:tcPr>
          <w:p w14:paraId="7C043754" w14:textId="77777777" w:rsidR="00E30685" w:rsidRDefault="00E30685" w:rsidP="00E730DF">
            <w:pPr>
              <w:jc w:val="center"/>
              <w:rPr>
                <w:rFonts w:ascii="Corbel" w:hAnsi="Corbel" w:cs="Calibri"/>
                <w:sz w:val="18"/>
                <w:szCs w:val="18"/>
              </w:rPr>
            </w:pPr>
            <w:r w:rsidRPr="00E6523E">
              <w:rPr>
                <w:rFonts w:ascii="Corbel" w:hAnsi="Corbel" w:cs="Calibri"/>
                <w:sz w:val="18"/>
                <w:szCs w:val="18"/>
              </w:rPr>
              <w:t>Χ</w:t>
            </w:r>
            <w:r w:rsidRPr="00E6523E">
              <w:rPr>
                <w:rFonts w:ascii="Corbel" w:hAnsi="Corbel" w:cs="Calibri"/>
                <w:sz w:val="18"/>
                <w:szCs w:val="18"/>
                <w:vertAlign w:val="superscript"/>
              </w:rPr>
              <w:t xml:space="preserve">2 </w:t>
            </w:r>
            <w:r w:rsidRPr="00E6523E">
              <w:rPr>
                <w:rFonts w:ascii="Corbel" w:hAnsi="Corbel" w:cs="Calibri"/>
                <w:sz w:val="18"/>
                <w:szCs w:val="18"/>
              </w:rPr>
              <w:t>= 79.345</w:t>
            </w:r>
          </w:p>
        </w:tc>
        <w:tc>
          <w:tcPr>
            <w:tcW w:w="1662" w:type="dxa"/>
            <w:gridSpan w:val="2"/>
            <w:tcBorders>
              <w:bottom w:val="single" w:sz="4" w:space="0" w:color="auto"/>
            </w:tcBorders>
            <w:shd w:val="clear" w:color="auto" w:fill="auto"/>
            <w:noWrap/>
            <w:vAlign w:val="center"/>
          </w:tcPr>
          <w:p w14:paraId="48CB85A7" w14:textId="77777777" w:rsidR="00E30685" w:rsidRDefault="00E30685" w:rsidP="00E730DF">
            <w:pPr>
              <w:jc w:val="center"/>
              <w:rPr>
                <w:rFonts w:ascii="Corbel" w:hAnsi="Corbel" w:cs="Calibri"/>
                <w:sz w:val="18"/>
                <w:szCs w:val="18"/>
              </w:rPr>
            </w:pPr>
            <w:r w:rsidRPr="00E6523E">
              <w:rPr>
                <w:rFonts w:ascii="Corbel" w:hAnsi="Corbel" w:cs="Calibri"/>
                <w:i/>
                <w:sz w:val="18"/>
                <w:szCs w:val="18"/>
              </w:rPr>
              <w:t>p</w:t>
            </w:r>
            <w:r w:rsidRPr="00E6523E">
              <w:rPr>
                <w:rFonts w:ascii="Corbel" w:hAnsi="Corbel" w:cs="Calibri"/>
                <w:sz w:val="18"/>
                <w:szCs w:val="18"/>
              </w:rPr>
              <w:t xml:space="preserve"> </w:t>
            </w:r>
            <w:r>
              <w:rPr>
                <w:rFonts w:ascii="Corbel" w:hAnsi="Corbel" w:cs="Calibri"/>
                <w:sz w:val="18"/>
                <w:szCs w:val="18"/>
              </w:rPr>
              <w:t>&lt;</w:t>
            </w:r>
            <w:r w:rsidRPr="00E6523E">
              <w:rPr>
                <w:rFonts w:ascii="Corbel" w:hAnsi="Corbel" w:cs="Calibri"/>
                <w:sz w:val="18"/>
                <w:szCs w:val="18"/>
              </w:rPr>
              <w:t xml:space="preserve"> 0.001</w:t>
            </w:r>
          </w:p>
        </w:tc>
        <w:tc>
          <w:tcPr>
            <w:tcW w:w="944" w:type="dxa"/>
            <w:tcBorders>
              <w:bottom w:val="single" w:sz="4" w:space="0" w:color="auto"/>
            </w:tcBorders>
            <w:shd w:val="clear" w:color="auto" w:fill="auto"/>
            <w:noWrap/>
            <w:vAlign w:val="center"/>
          </w:tcPr>
          <w:p w14:paraId="42D34656" w14:textId="77777777" w:rsidR="00E30685" w:rsidRDefault="00E30685" w:rsidP="00E730DF">
            <w:pPr>
              <w:jc w:val="center"/>
              <w:rPr>
                <w:rFonts w:ascii="Corbel" w:hAnsi="Corbel" w:cs="Calibri"/>
                <w:sz w:val="18"/>
                <w:szCs w:val="18"/>
              </w:rPr>
            </w:pPr>
          </w:p>
        </w:tc>
      </w:tr>
    </w:tbl>
    <w:p w14:paraId="73A8638C" w14:textId="77777777" w:rsidR="00E30685" w:rsidRDefault="00E30685" w:rsidP="00E30685"/>
    <w:p w14:paraId="1DFFDB83" w14:textId="77777777" w:rsidR="00E30685" w:rsidRDefault="00E30685" w:rsidP="00E30685"/>
    <w:p w14:paraId="7B94E868" w14:textId="77777777" w:rsidR="00E30685" w:rsidRDefault="00E30685" w:rsidP="00E30685"/>
    <w:p w14:paraId="1AA4EA59" w14:textId="77777777" w:rsidR="00E30685" w:rsidRDefault="00E30685" w:rsidP="00E30685"/>
    <w:p w14:paraId="68D930C6" w14:textId="77777777" w:rsidR="00E30685" w:rsidRDefault="00E30685" w:rsidP="00D87925">
      <w:pPr>
        <w:pStyle w:val="Caption"/>
        <w:spacing w:after="0" w:line="480" w:lineRule="auto"/>
        <w:rPr>
          <w:i w:val="0"/>
          <w:iCs w:val="0"/>
          <w:color w:val="000000" w:themeColor="text1"/>
          <w:sz w:val="22"/>
          <w:szCs w:val="22"/>
        </w:rPr>
      </w:pPr>
    </w:p>
    <w:p w14:paraId="76F93471" w14:textId="77777777" w:rsidR="00E30685" w:rsidRDefault="00E30685" w:rsidP="00D87925">
      <w:pPr>
        <w:pStyle w:val="Caption"/>
        <w:spacing w:after="0" w:line="480" w:lineRule="auto"/>
        <w:rPr>
          <w:i w:val="0"/>
          <w:iCs w:val="0"/>
          <w:color w:val="000000" w:themeColor="text1"/>
          <w:sz w:val="22"/>
          <w:szCs w:val="22"/>
        </w:rPr>
      </w:pPr>
    </w:p>
    <w:p w14:paraId="151FB193" w14:textId="77777777" w:rsidR="00E30685" w:rsidRDefault="00E30685" w:rsidP="00D87925">
      <w:pPr>
        <w:pStyle w:val="Caption"/>
        <w:spacing w:after="0" w:line="480" w:lineRule="auto"/>
        <w:rPr>
          <w:i w:val="0"/>
          <w:iCs w:val="0"/>
          <w:color w:val="000000" w:themeColor="text1"/>
          <w:sz w:val="22"/>
          <w:szCs w:val="22"/>
        </w:rPr>
      </w:pPr>
    </w:p>
    <w:p w14:paraId="3B987235" w14:textId="3DB91446" w:rsidR="00D87925" w:rsidRPr="00137214" w:rsidRDefault="00D87925" w:rsidP="00D87925">
      <w:pPr>
        <w:pStyle w:val="Caption"/>
        <w:spacing w:after="0" w:line="480" w:lineRule="auto"/>
        <w:rPr>
          <w:i w:val="0"/>
          <w:iCs w:val="0"/>
          <w:color w:val="000000" w:themeColor="text1"/>
          <w:sz w:val="22"/>
          <w:szCs w:val="22"/>
        </w:rPr>
      </w:pPr>
      <w:r w:rsidRPr="00137214">
        <w:rPr>
          <w:i w:val="0"/>
          <w:iCs w:val="0"/>
          <w:color w:val="000000" w:themeColor="text1"/>
          <w:sz w:val="22"/>
          <w:szCs w:val="22"/>
        </w:rPr>
        <w:t xml:space="preserve">Table </w:t>
      </w:r>
      <w:r w:rsidR="008557EA">
        <w:rPr>
          <w:i w:val="0"/>
          <w:iCs w:val="0"/>
          <w:color w:val="000000" w:themeColor="text1"/>
          <w:sz w:val="22"/>
          <w:szCs w:val="22"/>
        </w:rPr>
        <w:t>2</w:t>
      </w:r>
      <w:r w:rsidRPr="00137214">
        <w:rPr>
          <w:i w:val="0"/>
          <w:iCs w:val="0"/>
          <w:color w:val="000000" w:themeColor="text1"/>
          <w:sz w:val="22"/>
          <w:szCs w:val="22"/>
        </w:rPr>
        <w:t xml:space="preserve">: Categories of factors that are expected to explain WTP for pesticide risk reductions </w:t>
      </w:r>
    </w:p>
    <w:tbl>
      <w:tblPr>
        <w:tblW w:w="9073" w:type="dxa"/>
        <w:jc w:val="center"/>
        <w:tblLook w:val="04A0" w:firstRow="1" w:lastRow="0" w:firstColumn="1" w:lastColumn="0" w:noHBand="0" w:noVBand="1"/>
      </w:tblPr>
      <w:tblGrid>
        <w:gridCol w:w="9073"/>
      </w:tblGrid>
      <w:tr w:rsidR="00D87925" w:rsidRPr="009F680B" w14:paraId="6D7341B0" w14:textId="77777777" w:rsidTr="00E730DF">
        <w:trPr>
          <w:trHeight w:val="300"/>
          <w:jc w:val="center"/>
        </w:trPr>
        <w:tc>
          <w:tcPr>
            <w:tcW w:w="9073" w:type="dxa"/>
            <w:tcBorders>
              <w:top w:val="single" w:sz="4" w:space="0" w:color="auto"/>
              <w:left w:val="nil"/>
              <w:bottom w:val="single" w:sz="6" w:space="0" w:color="auto"/>
              <w:right w:val="nil"/>
            </w:tcBorders>
            <w:shd w:val="clear" w:color="auto" w:fill="auto"/>
            <w:noWrap/>
            <w:vAlign w:val="center"/>
            <w:hideMark/>
          </w:tcPr>
          <w:p w14:paraId="62623AB6" w14:textId="77777777" w:rsidR="00D87925" w:rsidRPr="009F680B" w:rsidRDefault="00D87925" w:rsidP="00E730DF">
            <w:pPr>
              <w:jc w:val="center"/>
              <w:rPr>
                <w:rFonts w:ascii="Corbel" w:hAnsi="Corbel" w:cs="Calibri"/>
                <w:i/>
                <w:iCs/>
                <w:color w:val="000000"/>
                <w:sz w:val="18"/>
                <w:szCs w:val="20"/>
              </w:rPr>
            </w:pPr>
            <w:r w:rsidRPr="009F680B">
              <w:rPr>
                <w:rFonts w:ascii="Corbel" w:hAnsi="Corbel" w:cs="Calibri"/>
                <w:i/>
                <w:iCs/>
                <w:color w:val="000000"/>
                <w:sz w:val="18"/>
                <w:szCs w:val="20"/>
              </w:rPr>
              <w:t>Moderator category and definition of explanatory variables</w:t>
            </w:r>
          </w:p>
        </w:tc>
      </w:tr>
      <w:tr w:rsidR="00D87925" w:rsidRPr="009F680B" w14:paraId="55B68446" w14:textId="77777777" w:rsidTr="00E730DF">
        <w:trPr>
          <w:trHeight w:val="244"/>
          <w:jc w:val="center"/>
        </w:trPr>
        <w:tc>
          <w:tcPr>
            <w:tcW w:w="9073" w:type="dxa"/>
            <w:tcBorders>
              <w:top w:val="single" w:sz="6" w:space="0" w:color="auto"/>
              <w:left w:val="nil"/>
              <w:bottom w:val="single" w:sz="6" w:space="0" w:color="auto"/>
              <w:right w:val="nil"/>
            </w:tcBorders>
            <w:shd w:val="clear" w:color="auto" w:fill="auto"/>
            <w:noWrap/>
            <w:vAlign w:val="center"/>
          </w:tcPr>
          <w:p w14:paraId="79ABFA84" w14:textId="77777777" w:rsidR="00D87925" w:rsidRPr="00981AC1" w:rsidRDefault="00D87925" w:rsidP="00E730DF">
            <w:pPr>
              <w:ind w:left="36"/>
              <w:rPr>
                <w:rFonts w:ascii="Corbel" w:hAnsi="Corbel" w:cs="Calibri"/>
                <w:b/>
                <w:bCs/>
                <w:color w:val="000000"/>
                <w:sz w:val="18"/>
                <w:szCs w:val="18"/>
                <w:u w:val="single"/>
              </w:rPr>
            </w:pPr>
            <w:r>
              <w:rPr>
                <w:rFonts w:ascii="Corbel" w:hAnsi="Corbel" w:cs="Calibri"/>
                <w:b/>
                <w:bCs/>
                <w:color w:val="000000"/>
                <w:sz w:val="18"/>
                <w:szCs w:val="18"/>
                <w:u w:val="single"/>
              </w:rPr>
              <w:t>Good</w:t>
            </w:r>
            <w:r w:rsidRPr="00981AC1">
              <w:rPr>
                <w:rFonts w:ascii="Corbel" w:hAnsi="Corbel" w:cs="Calibri"/>
                <w:b/>
                <w:bCs/>
                <w:color w:val="000000"/>
                <w:sz w:val="18"/>
                <w:szCs w:val="18"/>
                <w:u w:val="single"/>
              </w:rPr>
              <w:t xml:space="preserve"> </w:t>
            </w:r>
            <w:r>
              <w:rPr>
                <w:rFonts w:ascii="Corbel" w:hAnsi="Corbel" w:cs="Calibri"/>
                <w:b/>
                <w:bCs/>
                <w:color w:val="000000"/>
                <w:sz w:val="18"/>
                <w:szCs w:val="18"/>
                <w:u w:val="single"/>
              </w:rPr>
              <w:t>characteristics</w:t>
            </w:r>
          </w:p>
        </w:tc>
      </w:tr>
      <w:tr w:rsidR="00D87925" w:rsidRPr="009F680B" w14:paraId="758D3613" w14:textId="77777777" w:rsidTr="00E730DF">
        <w:trPr>
          <w:trHeight w:val="244"/>
          <w:jc w:val="center"/>
        </w:trPr>
        <w:tc>
          <w:tcPr>
            <w:tcW w:w="9073" w:type="dxa"/>
            <w:tcBorders>
              <w:top w:val="single" w:sz="6" w:space="0" w:color="auto"/>
              <w:left w:val="nil"/>
              <w:bottom w:val="nil"/>
              <w:right w:val="nil"/>
            </w:tcBorders>
            <w:shd w:val="clear" w:color="auto" w:fill="auto"/>
            <w:noWrap/>
            <w:vAlign w:val="center"/>
          </w:tcPr>
          <w:p w14:paraId="55FD680A" w14:textId="77777777" w:rsidR="00D87925" w:rsidRPr="00981AC1" w:rsidRDefault="00D87925" w:rsidP="00E730DF">
            <w:pPr>
              <w:ind w:left="178"/>
              <w:rPr>
                <w:rFonts w:ascii="Corbel" w:hAnsi="Corbel" w:cs="Calibri"/>
                <w:b/>
                <w:bCs/>
                <w:color w:val="000000"/>
                <w:sz w:val="18"/>
                <w:szCs w:val="18"/>
              </w:rPr>
            </w:pPr>
            <w:r w:rsidRPr="00981AC1">
              <w:rPr>
                <w:rFonts w:ascii="Corbel" w:hAnsi="Corbel" w:cs="Calibri"/>
                <w:b/>
                <w:bCs/>
                <w:color w:val="000000"/>
                <w:sz w:val="18"/>
                <w:szCs w:val="18"/>
              </w:rPr>
              <w:t>Risk levels</w:t>
            </w:r>
          </w:p>
        </w:tc>
      </w:tr>
      <w:tr w:rsidR="00D87925" w:rsidRPr="009F680B" w14:paraId="1F44E9E3" w14:textId="77777777" w:rsidTr="00E730DF">
        <w:trPr>
          <w:trHeight w:val="176"/>
          <w:jc w:val="center"/>
        </w:trPr>
        <w:tc>
          <w:tcPr>
            <w:tcW w:w="9073" w:type="dxa"/>
            <w:tcBorders>
              <w:top w:val="nil"/>
              <w:left w:val="nil"/>
              <w:bottom w:val="nil"/>
              <w:right w:val="nil"/>
            </w:tcBorders>
            <w:shd w:val="clear" w:color="auto" w:fill="auto"/>
            <w:vAlign w:val="center"/>
          </w:tcPr>
          <w:p w14:paraId="45606D10" w14:textId="77777777" w:rsidR="00D87925" w:rsidRPr="00974901" w:rsidRDefault="00D87925" w:rsidP="00E730DF">
            <w:pPr>
              <w:ind w:left="320"/>
              <w:rPr>
                <w:rFonts w:ascii="Corbel" w:hAnsi="Corbel" w:cs="Calibri"/>
                <w:color w:val="000000"/>
                <w:sz w:val="18"/>
                <w:szCs w:val="18"/>
              </w:rPr>
            </w:pPr>
            <w:proofErr w:type="spellStart"/>
            <w:r w:rsidRPr="009F680B">
              <w:rPr>
                <w:rFonts w:ascii="Corbel" w:hAnsi="Corbel" w:cs="Calibri"/>
                <w:i/>
                <w:iCs/>
                <w:color w:val="000000"/>
                <w:sz w:val="18"/>
                <w:szCs w:val="18"/>
              </w:rPr>
              <w:t>high_risk</w:t>
            </w:r>
            <w:proofErr w:type="spellEnd"/>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 =1 when the standardized baseline risk level from the primary study </w:t>
            </w:r>
            <w:r>
              <w:rPr>
                <w:rFonts w:ascii="Corbel" w:hAnsi="Corbel" w:cs="Calibri"/>
                <w:color w:val="000000"/>
                <w:sz w:val="18"/>
                <w:szCs w:val="18"/>
              </w:rPr>
              <w:t>was</w:t>
            </w:r>
            <w:r w:rsidRPr="009F680B">
              <w:rPr>
                <w:rFonts w:ascii="Corbel" w:hAnsi="Corbel" w:cs="Calibri"/>
                <w:color w:val="000000"/>
                <w:sz w:val="18"/>
                <w:szCs w:val="18"/>
              </w:rPr>
              <w:t xml:space="preserve"> high</w:t>
            </w:r>
          </w:p>
        </w:tc>
      </w:tr>
      <w:tr w:rsidR="00D87925" w:rsidRPr="009F680B" w14:paraId="31B215D9" w14:textId="77777777" w:rsidTr="00E730DF">
        <w:trPr>
          <w:trHeight w:val="176"/>
          <w:jc w:val="center"/>
        </w:trPr>
        <w:tc>
          <w:tcPr>
            <w:tcW w:w="9073" w:type="dxa"/>
            <w:tcBorders>
              <w:top w:val="nil"/>
              <w:left w:val="nil"/>
              <w:bottom w:val="nil"/>
              <w:right w:val="nil"/>
            </w:tcBorders>
            <w:shd w:val="clear" w:color="auto" w:fill="auto"/>
            <w:vAlign w:val="center"/>
          </w:tcPr>
          <w:p w14:paraId="31CD7299" w14:textId="77777777" w:rsidR="00D87925" w:rsidRPr="009F680B" w:rsidRDefault="00D87925" w:rsidP="00E730DF">
            <w:pPr>
              <w:ind w:left="320"/>
              <w:rPr>
                <w:rFonts w:ascii="Corbel" w:hAnsi="Corbel" w:cs="Calibri"/>
                <w:i/>
                <w:iCs/>
                <w:color w:val="000000"/>
                <w:sz w:val="18"/>
                <w:szCs w:val="18"/>
              </w:rPr>
            </w:pPr>
            <w:r w:rsidRPr="009F680B">
              <w:rPr>
                <w:rFonts w:ascii="Corbel" w:hAnsi="Corbel" w:cs="Calibri"/>
                <w:i/>
                <w:iCs/>
                <w:color w:val="000000"/>
                <w:sz w:val="18"/>
                <w:szCs w:val="18"/>
              </w:rPr>
              <w:t>med_risk:</w:t>
            </w:r>
            <w:r w:rsidRPr="009F680B">
              <w:rPr>
                <w:rFonts w:ascii="Corbel" w:hAnsi="Corbel" w:cs="Calibri"/>
                <w:color w:val="000000"/>
                <w:sz w:val="18"/>
                <w:szCs w:val="18"/>
              </w:rPr>
              <w:t xml:space="preserve"> dummy variable =1 when the standardized baseline risk level from the primary study </w:t>
            </w:r>
            <w:r>
              <w:rPr>
                <w:rFonts w:ascii="Corbel" w:hAnsi="Corbel" w:cs="Calibri"/>
                <w:color w:val="000000"/>
                <w:sz w:val="18"/>
                <w:szCs w:val="18"/>
              </w:rPr>
              <w:t>was</w:t>
            </w:r>
            <w:r w:rsidRPr="009F680B">
              <w:rPr>
                <w:rFonts w:ascii="Corbel" w:hAnsi="Corbel" w:cs="Calibri"/>
                <w:color w:val="000000"/>
                <w:sz w:val="18"/>
                <w:szCs w:val="18"/>
              </w:rPr>
              <w:t xml:space="preserve"> medium</w:t>
            </w:r>
          </w:p>
        </w:tc>
      </w:tr>
      <w:tr w:rsidR="00D87925" w:rsidRPr="009F680B" w14:paraId="5F95DEE8" w14:textId="77777777" w:rsidTr="00E730DF">
        <w:trPr>
          <w:trHeight w:val="235"/>
          <w:jc w:val="center"/>
        </w:trPr>
        <w:tc>
          <w:tcPr>
            <w:tcW w:w="9073" w:type="dxa"/>
            <w:tcBorders>
              <w:top w:val="nil"/>
              <w:left w:val="nil"/>
              <w:right w:val="nil"/>
            </w:tcBorders>
            <w:shd w:val="clear" w:color="auto" w:fill="auto"/>
            <w:vAlign w:val="center"/>
          </w:tcPr>
          <w:p w14:paraId="17FCFD80" w14:textId="77777777" w:rsidR="00D87925" w:rsidRPr="009F680B" w:rsidRDefault="00D87925" w:rsidP="00E730DF">
            <w:pPr>
              <w:ind w:left="320"/>
              <w:rPr>
                <w:rFonts w:ascii="Corbel" w:hAnsi="Corbel" w:cs="Calibri"/>
                <w:i/>
                <w:iCs/>
                <w:color w:val="000000"/>
                <w:sz w:val="18"/>
                <w:szCs w:val="18"/>
              </w:rPr>
            </w:pPr>
            <w:proofErr w:type="spellStart"/>
            <w:r w:rsidRPr="009F680B">
              <w:rPr>
                <w:rFonts w:ascii="Corbel" w:hAnsi="Corbel" w:cs="Calibri"/>
                <w:i/>
                <w:iCs/>
                <w:color w:val="000000"/>
                <w:sz w:val="18"/>
                <w:szCs w:val="18"/>
              </w:rPr>
              <w:t>low_risk</w:t>
            </w:r>
            <w:proofErr w:type="spellEnd"/>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 =1 when the standardized baseline risk level from the primary study </w:t>
            </w:r>
            <w:r>
              <w:rPr>
                <w:rFonts w:ascii="Corbel" w:hAnsi="Corbel" w:cs="Calibri"/>
                <w:color w:val="000000"/>
                <w:sz w:val="18"/>
                <w:szCs w:val="18"/>
              </w:rPr>
              <w:t>was</w:t>
            </w:r>
            <w:r w:rsidRPr="009F680B">
              <w:rPr>
                <w:rFonts w:ascii="Corbel" w:hAnsi="Corbel" w:cs="Calibri"/>
                <w:color w:val="000000"/>
                <w:sz w:val="18"/>
                <w:szCs w:val="18"/>
              </w:rPr>
              <w:t xml:space="preserve"> low</w:t>
            </w:r>
          </w:p>
        </w:tc>
      </w:tr>
      <w:tr w:rsidR="00D87925" w:rsidRPr="009F680B" w14:paraId="60FB8414" w14:textId="77777777" w:rsidTr="00E730DF">
        <w:trPr>
          <w:trHeight w:val="97"/>
          <w:jc w:val="center"/>
        </w:trPr>
        <w:tc>
          <w:tcPr>
            <w:tcW w:w="9073" w:type="dxa"/>
            <w:tcBorders>
              <w:left w:val="nil"/>
              <w:bottom w:val="nil"/>
              <w:right w:val="nil"/>
            </w:tcBorders>
            <w:shd w:val="clear" w:color="auto" w:fill="auto"/>
            <w:vAlign w:val="center"/>
          </w:tcPr>
          <w:p w14:paraId="13954818" w14:textId="77777777" w:rsidR="00D87925" w:rsidRPr="00DB69C2" w:rsidRDefault="00D87925" w:rsidP="00E730DF">
            <w:pPr>
              <w:ind w:left="326"/>
              <w:rPr>
                <w:rFonts w:ascii="Corbel" w:hAnsi="Corbel" w:cs="Calibri"/>
                <w:i/>
                <w:iCs/>
                <w:sz w:val="18"/>
                <w:szCs w:val="18"/>
              </w:rPr>
            </w:pPr>
            <w:proofErr w:type="spellStart"/>
            <w:r w:rsidRPr="00DB69C2">
              <w:rPr>
                <w:rFonts w:ascii="Corbel" w:hAnsi="Corbel" w:cs="Calibri"/>
                <w:i/>
                <w:iCs/>
                <w:sz w:val="18"/>
                <w:szCs w:val="18"/>
              </w:rPr>
              <w:t>no_risk_specified</w:t>
            </w:r>
            <w:proofErr w:type="spellEnd"/>
            <w:r w:rsidRPr="00DB69C2">
              <w:rPr>
                <w:rFonts w:ascii="Corbel" w:hAnsi="Corbel" w:cs="Calibri"/>
                <w:i/>
                <w:iCs/>
                <w:sz w:val="18"/>
                <w:szCs w:val="18"/>
              </w:rPr>
              <w:t>:</w:t>
            </w:r>
            <w:r w:rsidRPr="00DB69C2">
              <w:rPr>
                <w:rFonts w:ascii="Corbel" w:hAnsi="Corbel" w:cs="Calibri"/>
                <w:sz w:val="18"/>
                <w:szCs w:val="18"/>
              </w:rPr>
              <w:t xml:space="preserve"> dummy variable =1 when the primary study failed to provide a baseline risk level, and alternative sources do not </w:t>
            </w:r>
            <w:r>
              <w:rPr>
                <w:rFonts w:ascii="Corbel" w:hAnsi="Corbel" w:cs="Calibri"/>
                <w:sz w:val="18"/>
                <w:szCs w:val="18"/>
              </w:rPr>
              <w:t>have</w:t>
            </w:r>
            <w:r w:rsidRPr="00DB69C2">
              <w:rPr>
                <w:rFonts w:ascii="Corbel" w:hAnsi="Corbel" w:cs="Calibri"/>
                <w:sz w:val="18"/>
                <w:szCs w:val="18"/>
              </w:rPr>
              <w:t xml:space="preserve"> this information (e.g., WTP for organic or pesticide-free produce)</w:t>
            </w:r>
          </w:p>
        </w:tc>
      </w:tr>
      <w:tr w:rsidR="00D87925" w:rsidRPr="009F680B" w14:paraId="1DA962F4" w14:textId="77777777" w:rsidTr="00E730DF">
        <w:trPr>
          <w:trHeight w:val="300"/>
          <w:jc w:val="center"/>
        </w:trPr>
        <w:tc>
          <w:tcPr>
            <w:tcW w:w="9073" w:type="dxa"/>
            <w:tcBorders>
              <w:top w:val="nil"/>
              <w:left w:val="nil"/>
              <w:bottom w:val="nil"/>
              <w:right w:val="nil"/>
            </w:tcBorders>
            <w:shd w:val="clear" w:color="auto" w:fill="auto"/>
            <w:vAlign w:val="center"/>
          </w:tcPr>
          <w:p w14:paraId="2C06D86C" w14:textId="77777777" w:rsidR="00D87925" w:rsidRPr="009F680B" w:rsidRDefault="00D87925" w:rsidP="00E730DF">
            <w:pPr>
              <w:ind w:left="174"/>
              <w:rPr>
                <w:rFonts w:ascii="Corbel" w:hAnsi="Corbel" w:cs="Calibri"/>
                <w:i/>
                <w:iCs/>
                <w:color w:val="000000"/>
                <w:sz w:val="18"/>
                <w:szCs w:val="18"/>
              </w:rPr>
            </w:pPr>
            <w:proofErr w:type="spellStart"/>
            <w:r>
              <w:rPr>
                <w:rFonts w:ascii="Corbel" w:hAnsi="Corbel" w:cs="Calibri"/>
                <w:i/>
                <w:iCs/>
                <w:color w:val="000000"/>
                <w:sz w:val="18"/>
                <w:szCs w:val="18"/>
              </w:rPr>
              <w:t>risk_elimination</w:t>
            </w:r>
            <w:proofErr w:type="spellEnd"/>
            <w:r>
              <w:rPr>
                <w:rFonts w:ascii="Corbel" w:hAnsi="Corbel" w:cs="Calibri"/>
                <w:i/>
                <w:iCs/>
                <w:color w:val="000000"/>
                <w:sz w:val="18"/>
                <w:szCs w:val="18"/>
              </w:rPr>
              <w:t xml:space="preserve">: </w:t>
            </w:r>
            <w:r>
              <w:rPr>
                <w:rFonts w:ascii="Corbel" w:hAnsi="Corbel" w:cs="Calibri"/>
                <w:color w:val="000000"/>
                <w:sz w:val="18"/>
                <w:szCs w:val="18"/>
              </w:rPr>
              <w:t>dummy variable =1 when the WTP scenario was framed as elimination of the risk from pesticides, =0 for a reduction scenario</w:t>
            </w:r>
          </w:p>
        </w:tc>
      </w:tr>
      <w:tr w:rsidR="00D87925" w:rsidRPr="009F680B" w14:paraId="45D0A3BF" w14:textId="77777777" w:rsidTr="00E730DF">
        <w:trPr>
          <w:trHeight w:val="187"/>
          <w:jc w:val="center"/>
        </w:trPr>
        <w:tc>
          <w:tcPr>
            <w:tcW w:w="9073" w:type="dxa"/>
            <w:tcBorders>
              <w:top w:val="nil"/>
              <w:left w:val="nil"/>
              <w:bottom w:val="nil"/>
              <w:right w:val="nil"/>
            </w:tcBorders>
            <w:shd w:val="clear" w:color="auto" w:fill="auto"/>
            <w:vAlign w:val="center"/>
          </w:tcPr>
          <w:p w14:paraId="0645FB91" w14:textId="77777777" w:rsidR="00D87925" w:rsidRPr="009F680B" w:rsidRDefault="00D87925" w:rsidP="00E730DF">
            <w:pPr>
              <w:ind w:left="178" w:hanging="36"/>
              <w:rPr>
                <w:rFonts w:ascii="Corbel" w:hAnsi="Corbel" w:cs="Calibri"/>
                <w:color w:val="000000"/>
                <w:sz w:val="18"/>
                <w:szCs w:val="18"/>
                <w:u w:val="single"/>
              </w:rPr>
            </w:pPr>
            <w:r>
              <w:rPr>
                <w:rFonts w:ascii="Corbel" w:hAnsi="Corbel" w:cs="Calibri"/>
                <w:b/>
                <w:bCs/>
                <w:color w:val="000000"/>
                <w:sz w:val="18"/>
                <w:szCs w:val="18"/>
              </w:rPr>
              <w:t>Risk impacts</w:t>
            </w:r>
          </w:p>
        </w:tc>
      </w:tr>
      <w:tr w:rsidR="00D87925" w:rsidRPr="009F680B" w14:paraId="15F321E0" w14:textId="77777777" w:rsidTr="00E730DF">
        <w:trPr>
          <w:trHeight w:val="187"/>
          <w:jc w:val="center"/>
        </w:trPr>
        <w:tc>
          <w:tcPr>
            <w:tcW w:w="9073" w:type="dxa"/>
            <w:tcBorders>
              <w:top w:val="nil"/>
              <w:left w:val="nil"/>
              <w:bottom w:val="nil"/>
              <w:right w:val="nil"/>
            </w:tcBorders>
            <w:shd w:val="clear" w:color="auto" w:fill="auto"/>
            <w:vAlign w:val="center"/>
            <w:hideMark/>
          </w:tcPr>
          <w:p w14:paraId="7026A775" w14:textId="77777777" w:rsidR="00D87925" w:rsidRPr="009F680B" w:rsidRDefault="00D87925" w:rsidP="00E730DF">
            <w:pPr>
              <w:ind w:left="142"/>
              <w:rPr>
                <w:rFonts w:ascii="Corbel" w:hAnsi="Corbel" w:cs="Calibri"/>
                <w:color w:val="000000"/>
                <w:sz w:val="18"/>
                <w:szCs w:val="18"/>
                <w:u w:val="single"/>
              </w:rPr>
            </w:pPr>
            <w:r w:rsidRPr="009F680B">
              <w:rPr>
                <w:rFonts w:ascii="Corbel" w:hAnsi="Corbel" w:cs="Calibri"/>
                <w:color w:val="000000"/>
                <w:sz w:val="18"/>
                <w:szCs w:val="18"/>
                <w:u w:val="single"/>
              </w:rPr>
              <w:t>Human health</w:t>
            </w:r>
          </w:p>
        </w:tc>
      </w:tr>
      <w:tr w:rsidR="00D87925" w:rsidRPr="009F680B" w14:paraId="368C34E1" w14:textId="77777777" w:rsidTr="00E730DF">
        <w:trPr>
          <w:trHeight w:val="227"/>
          <w:jc w:val="center"/>
        </w:trPr>
        <w:tc>
          <w:tcPr>
            <w:tcW w:w="9073" w:type="dxa"/>
            <w:tcBorders>
              <w:top w:val="nil"/>
              <w:left w:val="nil"/>
              <w:bottom w:val="nil"/>
              <w:right w:val="nil"/>
            </w:tcBorders>
            <w:shd w:val="clear" w:color="auto" w:fill="auto"/>
            <w:vAlign w:val="center"/>
            <w:hideMark/>
          </w:tcPr>
          <w:p w14:paraId="2B675748" w14:textId="77777777" w:rsidR="00D87925" w:rsidRPr="009F680B" w:rsidRDefault="00D87925" w:rsidP="00E730DF">
            <w:pPr>
              <w:ind w:left="284"/>
              <w:rPr>
                <w:rFonts w:ascii="Corbel" w:hAnsi="Corbel" w:cs="Calibri"/>
                <w:i/>
                <w:iCs/>
                <w:color w:val="000000"/>
                <w:sz w:val="18"/>
                <w:szCs w:val="18"/>
              </w:rPr>
            </w:pPr>
            <w:r w:rsidRPr="009F680B">
              <w:rPr>
                <w:rFonts w:ascii="Corbel" w:hAnsi="Corbel" w:cs="Calibri"/>
                <w:i/>
                <w:iCs/>
                <w:color w:val="000000"/>
                <w:sz w:val="18"/>
                <w:szCs w:val="18"/>
              </w:rPr>
              <w:t>cancer:</w:t>
            </w:r>
            <w:r w:rsidRPr="009F680B">
              <w:rPr>
                <w:rFonts w:ascii="Corbel" w:hAnsi="Corbel" w:cs="Calibri"/>
                <w:color w:val="000000"/>
                <w:sz w:val="18"/>
                <w:szCs w:val="18"/>
              </w:rPr>
              <w:t xml:space="preserve"> dummy variable =1 when risk from pesticides </w:t>
            </w:r>
            <w:r>
              <w:rPr>
                <w:rFonts w:ascii="Corbel" w:hAnsi="Corbel" w:cs="Calibri"/>
                <w:color w:val="000000"/>
                <w:sz w:val="18"/>
                <w:szCs w:val="18"/>
              </w:rPr>
              <w:t>was</w:t>
            </w:r>
            <w:r w:rsidRPr="009F680B">
              <w:rPr>
                <w:rFonts w:ascii="Corbel" w:hAnsi="Corbel" w:cs="Calibri"/>
                <w:color w:val="000000"/>
                <w:sz w:val="18"/>
                <w:szCs w:val="18"/>
              </w:rPr>
              <w:t xml:space="preserve"> defined as risk of cancer to humans</w:t>
            </w:r>
          </w:p>
        </w:tc>
      </w:tr>
      <w:tr w:rsidR="00D87925" w:rsidRPr="009F680B" w14:paraId="08936EDA" w14:textId="77777777" w:rsidTr="00E730DF">
        <w:trPr>
          <w:trHeight w:val="227"/>
          <w:jc w:val="center"/>
        </w:trPr>
        <w:tc>
          <w:tcPr>
            <w:tcW w:w="9073" w:type="dxa"/>
            <w:tcBorders>
              <w:top w:val="nil"/>
              <w:left w:val="nil"/>
              <w:bottom w:val="nil"/>
              <w:right w:val="nil"/>
            </w:tcBorders>
            <w:shd w:val="clear" w:color="auto" w:fill="auto"/>
            <w:vAlign w:val="center"/>
            <w:hideMark/>
          </w:tcPr>
          <w:p w14:paraId="3BD57FC5" w14:textId="77777777" w:rsidR="00D87925" w:rsidRPr="009F680B" w:rsidRDefault="00D87925" w:rsidP="00E730DF">
            <w:pPr>
              <w:ind w:left="320"/>
              <w:rPr>
                <w:rFonts w:ascii="Corbel" w:hAnsi="Corbel" w:cs="Calibri"/>
                <w:i/>
                <w:iCs/>
                <w:color w:val="000000"/>
                <w:sz w:val="18"/>
                <w:szCs w:val="18"/>
              </w:rPr>
            </w:pPr>
            <w:r w:rsidRPr="009F680B">
              <w:rPr>
                <w:rFonts w:ascii="Corbel" w:hAnsi="Corbel" w:cs="Calibri"/>
                <w:i/>
                <w:iCs/>
                <w:color w:val="000000"/>
                <w:sz w:val="18"/>
                <w:szCs w:val="18"/>
              </w:rPr>
              <w:t>chronic:</w:t>
            </w:r>
            <w:r w:rsidRPr="009F680B">
              <w:rPr>
                <w:rFonts w:ascii="Corbel" w:hAnsi="Corbel" w:cs="Calibri"/>
                <w:color w:val="000000"/>
                <w:sz w:val="18"/>
                <w:szCs w:val="18"/>
              </w:rPr>
              <w:t xml:space="preserve"> dummy variable =1 when risk from pesticides </w:t>
            </w:r>
            <w:r>
              <w:rPr>
                <w:rFonts w:ascii="Corbel" w:hAnsi="Corbel" w:cs="Calibri"/>
                <w:color w:val="000000"/>
                <w:sz w:val="18"/>
                <w:szCs w:val="18"/>
              </w:rPr>
              <w:t>was</w:t>
            </w:r>
            <w:r w:rsidRPr="009F680B">
              <w:rPr>
                <w:rFonts w:ascii="Corbel" w:hAnsi="Corbel" w:cs="Calibri"/>
                <w:color w:val="000000"/>
                <w:sz w:val="18"/>
                <w:szCs w:val="18"/>
              </w:rPr>
              <w:t xml:space="preserve"> defined as chronic health effects</w:t>
            </w:r>
          </w:p>
        </w:tc>
      </w:tr>
      <w:tr w:rsidR="00D87925" w:rsidRPr="009F680B" w14:paraId="5EBAC311" w14:textId="77777777" w:rsidTr="00E730DF">
        <w:trPr>
          <w:trHeight w:val="227"/>
          <w:jc w:val="center"/>
        </w:trPr>
        <w:tc>
          <w:tcPr>
            <w:tcW w:w="9073" w:type="dxa"/>
            <w:tcBorders>
              <w:top w:val="nil"/>
              <w:left w:val="nil"/>
              <w:bottom w:val="nil"/>
              <w:right w:val="nil"/>
            </w:tcBorders>
            <w:shd w:val="clear" w:color="auto" w:fill="auto"/>
            <w:vAlign w:val="center"/>
            <w:hideMark/>
          </w:tcPr>
          <w:p w14:paraId="1B106336" w14:textId="77777777" w:rsidR="00D87925" w:rsidRPr="009F680B" w:rsidRDefault="00D87925" w:rsidP="00E730DF">
            <w:pPr>
              <w:ind w:left="320"/>
              <w:rPr>
                <w:rFonts w:ascii="Corbel" w:hAnsi="Corbel" w:cs="Calibri"/>
                <w:i/>
                <w:iCs/>
                <w:color w:val="000000"/>
                <w:sz w:val="18"/>
                <w:szCs w:val="18"/>
              </w:rPr>
            </w:pPr>
            <w:r w:rsidRPr="009F680B">
              <w:rPr>
                <w:rFonts w:ascii="Corbel" w:hAnsi="Corbel" w:cs="Calibri"/>
                <w:i/>
                <w:iCs/>
                <w:color w:val="000000"/>
                <w:sz w:val="18"/>
                <w:szCs w:val="18"/>
              </w:rPr>
              <w:t>acute:</w:t>
            </w:r>
            <w:r w:rsidRPr="009F680B">
              <w:rPr>
                <w:rFonts w:ascii="Corbel" w:hAnsi="Corbel" w:cs="Calibri"/>
                <w:color w:val="000000"/>
                <w:sz w:val="18"/>
                <w:szCs w:val="18"/>
              </w:rPr>
              <w:t xml:space="preserve"> dummy variable =1 when risk from pesticides </w:t>
            </w:r>
            <w:r>
              <w:rPr>
                <w:rFonts w:ascii="Corbel" w:hAnsi="Corbel" w:cs="Calibri"/>
                <w:color w:val="000000"/>
                <w:sz w:val="18"/>
                <w:szCs w:val="18"/>
              </w:rPr>
              <w:t>was</w:t>
            </w:r>
            <w:r w:rsidRPr="009F680B">
              <w:rPr>
                <w:rFonts w:ascii="Corbel" w:hAnsi="Corbel" w:cs="Calibri"/>
                <w:color w:val="000000"/>
                <w:sz w:val="18"/>
                <w:szCs w:val="18"/>
              </w:rPr>
              <w:t xml:space="preserve"> defined as acute health effects </w:t>
            </w:r>
          </w:p>
        </w:tc>
      </w:tr>
      <w:tr w:rsidR="00D87925" w:rsidRPr="009F680B" w14:paraId="793E0A4B" w14:textId="77777777" w:rsidTr="00E730DF">
        <w:trPr>
          <w:trHeight w:val="227"/>
          <w:jc w:val="center"/>
        </w:trPr>
        <w:tc>
          <w:tcPr>
            <w:tcW w:w="9073" w:type="dxa"/>
            <w:tcBorders>
              <w:top w:val="nil"/>
              <w:left w:val="nil"/>
              <w:bottom w:val="nil"/>
              <w:right w:val="nil"/>
            </w:tcBorders>
            <w:shd w:val="clear" w:color="auto" w:fill="auto"/>
            <w:vAlign w:val="center"/>
            <w:hideMark/>
          </w:tcPr>
          <w:p w14:paraId="3DDA42B6" w14:textId="77777777" w:rsidR="00D87925" w:rsidRPr="009F680B" w:rsidRDefault="00D87925" w:rsidP="00E730DF">
            <w:pPr>
              <w:ind w:left="320"/>
              <w:rPr>
                <w:rFonts w:ascii="Corbel" w:hAnsi="Corbel" w:cs="Calibri"/>
                <w:i/>
                <w:iCs/>
                <w:color w:val="000000"/>
                <w:sz w:val="18"/>
                <w:szCs w:val="18"/>
              </w:rPr>
            </w:pPr>
            <w:proofErr w:type="spellStart"/>
            <w:r>
              <w:rPr>
                <w:rFonts w:ascii="Corbel" w:hAnsi="Corbel" w:cs="Calibri"/>
                <w:i/>
                <w:iCs/>
                <w:color w:val="000000"/>
                <w:sz w:val="18"/>
                <w:szCs w:val="18"/>
              </w:rPr>
              <w:t>unspecified</w:t>
            </w:r>
            <w:r w:rsidRPr="009F680B">
              <w:rPr>
                <w:rFonts w:ascii="Corbel" w:hAnsi="Corbel" w:cs="Calibri"/>
                <w:i/>
                <w:iCs/>
                <w:color w:val="000000"/>
                <w:sz w:val="18"/>
                <w:szCs w:val="18"/>
              </w:rPr>
              <w:t>_h</w:t>
            </w:r>
            <w:proofErr w:type="spellEnd"/>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 =1 when </w:t>
            </w:r>
            <w:r>
              <w:rPr>
                <w:rFonts w:ascii="Corbel" w:hAnsi="Corbel" w:cs="Calibri"/>
                <w:color w:val="000000"/>
                <w:sz w:val="18"/>
                <w:szCs w:val="18"/>
              </w:rPr>
              <w:t xml:space="preserve">human </w:t>
            </w:r>
            <w:r w:rsidRPr="009F680B">
              <w:rPr>
                <w:rFonts w:ascii="Corbel" w:hAnsi="Corbel" w:cs="Calibri"/>
                <w:color w:val="000000"/>
                <w:sz w:val="18"/>
                <w:szCs w:val="18"/>
              </w:rPr>
              <w:t>health risk</w:t>
            </w:r>
            <w:r>
              <w:rPr>
                <w:rFonts w:ascii="Corbel" w:hAnsi="Corbel" w:cs="Calibri"/>
                <w:color w:val="000000"/>
                <w:sz w:val="18"/>
                <w:szCs w:val="18"/>
              </w:rPr>
              <w:t>s</w:t>
            </w:r>
            <w:r w:rsidRPr="009F680B">
              <w:rPr>
                <w:rFonts w:ascii="Corbel" w:hAnsi="Corbel" w:cs="Calibri"/>
                <w:color w:val="000000"/>
                <w:sz w:val="18"/>
                <w:szCs w:val="18"/>
              </w:rPr>
              <w:t xml:space="preserve"> from pesticides </w:t>
            </w:r>
            <w:r>
              <w:rPr>
                <w:rFonts w:ascii="Corbel" w:hAnsi="Corbel" w:cs="Calibri"/>
                <w:color w:val="000000"/>
                <w:sz w:val="18"/>
                <w:szCs w:val="18"/>
              </w:rPr>
              <w:t>were</w:t>
            </w:r>
            <w:r w:rsidRPr="009F680B">
              <w:rPr>
                <w:rFonts w:ascii="Corbel" w:hAnsi="Corbel" w:cs="Calibri"/>
                <w:color w:val="000000"/>
                <w:sz w:val="18"/>
                <w:szCs w:val="18"/>
              </w:rPr>
              <w:t xml:space="preserve"> </w:t>
            </w:r>
            <w:r>
              <w:rPr>
                <w:rFonts w:ascii="Corbel" w:hAnsi="Corbel" w:cs="Calibri"/>
                <w:color w:val="000000"/>
                <w:sz w:val="18"/>
                <w:szCs w:val="18"/>
              </w:rPr>
              <w:t>unspecified</w:t>
            </w:r>
            <w:r w:rsidRPr="009F680B">
              <w:rPr>
                <w:rFonts w:ascii="Corbel" w:hAnsi="Corbel" w:cs="Calibri"/>
                <w:color w:val="000000"/>
                <w:sz w:val="18"/>
                <w:szCs w:val="18"/>
              </w:rPr>
              <w:t xml:space="preserve"> </w:t>
            </w:r>
          </w:p>
        </w:tc>
      </w:tr>
      <w:tr w:rsidR="00D87925" w:rsidRPr="009F680B" w14:paraId="000F5C2B" w14:textId="77777777" w:rsidTr="00E730DF">
        <w:trPr>
          <w:trHeight w:val="97"/>
          <w:jc w:val="center"/>
        </w:trPr>
        <w:tc>
          <w:tcPr>
            <w:tcW w:w="9073" w:type="dxa"/>
            <w:tcBorders>
              <w:top w:val="nil"/>
              <w:left w:val="nil"/>
              <w:bottom w:val="nil"/>
              <w:right w:val="nil"/>
            </w:tcBorders>
            <w:shd w:val="clear" w:color="auto" w:fill="auto"/>
            <w:vAlign w:val="center"/>
            <w:hideMark/>
          </w:tcPr>
          <w:p w14:paraId="5C1DD8B4" w14:textId="77777777" w:rsidR="00D87925" w:rsidRPr="009F680B" w:rsidRDefault="00D87925" w:rsidP="00E730DF">
            <w:pPr>
              <w:ind w:left="142"/>
              <w:rPr>
                <w:rFonts w:ascii="Corbel" w:hAnsi="Corbel" w:cs="Calibri"/>
                <w:color w:val="000000"/>
                <w:sz w:val="18"/>
                <w:szCs w:val="18"/>
                <w:u w:val="single"/>
              </w:rPr>
            </w:pPr>
            <w:r w:rsidRPr="009F680B">
              <w:rPr>
                <w:rFonts w:ascii="Corbel" w:hAnsi="Corbel" w:cs="Calibri"/>
                <w:color w:val="000000"/>
                <w:sz w:val="18"/>
                <w:szCs w:val="18"/>
                <w:u w:val="single"/>
              </w:rPr>
              <w:t>Environmen</w:t>
            </w:r>
            <w:r>
              <w:rPr>
                <w:rFonts w:ascii="Corbel" w:hAnsi="Corbel" w:cs="Calibri"/>
                <w:color w:val="000000"/>
                <w:sz w:val="18"/>
                <w:szCs w:val="18"/>
                <w:u w:val="single"/>
              </w:rPr>
              <w:t>t</w:t>
            </w:r>
          </w:p>
        </w:tc>
      </w:tr>
      <w:tr w:rsidR="00D87925" w:rsidRPr="009F680B" w14:paraId="4E8FA87D" w14:textId="77777777" w:rsidTr="00E730DF">
        <w:trPr>
          <w:trHeight w:val="187"/>
          <w:jc w:val="center"/>
        </w:trPr>
        <w:tc>
          <w:tcPr>
            <w:tcW w:w="9073" w:type="dxa"/>
            <w:tcBorders>
              <w:top w:val="nil"/>
              <w:left w:val="nil"/>
              <w:bottom w:val="nil"/>
              <w:right w:val="nil"/>
            </w:tcBorders>
            <w:shd w:val="clear" w:color="auto" w:fill="auto"/>
            <w:vAlign w:val="center"/>
          </w:tcPr>
          <w:p w14:paraId="684F8AE0" w14:textId="77777777" w:rsidR="00D87925" w:rsidRDefault="00D87925" w:rsidP="00E730DF">
            <w:pPr>
              <w:ind w:left="284"/>
              <w:rPr>
                <w:rFonts w:ascii="Corbel" w:hAnsi="Corbel" w:cs="Calibri"/>
                <w:i/>
                <w:iCs/>
                <w:color w:val="000000"/>
                <w:sz w:val="18"/>
                <w:szCs w:val="18"/>
              </w:rPr>
            </w:pPr>
            <w:r w:rsidRPr="009F680B">
              <w:rPr>
                <w:rFonts w:ascii="Corbel" w:hAnsi="Corbel" w:cs="Calibri"/>
                <w:i/>
                <w:iCs/>
                <w:color w:val="000000"/>
                <w:sz w:val="18"/>
                <w:szCs w:val="18"/>
              </w:rPr>
              <w:t>bio:</w:t>
            </w:r>
            <w:r w:rsidRPr="009F680B">
              <w:rPr>
                <w:rFonts w:ascii="Corbel" w:hAnsi="Corbel" w:cs="Calibri"/>
                <w:color w:val="000000"/>
                <w:sz w:val="18"/>
                <w:szCs w:val="18"/>
              </w:rPr>
              <w:t xml:space="preserve"> dummy variable =1 when risk from pesticides </w:t>
            </w:r>
            <w:r>
              <w:rPr>
                <w:rFonts w:ascii="Corbel" w:hAnsi="Corbel" w:cs="Calibri"/>
                <w:color w:val="000000"/>
                <w:sz w:val="18"/>
                <w:szCs w:val="18"/>
              </w:rPr>
              <w:t>was</w:t>
            </w:r>
            <w:r w:rsidRPr="009F680B">
              <w:rPr>
                <w:rFonts w:ascii="Corbel" w:hAnsi="Corbel" w:cs="Calibri"/>
                <w:color w:val="000000"/>
                <w:sz w:val="18"/>
                <w:szCs w:val="18"/>
              </w:rPr>
              <w:t xml:space="preserve"> defined as risks to biodiversity in terrestrial ecosystems</w:t>
            </w:r>
          </w:p>
        </w:tc>
      </w:tr>
      <w:tr w:rsidR="00D87925" w:rsidRPr="009F680B" w14:paraId="143447A9" w14:textId="77777777" w:rsidTr="00E730DF">
        <w:trPr>
          <w:trHeight w:val="300"/>
          <w:jc w:val="center"/>
        </w:trPr>
        <w:tc>
          <w:tcPr>
            <w:tcW w:w="9073" w:type="dxa"/>
            <w:tcBorders>
              <w:top w:val="nil"/>
              <w:left w:val="nil"/>
              <w:right w:val="nil"/>
            </w:tcBorders>
            <w:shd w:val="clear" w:color="auto" w:fill="auto"/>
            <w:vAlign w:val="center"/>
            <w:hideMark/>
          </w:tcPr>
          <w:p w14:paraId="783FA736" w14:textId="77777777" w:rsidR="00D87925" w:rsidRDefault="00D87925" w:rsidP="00E730DF">
            <w:pPr>
              <w:ind w:left="284"/>
              <w:rPr>
                <w:rFonts w:ascii="Corbel" w:hAnsi="Corbel" w:cs="Calibri"/>
                <w:color w:val="000000"/>
                <w:sz w:val="18"/>
                <w:szCs w:val="18"/>
              </w:rPr>
            </w:pPr>
            <w:proofErr w:type="spellStart"/>
            <w:r>
              <w:rPr>
                <w:rFonts w:ascii="Corbel" w:hAnsi="Corbel" w:cs="Calibri"/>
                <w:i/>
                <w:iCs/>
                <w:color w:val="000000"/>
                <w:sz w:val="18"/>
                <w:szCs w:val="18"/>
              </w:rPr>
              <w:t>a</w:t>
            </w:r>
            <w:r w:rsidRPr="009F680B">
              <w:rPr>
                <w:rFonts w:ascii="Corbel" w:hAnsi="Corbel" w:cs="Calibri"/>
                <w:i/>
                <w:iCs/>
                <w:color w:val="000000"/>
                <w:sz w:val="18"/>
                <w:szCs w:val="18"/>
              </w:rPr>
              <w:t>quatic</w:t>
            </w:r>
            <w:r>
              <w:rPr>
                <w:rFonts w:ascii="Corbel" w:hAnsi="Corbel" w:cs="Calibri"/>
                <w:i/>
                <w:iCs/>
                <w:color w:val="000000"/>
                <w:sz w:val="18"/>
                <w:szCs w:val="18"/>
              </w:rPr>
              <w:t>_</w:t>
            </w:r>
            <w:r w:rsidRPr="009F680B">
              <w:rPr>
                <w:rFonts w:ascii="Corbel" w:hAnsi="Corbel" w:cs="Calibri"/>
                <w:i/>
                <w:iCs/>
                <w:color w:val="000000"/>
                <w:sz w:val="18"/>
                <w:szCs w:val="18"/>
              </w:rPr>
              <w:t>org</w:t>
            </w:r>
            <w:proofErr w:type="spellEnd"/>
            <w:r>
              <w:rPr>
                <w:rFonts w:ascii="Corbel" w:hAnsi="Corbel" w:cs="Calibri"/>
                <w:i/>
                <w:iCs/>
                <w:color w:val="000000"/>
                <w:sz w:val="18"/>
                <w:szCs w:val="18"/>
              </w:rPr>
              <w:t xml:space="preserve">, </w:t>
            </w:r>
            <w:proofErr w:type="spellStart"/>
            <w:r>
              <w:rPr>
                <w:rFonts w:ascii="Corbel" w:hAnsi="Corbel" w:cs="Calibri"/>
                <w:i/>
                <w:iCs/>
                <w:color w:val="000000"/>
                <w:sz w:val="18"/>
                <w:szCs w:val="18"/>
              </w:rPr>
              <w:t>terrestrial_org</w:t>
            </w:r>
            <w:proofErr w:type="spellEnd"/>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 =1 when risk from pesticides </w:t>
            </w:r>
            <w:r>
              <w:rPr>
                <w:rFonts w:ascii="Corbel" w:hAnsi="Corbel" w:cs="Calibri"/>
                <w:color w:val="000000"/>
                <w:sz w:val="18"/>
                <w:szCs w:val="18"/>
              </w:rPr>
              <w:t>wa</w:t>
            </w:r>
            <w:r w:rsidRPr="009F680B">
              <w:rPr>
                <w:rFonts w:ascii="Corbel" w:hAnsi="Corbel" w:cs="Calibri"/>
                <w:color w:val="000000"/>
                <w:sz w:val="18"/>
                <w:szCs w:val="18"/>
              </w:rPr>
              <w:t>s defined as risks to organisms living in aquatic ecosystems</w:t>
            </w:r>
            <w:r>
              <w:rPr>
                <w:rFonts w:ascii="Corbel" w:hAnsi="Corbel" w:cs="Calibri"/>
                <w:color w:val="000000"/>
                <w:sz w:val="18"/>
                <w:szCs w:val="18"/>
              </w:rPr>
              <w:t xml:space="preserve"> or terrestrial ecosystems, respectively</w:t>
            </w:r>
          </w:p>
          <w:p w14:paraId="3CFEC0B9" w14:textId="77777777" w:rsidR="00D87925" w:rsidRPr="009F680B" w:rsidRDefault="00D87925" w:rsidP="00E730DF">
            <w:pPr>
              <w:ind w:left="284"/>
              <w:rPr>
                <w:rFonts w:ascii="Corbel" w:hAnsi="Corbel" w:cs="Calibri"/>
                <w:i/>
                <w:iCs/>
                <w:color w:val="000000"/>
                <w:sz w:val="18"/>
                <w:szCs w:val="18"/>
              </w:rPr>
            </w:pPr>
            <w:proofErr w:type="spellStart"/>
            <w:r>
              <w:rPr>
                <w:rFonts w:ascii="Corbel" w:hAnsi="Corbel" w:cs="Calibri"/>
                <w:i/>
                <w:iCs/>
                <w:color w:val="000000"/>
                <w:sz w:val="18"/>
                <w:szCs w:val="18"/>
              </w:rPr>
              <w:t>g_water</w:t>
            </w:r>
            <w:proofErr w:type="spellEnd"/>
            <w:r>
              <w:rPr>
                <w:rFonts w:ascii="Corbel" w:hAnsi="Corbel" w:cs="Calibri"/>
                <w:i/>
                <w:iCs/>
                <w:color w:val="000000"/>
                <w:sz w:val="18"/>
                <w:szCs w:val="18"/>
              </w:rPr>
              <w:t xml:space="preserve">, </w:t>
            </w:r>
            <w:proofErr w:type="spellStart"/>
            <w:r>
              <w:rPr>
                <w:rFonts w:ascii="Corbel" w:hAnsi="Corbel" w:cs="Calibri"/>
                <w:i/>
                <w:iCs/>
                <w:color w:val="000000"/>
                <w:sz w:val="18"/>
                <w:szCs w:val="18"/>
              </w:rPr>
              <w:t>s_water</w:t>
            </w:r>
            <w:proofErr w:type="spellEnd"/>
            <w:r>
              <w:rPr>
                <w:rFonts w:ascii="Corbel" w:hAnsi="Corbel" w:cs="Calibri"/>
                <w:i/>
                <w:iCs/>
                <w:color w:val="000000"/>
                <w:sz w:val="18"/>
                <w:szCs w:val="18"/>
              </w:rPr>
              <w:t xml:space="preserve">: </w:t>
            </w:r>
            <w:r w:rsidRPr="009F680B">
              <w:rPr>
                <w:rFonts w:ascii="Corbel" w:hAnsi="Corbel" w:cs="Calibri"/>
                <w:color w:val="000000"/>
                <w:sz w:val="18"/>
                <w:szCs w:val="18"/>
              </w:rPr>
              <w:t xml:space="preserve">dummy variable =1 when risk from pesticides </w:t>
            </w:r>
            <w:r>
              <w:rPr>
                <w:rFonts w:ascii="Corbel" w:hAnsi="Corbel" w:cs="Calibri"/>
                <w:color w:val="000000"/>
                <w:sz w:val="18"/>
                <w:szCs w:val="18"/>
              </w:rPr>
              <w:t>wa</w:t>
            </w:r>
            <w:r w:rsidRPr="009F680B">
              <w:rPr>
                <w:rFonts w:ascii="Corbel" w:hAnsi="Corbel" w:cs="Calibri"/>
                <w:color w:val="000000"/>
                <w:sz w:val="18"/>
                <w:szCs w:val="18"/>
              </w:rPr>
              <w:t xml:space="preserve">s defined as risks to </w:t>
            </w:r>
            <w:r>
              <w:rPr>
                <w:rFonts w:ascii="Corbel" w:hAnsi="Corbel" w:cs="Calibri"/>
                <w:color w:val="000000"/>
                <w:sz w:val="18"/>
                <w:szCs w:val="18"/>
              </w:rPr>
              <w:t>groundwater or surface water, respectively</w:t>
            </w:r>
          </w:p>
        </w:tc>
      </w:tr>
      <w:tr w:rsidR="00D87925" w:rsidRPr="009F680B" w14:paraId="0C5EBDEB" w14:textId="77777777" w:rsidTr="00E730DF">
        <w:trPr>
          <w:trHeight w:val="300"/>
          <w:jc w:val="center"/>
        </w:trPr>
        <w:tc>
          <w:tcPr>
            <w:tcW w:w="9073" w:type="dxa"/>
            <w:tcBorders>
              <w:top w:val="nil"/>
              <w:left w:val="nil"/>
              <w:right w:val="nil"/>
            </w:tcBorders>
            <w:shd w:val="clear" w:color="auto" w:fill="auto"/>
            <w:vAlign w:val="center"/>
          </w:tcPr>
          <w:p w14:paraId="34ADD8B1" w14:textId="77777777" w:rsidR="00D87925" w:rsidRPr="009573FD" w:rsidRDefault="00D87925" w:rsidP="00E730DF">
            <w:pPr>
              <w:ind w:left="170"/>
              <w:rPr>
                <w:rFonts w:ascii="Corbel" w:hAnsi="Corbel" w:cs="Calibri"/>
                <w:b/>
                <w:bCs/>
                <w:color w:val="000000"/>
                <w:sz w:val="18"/>
                <w:szCs w:val="18"/>
              </w:rPr>
            </w:pPr>
            <w:r w:rsidRPr="00043405">
              <w:rPr>
                <w:rFonts w:ascii="Corbel" w:hAnsi="Corbel" w:cs="Calibri"/>
                <w:b/>
                <w:bCs/>
                <w:color w:val="000000"/>
                <w:sz w:val="18"/>
                <w:szCs w:val="18"/>
              </w:rPr>
              <w:t>Agricultural product types</w:t>
            </w:r>
          </w:p>
        </w:tc>
      </w:tr>
      <w:tr w:rsidR="00D87925" w:rsidRPr="009F680B" w14:paraId="44760F68" w14:textId="77777777" w:rsidTr="00E730DF">
        <w:trPr>
          <w:trHeight w:val="300"/>
          <w:jc w:val="center"/>
        </w:trPr>
        <w:tc>
          <w:tcPr>
            <w:tcW w:w="9073" w:type="dxa"/>
            <w:tcBorders>
              <w:top w:val="nil"/>
              <w:left w:val="nil"/>
              <w:right w:val="nil"/>
            </w:tcBorders>
            <w:shd w:val="clear" w:color="auto" w:fill="auto"/>
            <w:vAlign w:val="center"/>
          </w:tcPr>
          <w:p w14:paraId="29A89C04" w14:textId="77777777" w:rsidR="00D87925" w:rsidRPr="00043405" w:rsidRDefault="00D87925" w:rsidP="00E730DF">
            <w:pPr>
              <w:ind w:left="142"/>
              <w:rPr>
                <w:rFonts w:ascii="Corbel" w:hAnsi="Corbel" w:cs="Calibri"/>
                <w:color w:val="000000"/>
                <w:sz w:val="18"/>
                <w:szCs w:val="18"/>
                <w:u w:val="single"/>
              </w:rPr>
            </w:pPr>
            <w:r>
              <w:rPr>
                <w:rFonts w:ascii="Corbel" w:hAnsi="Corbel" w:cs="Calibri"/>
                <w:color w:val="000000"/>
                <w:sz w:val="18"/>
                <w:szCs w:val="18"/>
                <w:u w:val="single"/>
              </w:rPr>
              <w:t>Pesticide type</w:t>
            </w:r>
          </w:p>
        </w:tc>
      </w:tr>
      <w:tr w:rsidR="00D87925" w:rsidRPr="009F680B" w14:paraId="4952CCF1" w14:textId="77777777" w:rsidTr="00E730DF">
        <w:trPr>
          <w:trHeight w:val="300"/>
          <w:jc w:val="center"/>
        </w:trPr>
        <w:tc>
          <w:tcPr>
            <w:tcW w:w="9073" w:type="dxa"/>
            <w:tcBorders>
              <w:top w:val="nil"/>
              <w:left w:val="nil"/>
              <w:right w:val="nil"/>
            </w:tcBorders>
            <w:shd w:val="clear" w:color="auto" w:fill="auto"/>
            <w:vAlign w:val="center"/>
          </w:tcPr>
          <w:p w14:paraId="0039ED57" w14:textId="77777777" w:rsidR="00D87925" w:rsidRDefault="00D87925" w:rsidP="00E730DF">
            <w:pPr>
              <w:ind w:left="284"/>
              <w:rPr>
                <w:rFonts w:ascii="Corbel" w:hAnsi="Corbel" w:cs="Calibri"/>
                <w:i/>
                <w:iCs/>
                <w:color w:val="000000"/>
                <w:sz w:val="18"/>
                <w:szCs w:val="18"/>
              </w:rPr>
            </w:pPr>
            <w:r>
              <w:rPr>
                <w:rFonts w:ascii="Corbel" w:hAnsi="Corbel" w:cs="Calibri"/>
                <w:i/>
                <w:iCs/>
                <w:color w:val="000000"/>
                <w:sz w:val="18"/>
                <w:szCs w:val="18"/>
              </w:rPr>
              <w:t>i</w:t>
            </w:r>
            <w:r w:rsidRPr="009F680B">
              <w:rPr>
                <w:rFonts w:ascii="Corbel" w:hAnsi="Corbel" w:cs="Calibri"/>
                <w:i/>
                <w:iCs/>
                <w:color w:val="000000"/>
                <w:sz w:val="18"/>
                <w:szCs w:val="18"/>
              </w:rPr>
              <w:t>nsecticide</w:t>
            </w:r>
            <w:r>
              <w:rPr>
                <w:rFonts w:ascii="Corbel" w:hAnsi="Corbel" w:cs="Calibri"/>
                <w:i/>
                <w:iCs/>
                <w:color w:val="000000"/>
                <w:sz w:val="18"/>
                <w:szCs w:val="18"/>
              </w:rPr>
              <w:t>, herbicide, fungicide</w:t>
            </w:r>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w:t>
            </w:r>
            <w:r>
              <w:rPr>
                <w:rFonts w:ascii="Corbel" w:hAnsi="Corbel" w:cs="Calibri"/>
                <w:color w:val="000000"/>
                <w:sz w:val="18"/>
                <w:szCs w:val="18"/>
              </w:rPr>
              <w:t>s</w:t>
            </w:r>
            <w:r w:rsidRPr="009F680B">
              <w:rPr>
                <w:rFonts w:ascii="Corbel" w:hAnsi="Corbel" w:cs="Calibri"/>
                <w:color w:val="000000"/>
                <w:sz w:val="18"/>
                <w:szCs w:val="18"/>
              </w:rPr>
              <w:t xml:space="preserve"> =1 when the pesticide defined in the primary study was an insecticide</w:t>
            </w:r>
            <w:r>
              <w:rPr>
                <w:rFonts w:ascii="Corbel" w:hAnsi="Corbel" w:cs="Calibri"/>
                <w:color w:val="000000"/>
                <w:sz w:val="18"/>
                <w:szCs w:val="18"/>
              </w:rPr>
              <w:t>, herbicide or fungicide, respectively</w:t>
            </w:r>
          </w:p>
        </w:tc>
      </w:tr>
      <w:tr w:rsidR="00D87925" w:rsidRPr="009F680B" w14:paraId="2508BC17" w14:textId="77777777" w:rsidTr="00E730DF">
        <w:trPr>
          <w:trHeight w:val="300"/>
          <w:jc w:val="center"/>
        </w:trPr>
        <w:tc>
          <w:tcPr>
            <w:tcW w:w="9073" w:type="dxa"/>
            <w:tcBorders>
              <w:top w:val="nil"/>
              <w:left w:val="nil"/>
              <w:right w:val="nil"/>
            </w:tcBorders>
            <w:shd w:val="clear" w:color="auto" w:fill="auto"/>
            <w:vAlign w:val="center"/>
          </w:tcPr>
          <w:p w14:paraId="088D0515" w14:textId="77777777" w:rsidR="00D87925" w:rsidRDefault="00D87925" w:rsidP="00E730DF">
            <w:pPr>
              <w:ind w:left="284"/>
              <w:rPr>
                <w:rFonts w:ascii="Corbel" w:hAnsi="Corbel" w:cs="Calibri"/>
                <w:i/>
                <w:iCs/>
                <w:color w:val="000000"/>
                <w:sz w:val="18"/>
                <w:szCs w:val="18"/>
              </w:rPr>
            </w:pPr>
            <w:proofErr w:type="spellStart"/>
            <w:r>
              <w:rPr>
                <w:rFonts w:ascii="Corbel" w:hAnsi="Corbel" w:cs="Calibri"/>
                <w:i/>
                <w:iCs/>
                <w:color w:val="000000"/>
                <w:sz w:val="18"/>
                <w:szCs w:val="18"/>
              </w:rPr>
              <w:t>p</w:t>
            </w:r>
            <w:r w:rsidRPr="009F680B">
              <w:rPr>
                <w:rFonts w:ascii="Corbel" w:hAnsi="Corbel" w:cs="Calibri"/>
                <w:i/>
                <w:iCs/>
                <w:color w:val="000000"/>
                <w:sz w:val="18"/>
                <w:szCs w:val="18"/>
              </w:rPr>
              <w:t>esticide</w:t>
            </w:r>
            <w:r>
              <w:rPr>
                <w:rFonts w:ascii="Corbel" w:hAnsi="Corbel" w:cs="Calibri"/>
                <w:i/>
                <w:iCs/>
                <w:color w:val="000000"/>
                <w:sz w:val="18"/>
                <w:szCs w:val="18"/>
              </w:rPr>
              <w:t>s_unspecified</w:t>
            </w:r>
            <w:proofErr w:type="spellEnd"/>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 =1 when the pesticide defined in the primary study was not specified</w:t>
            </w:r>
          </w:p>
        </w:tc>
      </w:tr>
      <w:tr w:rsidR="00D87925" w:rsidRPr="009F680B" w14:paraId="226050D6" w14:textId="77777777" w:rsidTr="00E730DF">
        <w:trPr>
          <w:trHeight w:val="300"/>
          <w:jc w:val="center"/>
        </w:trPr>
        <w:tc>
          <w:tcPr>
            <w:tcW w:w="9073" w:type="dxa"/>
            <w:tcBorders>
              <w:top w:val="nil"/>
              <w:left w:val="nil"/>
              <w:right w:val="nil"/>
            </w:tcBorders>
            <w:shd w:val="clear" w:color="auto" w:fill="auto"/>
            <w:vAlign w:val="center"/>
          </w:tcPr>
          <w:p w14:paraId="5B248071" w14:textId="77777777" w:rsidR="00D87925" w:rsidRPr="00043405" w:rsidRDefault="00D87925" w:rsidP="00E730DF">
            <w:pPr>
              <w:ind w:left="170"/>
              <w:rPr>
                <w:rFonts w:ascii="Corbel" w:hAnsi="Corbel" w:cs="Calibri"/>
                <w:bCs/>
                <w:iCs/>
                <w:color w:val="000000"/>
                <w:sz w:val="18"/>
                <w:szCs w:val="18"/>
                <w:u w:val="single"/>
              </w:rPr>
            </w:pPr>
            <w:r>
              <w:rPr>
                <w:rFonts w:ascii="Corbel" w:hAnsi="Corbel" w:cs="Calibri"/>
                <w:bCs/>
                <w:iCs/>
                <w:color w:val="000000"/>
                <w:sz w:val="18"/>
                <w:szCs w:val="18"/>
                <w:u w:val="single"/>
              </w:rPr>
              <w:t>Food product</w:t>
            </w:r>
          </w:p>
        </w:tc>
      </w:tr>
      <w:tr w:rsidR="00D87925" w:rsidRPr="009F680B" w14:paraId="6881F44C" w14:textId="77777777" w:rsidTr="00E730DF">
        <w:trPr>
          <w:trHeight w:val="300"/>
          <w:jc w:val="center"/>
        </w:trPr>
        <w:tc>
          <w:tcPr>
            <w:tcW w:w="9073" w:type="dxa"/>
            <w:tcBorders>
              <w:left w:val="nil"/>
              <w:bottom w:val="single" w:sz="4" w:space="0" w:color="auto"/>
              <w:right w:val="nil"/>
            </w:tcBorders>
            <w:shd w:val="clear" w:color="auto" w:fill="auto"/>
            <w:vAlign w:val="center"/>
          </w:tcPr>
          <w:p w14:paraId="6409D6CA" w14:textId="77777777" w:rsidR="00D87925" w:rsidRDefault="00D87925" w:rsidP="00E730DF">
            <w:pPr>
              <w:ind w:left="284"/>
              <w:rPr>
                <w:rFonts w:ascii="Corbel" w:hAnsi="Corbel" w:cs="Calibri"/>
                <w:i/>
                <w:iCs/>
                <w:color w:val="000000"/>
                <w:sz w:val="18"/>
                <w:szCs w:val="18"/>
              </w:rPr>
            </w:pPr>
            <w:proofErr w:type="spellStart"/>
            <w:r>
              <w:rPr>
                <w:rFonts w:ascii="Corbel" w:hAnsi="Corbel" w:cs="Calibri"/>
                <w:bCs/>
                <w:i/>
                <w:color w:val="000000"/>
                <w:sz w:val="18"/>
                <w:szCs w:val="18"/>
              </w:rPr>
              <w:t>food_unspecified</w:t>
            </w:r>
            <w:proofErr w:type="spellEnd"/>
            <w:r w:rsidRPr="009F680B">
              <w:rPr>
                <w:rFonts w:ascii="Corbel" w:hAnsi="Corbel" w:cs="Calibri"/>
                <w:bCs/>
                <w:i/>
                <w:color w:val="000000"/>
                <w:sz w:val="18"/>
                <w:szCs w:val="18"/>
              </w:rPr>
              <w:t xml:space="preserve">: </w:t>
            </w:r>
            <w:r w:rsidRPr="009F680B">
              <w:rPr>
                <w:rFonts w:ascii="Corbel" w:hAnsi="Corbel" w:cs="Calibri"/>
                <w:bCs/>
                <w:color w:val="000000"/>
                <w:sz w:val="18"/>
                <w:szCs w:val="18"/>
              </w:rPr>
              <w:t xml:space="preserve">dummy variable=1 when the valuation question referred to </w:t>
            </w:r>
            <w:r>
              <w:rPr>
                <w:rFonts w:ascii="Corbel" w:hAnsi="Corbel" w:cs="Calibri"/>
                <w:bCs/>
                <w:color w:val="000000"/>
                <w:sz w:val="18"/>
                <w:szCs w:val="18"/>
              </w:rPr>
              <w:t>unspecified food products</w:t>
            </w:r>
            <w:r w:rsidRPr="009F680B">
              <w:rPr>
                <w:rFonts w:ascii="Corbel" w:hAnsi="Corbel" w:cs="Calibri"/>
                <w:bCs/>
                <w:color w:val="000000"/>
                <w:sz w:val="18"/>
                <w:szCs w:val="18"/>
              </w:rPr>
              <w:t xml:space="preserve"> compared to specific </w:t>
            </w:r>
            <w:r>
              <w:rPr>
                <w:rFonts w:ascii="Corbel" w:hAnsi="Corbel" w:cs="Calibri"/>
                <w:bCs/>
                <w:color w:val="000000"/>
                <w:sz w:val="18"/>
                <w:szCs w:val="18"/>
              </w:rPr>
              <w:t>food products</w:t>
            </w:r>
            <w:r w:rsidRPr="009F680B">
              <w:rPr>
                <w:rFonts w:ascii="Corbel" w:hAnsi="Corbel" w:cs="Calibri"/>
                <w:bCs/>
                <w:color w:val="000000"/>
                <w:sz w:val="18"/>
                <w:szCs w:val="18"/>
              </w:rPr>
              <w:t xml:space="preserve"> (e.g., </w:t>
            </w:r>
            <w:r>
              <w:rPr>
                <w:rFonts w:ascii="Corbel" w:hAnsi="Corbel" w:cs="Calibri"/>
                <w:bCs/>
                <w:color w:val="000000"/>
                <w:sz w:val="18"/>
                <w:szCs w:val="18"/>
              </w:rPr>
              <w:t>t</w:t>
            </w:r>
            <w:r w:rsidRPr="009F680B">
              <w:rPr>
                <w:rFonts w:ascii="Corbel" w:hAnsi="Corbel" w:cs="Calibri"/>
                <w:bCs/>
                <w:color w:val="000000"/>
                <w:sz w:val="18"/>
                <w:szCs w:val="18"/>
              </w:rPr>
              <w:t xml:space="preserve">omatoes, </w:t>
            </w:r>
            <w:r>
              <w:rPr>
                <w:rFonts w:ascii="Corbel" w:hAnsi="Corbel" w:cs="Calibri"/>
                <w:bCs/>
                <w:color w:val="000000"/>
                <w:sz w:val="18"/>
                <w:szCs w:val="18"/>
              </w:rPr>
              <w:t>c</w:t>
            </w:r>
            <w:r w:rsidRPr="009F680B">
              <w:rPr>
                <w:rFonts w:ascii="Corbel" w:hAnsi="Corbel" w:cs="Calibri"/>
                <w:bCs/>
                <w:color w:val="000000"/>
                <w:sz w:val="18"/>
                <w:szCs w:val="18"/>
              </w:rPr>
              <w:t xml:space="preserve">abbage, </w:t>
            </w:r>
            <w:proofErr w:type="spellStart"/>
            <w:r w:rsidRPr="009F680B">
              <w:rPr>
                <w:rFonts w:ascii="Corbel" w:hAnsi="Corbel" w:cs="Calibri"/>
                <w:bCs/>
                <w:color w:val="000000"/>
                <w:sz w:val="18"/>
                <w:szCs w:val="18"/>
              </w:rPr>
              <w:t>etc</w:t>
            </w:r>
            <w:proofErr w:type="spellEnd"/>
            <w:r w:rsidRPr="009F680B">
              <w:rPr>
                <w:rFonts w:ascii="Corbel" w:hAnsi="Corbel" w:cs="Calibri"/>
                <w:bCs/>
                <w:color w:val="000000"/>
                <w:sz w:val="18"/>
                <w:szCs w:val="18"/>
              </w:rPr>
              <w:t>)</w:t>
            </w:r>
          </w:p>
        </w:tc>
      </w:tr>
      <w:tr w:rsidR="00D87925" w:rsidRPr="009F680B" w14:paraId="1B5CB9F4" w14:textId="77777777" w:rsidTr="00E730DF">
        <w:trPr>
          <w:trHeight w:val="87"/>
          <w:jc w:val="center"/>
        </w:trPr>
        <w:tc>
          <w:tcPr>
            <w:tcW w:w="9073" w:type="dxa"/>
            <w:tcBorders>
              <w:top w:val="single" w:sz="4" w:space="0" w:color="auto"/>
              <w:left w:val="nil"/>
              <w:bottom w:val="single" w:sz="6" w:space="0" w:color="auto"/>
              <w:right w:val="nil"/>
            </w:tcBorders>
            <w:shd w:val="clear" w:color="auto" w:fill="auto"/>
            <w:noWrap/>
            <w:vAlign w:val="center"/>
            <w:hideMark/>
          </w:tcPr>
          <w:p w14:paraId="5C85FD8C" w14:textId="77777777" w:rsidR="00D87925" w:rsidRPr="009F680B" w:rsidRDefault="00D87925" w:rsidP="00E730DF">
            <w:pPr>
              <w:rPr>
                <w:rFonts w:ascii="Corbel" w:hAnsi="Corbel" w:cs="Calibri"/>
                <w:b/>
                <w:bCs/>
                <w:color w:val="000000"/>
                <w:sz w:val="18"/>
                <w:szCs w:val="20"/>
                <w:u w:val="single"/>
              </w:rPr>
            </w:pPr>
            <w:r>
              <w:rPr>
                <w:rFonts w:ascii="Corbel" w:hAnsi="Corbel" w:cs="Calibri"/>
                <w:b/>
                <w:bCs/>
                <w:color w:val="000000"/>
                <w:sz w:val="18"/>
                <w:szCs w:val="20"/>
                <w:u w:val="single"/>
              </w:rPr>
              <w:t>Study</w:t>
            </w:r>
            <w:r w:rsidRPr="009F680B">
              <w:rPr>
                <w:rFonts w:ascii="Corbel" w:hAnsi="Corbel" w:cs="Calibri"/>
                <w:b/>
                <w:bCs/>
                <w:color w:val="000000"/>
                <w:sz w:val="18"/>
                <w:szCs w:val="20"/>
                <w:u w:val="single"/>
              </w:rPr>
              <w:t xml:space="preserve"> characteristics</w:t>
            </w:r>
          </w:p>
        </w:tc>
      </w:tr>
      <w:tr w:rsidR="00D87925" w:rsidRPr="009F680B" w14:paraId="477EF6E2" w14:textId="77777777" w:rsidTr="00E730DF">
        <w:trPr>
          <w:trHeight w:val="283"/>
          <w:jc w:val="center"/>
        </w:trPr>
        <w:tc>
          <w:tcPr>
            <w:tcW w:w="9073" w:type="dxa"/>
            <w:tcBorders>
              <w:top w:val="single" w:sz="6" w:space="0" w:color="auto"/>
              <w:left w:val="nil"/>
              <w:right w:val="nil"/>
            </w:tcBorders>
            <w:shd w:val="clear" w:color="auto" w:fill="auto"/>
            <w:vAlign w:val="center"/>
          </w:tcPr>
          <w:p w14:paraId="4F56942A" w14:textId="77777777" w:rsidR="00D87925" w:rsidRPr="008C0795" w:rsidRDefault="00D87925" w:rsidP="00E730DF">
            <w:pPr>
              <w:ind w:left="284"/>
              <w:rPr>
                <w:rFonts w:ascii="Corbel" w:hAnsi="Corbel" w:cs="Calibri"/>
                <w:iCs/>
                <w:color w:val="000000"/>
                <w:sz w:val="18"/>
                <w:szCs w:val="18"/>
              </w:rPr>
            </w:pPr>
            <w:proofErr w:type="spellStart"/>
            <w:r>
              <w:rPr>
                <w:rFonts w:ascii="Corbel" w:hAnsi="Corbel" w:cs="Calibri"/>
                <w:i/>
                <w:iCs/>
                <w:color w:val="000000"/>
                <w:sz w:val="18"/>
                <w:szCs w:val="18"/>
              </w:rPr>
              <w:t>rp</w:t>
            </w:r>
            <w:proofErr w:type="spellEnd"/>
            <w:r>
              <w:rPr>
                <w:rFonts w:ascii="Corbel" w:hAnsi="Corbel" w:cs="Calibri"/>
                <w:i/>
                <w:iCs/>
                <w:color w:val="000000"/>
                <w:sz w:val="18"/>
                <w:szCs w:val="18"/>
              </w:rPr>
              <w:t xml:space="preserve">: </w:t>
            </w:r>
            <w:r w:rsidRPr="009F680B">
              <w:rPr>
                <w:rFonts w:ascii="Corbel" w:hAnsi="Corbel" w:cs="Calibri"/>
                <w:color w:val="000000"/>
                <w:sz w:val="18"/>
                <w:szCs w:val="18"/>
              </w:rPr>
              <w:t xml:space="preserve">dummy variable =1 when the primary study used </w:t>
            </w:r>
            <w:r>
              <w:rPr>
                <w:rFonts w:ascii="Corbel" w:hAnsi="Corbel" w:cs="Calibri"/>
                <w:color w:val="000000"/>
                <w:sz w:val="18"/>
                <w:szCs w:val="18"/>
              </w:rPr>
              <w:t>revealed, =0 for stated preferences</w:t>
            </w:r>
          </w:p>
        </w:tc>
      </w:tr>
      <w:tr w:rsidR="00D87925" w:rsidRPr="009F680B" w14:paraId="53D42262" w14:textId="77777777" w:rsidTr="00E730DF">
        <w:trPr>
          <w:trHeight w:val="169"/>
          <w:jc w:val="center"/>
        </w:trPr>
        <w:tc>
          <w:tcPr>
            <w:tcW w:w="9073" w:type="dxa"/>
            <w:tcBorders>
              <w:left w:val="nil"/>
              <w:right w:val="nil"/>
            </w:tcBorders>
            <w:shd w:val="clear" w:color="auto" w:fill="auto"/>
            <w:vAlign w:val="center"/>
          </w:tcPr>
          <w:p w14:paraId="6CD21DF5" w14:textId="77777777" w:rsidR="00D87925" w:rsidRDefault="00D87925" w:rsidP="00E730DF">
            <w:pPr>
              <w:ind w:left="284"/>
              <w:rPr>
                <w:rFonts w:ascii="Corbel" w:hAnsi="Corbel" w:cs="Calibri"/>
                <w:i/>
                <w:iCs/>
                <w:color w:val="000000"/>
                <w:sz w:val="18"/>
                <w:szCs w:val="18"/>
              </w:rPr>
            </w:pPr>
            <w:r>
              <w:rPr>
                <w:rFonts w:ascii="Corbel" w:hAnsi="Corbel" w:cs="Calibri"/>
                <w:i/>
                <w:iCs/>
                <w:color w:val="000000"/>
                <w:sz w:val="18"/>
                <w:szCs w:val="18"/>
              </w:rPr>
              <w:t>c</w:t>
            </w:r>
            <w:r w:rsidRPr="009F680B">
              <w:rPr>
                <w:rFonts w:ascii="Corbel" w:hAnsi="Corbel" w:cs="Calibri"/>
                <w:i/>
                <w:iCs/>
                <w:color w:val="000000"/>
                <w:sz w:val="18"/>
                <w:szCs w:val="18"/>
              </w:rPr>
              <w:t>m</w:t>
            </w:r>
            <w:r w:rsidRPr="009F680B">
              <w:rPr>
                <w:rFonts w:ascii="Corbel" w:hAnsi="Corbel" w:cs="Calibri"/>
                <w:color w:val="000000"/>
                <w:sz w:val="18"/>
                <w:szCs w:val="18"/>
              </w:rPr>
              <w:t>: dummy variable =1 when the primary study used choice models</w:t>
            </w:r>
            <w:r>
              <w:rPr>
                <w:rFonts w:ascii="Corbel" w:hAnsi="Corbel" w:cs="Calibri"/>
                <w:color w:val="000000"/>
                <w:sz w:val="18"/>
                <w:szCs w:val="18"/>
              </w:rPr>
              <w:t>, =0 for contingent valuation methods</w:t>
            </w:r>
          </w:p>
        </w:tc>
      </w:tr>
      <w:tr w:rsidR="00D87925" w:rsidRPr="009F680B" w14:paraId="59F756DF" w14:textId="77777777" w:rsidTr="00E730DF">
        <w:trPr>
          <w:trHeight w:val="57"/>
          <w:jc w:val="center"/>
        </w:trPr>
        <w:tc>
          <w:tcPr>
            <w:tcW w:w="9073" w:type="dxa"/>
            <w:tcBorders>
              <w:left w:val="nil"/>
              <w:right w:val="nil"/>
            </w:tcBorders>
            <w:shd w:val="clear" w:color="auto" w:fill="auto"/>
            <w:vAlign w:val="center"/>
          </w:tcPr>
          <w:p w14:paraId="0C37F67A" w14:textId="77777777" w:rsidR="00D87925" w:rsidRPr="009F680B" w:rsidRDefault="00D87925" w:rsidP="00E730DF">
            <w:pPr>
              <w:ind w:left="284"/>
              <w:rPr>
                <w:rFonts w:ascii="Corbel" w:hAnsi="Corbel" w:cs="Calibri"/>
                <w:i/>
                <w:iCs/>
                <w:color w:val="000000"/>
                <w:sz w:val="18"/>
                <w:szCs w:val="18"/>
              </w:rPr>
            </w:pPr>
            <w:proofErr w:type="spellStart"/>
            <w:r>
              <w:rPr>
                <w:rFonts w:ascii="Corbel" w:hAnsi="Corbel" w:cs="Calibri"/>
                <w:i/>
                <w:iCs/>
                <w:color w:val="000000"/>
                <w:sz w:val="18"/>
                <w:szCs w:val="18"/>
              </w:rPr>
              <w:t>pre_test</w:t>
            </w:r>
            <w:proofErr w:type="spellEnd"/>
            <w:r>
              <w:rPr>
                <w:rFonts w:ascii="Corbel" w:hAnsi="Corbel" w:cs="Calibri"/>
                <w:i/>
                <w:iCs/>
                <w:color w:val="000000"/>
                <w:sz w:val="18"/>
                <w:szCs w:val="18"/>
              </w:rPr>
              <w:t>:</w:t>
            </w:r>
            <w:r w:rsidRPr="009F680B">
              <w:rPr>
                <w:rFonts w:ascii="Corbel" w:hAnsi="Corbel" w:cs="Calibri"/>
                <w:color w:val="000000"/>
                <w:sz w:val="18"/>
                <w:szCs w:val="18"/>
              </w:rPr>
              <w:t xml:space="preserve"> dummy variable =1 when the primary study </w:t>
            </w:r>
            <w:r>
              <w:rPr>
                <w:rFonts w:ascii="Corbel" w:hAnsi="Corbel" w:cs="Calibri"/>
                <w:color w:val="000000"/>
                <w:sz w:val="18"/>
                <w:szCs w:val="18"/>
              </w:rPr>
              <w:t>was pilot tested prior to implementation</w:t>
            </w:r>
          </w:p>
        </w:tc>
      </w:tr>
      <w:tr w:rsidR="00D87925" w:rsidRPr="009F680B" w14:paraId="44CF884F" w14:textId="77777777" w:rsidTr="00E730DF">
        <w:trPr>
          <w:trHeight w:val="283"/>
          <w:jc w:val="center"/>
        </w:trPr>
        <w:tc>
          <w:tcPr>
            <w:tcW w:w="9073" w:type="dxa"/>
            <w:tcBorders>
              <w:left w:val="nil"/>
              <w:right w:val="nil"/>
            </w:tcBorders>
            <w:shd w:val="clear" w:color="auto" w:fill="auto"/>
            <w:vAlign w:val="center"/>
          </w:tcPr>
          <w:p w14:paraId="00CC9DD4" w14:textId="77777777" w:rsidR="00D87925" w:rsidRPr="004276E0" w:rsidRDefault="00D87925" w:rsidP="00E730DF">
            <w:pPr>
              <w:ind w:left="178"/>
              <w:rPr>
                <w:rFonts w:ascii="Corbel" w:hAnsi="Corbel" w:cs="Calibri"/>
                <w:b/>
                <w:iCs/>
                <w:color w:val="000000"/>
                <w:sz w:val="18"/>
                <w:szCs w:val="18"/>
              </w:rPr>
            </w:pPr>
            <w:r>
              <w:rPr>
                <w:rFonts w:ascii="Corbel" w:hAnsi="Corbel" w:cs="Calibri"/>
                <w:b/>
                <w:iCs/>
                <w:color w:val="000000"/>
                <w:sz w:val="18"/>
                <w:szCs w:val="18"/>
              </w:rPr>
              <w:t>S</w:t>
            </w:r>
            <w:r w:rsidRPr="004276E0">
              <w:rPr>
                <w:rFonts w:ascii="Corbel" w:hAnsi="Corbel" w:cs="Calibri"/>
                <w:b/>
                <w:iCs/>
                <w:color w:val="000000"/>
                <w:sz w:val="18"/>
                <w:szCs w:val="18"/>
              </w:rPr>
              <w:t>urvey methods</w:t>
            </w:r>
          </w:p>
        </w:tc>
      </w:tr>
      <w:tr w:rsidR="00D87925" w:rsidRPr="009F680B" w14:paraId="5564EE51" w14:textId="77777777" w:rsidTr="00E730DF">
        <w:trPr>
          <w:trHeight w:val="283"/>
          <w:jc w:val="center"/>
        </w:trPr>
        <w:tc>
          <w:tcPr>
            <w:tcW w:w="9073" w:type="dxa"/>
            <w:tcBorders>
              <w:left w:val="nil"/>
              <w:right w:val="nil"/>
            </w:tcBorders>
            <w:shd w:val="clear" w:color="auto" w:fill="auto"/>
            <w:vAlign w:val="center"/>
          </w:tcPr>
          <w:p w14:paraId="68AD24AD" w14:textId="77777777" w:rsidR="00D87925" w:rsidRPr="009F680B" w:rsidRDefault="00D87925" w:rsidP="00E730DF">
            <w:pPr>
              <w:ind w:left="284"/>
              <w:rPr>
                <w:rFonts w:ascii="Corbel" w:hAnsi="Corbel" w:cs="Calibri"/>
                <w:i/>
                <w:iCs/>
                <w:color w:val="000000"/>
                <w:sz w:val="18"/>
                <w:szCs w:val="18"/>
              </w:rPr>
            </w:pPr>
            <w:proofErr w:type="spellStart"/>
            <w:r>
              <w:rPr>
                <w:rFonts w:ascii="Corbel" w:hAnsi="Corbel" w:cs="Calibri"/>
                <w:i/>
                <w:iCs/>
                <w:color w:val="000000"/>
                <w:sz w:val="18"/>
                <w:szCs w:val="18"/>
              </w:rPr>
              <w:t>facetoface</w:t>
            </w:r>
            <w:proofErr w:type="spellEnd"/>
            <w:r>
              <w:rPr>
                <w:rFonts w:ascii="Corbel" w:hAnsi="Corbel" w:cs="Calibri"/>
                <w:i/>
                <w:iCs/>
                <w:color w:val="000000"/>
                <w:sz w:val="18"/>
                <w:szCs w:val="18"/>
              </w:rPr>
              <w:t xml:space="preserve">, telephone, mail, online, </w:t>
            </w:r>
            <w:proofErr w:type="spellStart"/>
            <w:r>
              <w:rPr>
                <w:rFonts w:ascii="Corbel" w:hAnsi="Corbel" w:cs="Calibri"/>
                <w:i/>
                <w:iCs/>
                <w:color w:val="000000"/>
                <w:sz w:val="18"/>
                <w:szCs w:val="18"/>
              </w:rPr>
              <w:t>self_adm</w:t>
            </w:r>
            <w:proofErr w:type="spellEnd"/>
            <w:r w:rsidRPr="009F680B">
              <w:rPr>
                <w:rFonts w:ascii="Corbel" w:hAnsi="Corbel" w:cs="Calibri"/>
                <w:color w:val="000000"/>
                <w:sz w:val="18"/>
                <w:szCs w:val="18"/>
              </w:rPr>
              <w:t xml:space="preserve">: dummy variable =1 when the respondents were interviewed in person, </w:t>
            </w:r>
            <w:r>
              <w:rPr>
                <w:rFonts w:ascii="Corbel" w:hAnsi="Corbel" w:cs="Calibri"/>
                <w:color w:val="000000"/>
                <w:sz w:val="18"/>
                <w:szCs w:val="18"/>
              </w:rPr>
              <w:t>via telephone, mail or online surveys, or using self-administered questionnaires, respectively</w:t>
            </w:r>
          </w:p>
        </w:tc>
      </w:tr>
      <w:tr w:rsidR="00D87925" w:rsidRPr="009F680B" w14:paraId="4CD8906A" w14:textId="77777777" w:rsidTr="00E730DF">
        <w:trPr>
          <w:trHeight w:val="283"/>
          <w:jc w:val="center"/>
        </w:trPr>
        <w:tc>
          <w:tcPr>
            <w:tcW w:w="9073" w:type="dxa"/>
            <w:tcBorders>
              <w:top w:val="nil"/>
              <w:left w:val="nil"/>
              <w:bottom w:val="nil"/>
              <w:right w:val="nil"/>
            </w:tcBorders>
            <w:shd w:val="clear" w:color="auto" w:fill="auto"/>
            <w:vAlign w:val="center"/>
          </w:tcPr>
          <w:p w14:paraId="1C1781BA" w14:textId="77777777" w:rsidR="00D87925" w:rsidRDefault="00D87925" w:rsidP="00E730DF">
            <w:pPr>
              <w:ind w:left="178"/>
              <w:rPr>
                <w:rFonts w:ascii="Corbel" w:hAnsi="Corbel" w:cs="Calibri"/>
                <w:i/>
                <w:iCs/>
                <w:color w:val="000000"/>
                <w:sz w:val="18"/>
                <w:szCs w:val="18"/>
              </w:rPr>
            </w:pPr>
            <w:r>
              <w:rPr>
                <w:rFonts w:ascii="Corbel" w:hAnsi="Corbel" w:cs="Calibri"/>
                <w:b/>
                <w:iCs/>
                <w:color w:val="000000"/>
                <w:sz w:val="18"/>
                <w:szCs w:val="18"/>
              </w:rPr>
              <w:t>CVM</w:t>
            </w:r>
            <w:r w:rsidRPr="004276E0">
              <w:rPr>
                <w:rFonts w:ascii="Corbel" w:hAnsi="Corbel" w:cs="Calibri"/>
                <w:b/>
                <w:iCs/>
                <w:color w:val="000000"/>
                <w:sz w:val="18"/>
                <w:szCs w:val="18"/>
              </w:rPr>
              <w:t xml:space="preserve"> </w:t>
            </w:r>
            <w:r>
              <w:rPr>
                <w:rFonts w:ascii="Corbel" w:hAnsi="Corbel" w:cs="Calibri"/>
                <w:b/>
                <w:iCs/>
                <w:color w:val="000000"/>
                <w:sz w:val="18"/>
                <w:szCs w:val="18"/>
              </w:rPr>
              <w:t xml:space="preserve">elicitation </w:t>
            </w:r>
            <w:r w:rsidRPr="004276E0">
              <w:rPr>
                <w:rFonts w:ascii="Corbel" w:hAnsi="Corbel" w:cs="Calibri"/>
                <w:b/>
                <w:iCs/>
                <w:color w:val="000000"/>
                <w:sz w:val="18"/>
                <w:szCs w:val="18"/>
              </w:rPr>
              <w:t>methods</w:t>
            </w:r>
          </w:p>
        </w:tc>
      </w:tr>
      <w:tr w:rsidR="00D87925" w:rsidRPr="009F680B" w14:paraId="6244130F" w14:textId="77777777" w:rsidTr="00E730DF">
        <w:trPr>
          <w:trHeight w:val="510"/>
          <w:jc w:val="center"/>
        </w:trPr>
        <w:tc>
          <w:tcPr>
            <w:tcW w:w="9073" w:type="dxa"/>
            <w:tcBorders>
              <w:top w:val="nil"/>
              <w:left w:val="nil"/>
              <w:bottom w:val="nil"/>
              <w:right w:val="nil"/>
            </w:tcBorders>
            <w:shd w:val="clear" w:color="auto" w:fill="auto"/>
            <w:vAlign w:val="center"/>
            <w:hideMark/>
          </w:tcPr>
          <w:p w14:paraId="2B29162A" w14:textId="77777777" w:rsidR="00D87925" w:rsidRPr="009F680B" w:rsidRDefault="00D87925" w:rsidP="00E730DF">
            <w:pPr>
              <w:ind w:left="284"/>
              <w:rPr>
                <w:rFonts w:ascii="Corbel" w:hAnsi="Corbel" w:cs="Calibri"/>
                <w:i/>
                <w:iCs/>
                <w:color w:val="000000"/>
                <w:sz w:val="18"/>
                <w:szCs w:val="18"/>
              </w:rPr>
            </w:pPr>
            <w:proofErr w:type="spellStart"/>
            <w:r w:rsidRPr="009F680B">
              <w:rPr>
                <w:rFonts w:ascii="Corbel" w:hAnsi="Corbel" w:cs="Calibri"/>
                <w:i/>
                <w:iCs/>
                <w:color w:val="000000"/>
                <w:sz w:val="18"/>
                <w:szCs w:val="18"/>
              </w:rPr>
              <w:t>p_card</w:t>
            </w:r>
            <w:proofErr w:type="spellEnd"/>
            <w:r w:rsidRPr="009F680B">
              <w:rPr>
                <w:rFonts w:ascii="Corbel" w:hAnsi="Corbel" w:cs="Calibri"/>
                <w:i/>
                <w:iCs/>
                <w:color w:val="000000"/>
                <w:sz w:val="18"/>
                <w:szCs w:val="18"/>
              </w:rPr>
              <w:t xml:space="preserve">, </w:t>
            </w:r>
            <w:proofErr w:type="spellStart"/>
            <w:r w:rsidRPr="009F680B">
              <w:rPr>
                <w:rFonts w:ascii="Corbel" w:hAnsi="Corbel" w:cs="Calibri"/>
                <w:i/>
                <w:iCs/>
                <w:color w:val="000000"/>
                <w:sz w:val="18"/>
                <w:szCs w:val="18"/>
              </w:rPr>
              <w:t>open_ended</w:t>
            </w:r>
            <w:proofErr w:type="spellEnd"/>
            <w:r>
              <w:rPr>
                <w:rFonts w:ascii="Corbel" w:hAnsi="Corbel" w:cs="Calibri"/>
                <w:i/>
                <w:iCs/>
                <w:color w:val="000000"/>
                <w:sz w:val="18"/>
                <w:szCs w:val="18"/>
              </w:rPr>
              <w:t xml:space="preserve">, </w:t>
            </w:r>
            <w:proofErr w:type="spellStart"/>
            <w:r>
              <w:rPr>
                <w:rFonts w:ascii="Corbel" w:hAnsi="Corbel" w:cs="Calibri"/>
                <w:i/>
                <w:iCs/>
                <w:color w:val="000000"/>
                <w:sz w:val="18"/>
                <w:szCs w:val="18"/>
              </w:rPr>
              <w:t>s_bound</w:t>
            </w:r>
            <w:proofErr w:type="spellEnd"/>
            <w:r>
              <w:rPr>
                <w:rFonts w:ascii="Corbel" w:hAnsi="Corbel" w:cs="Calibri"/>
                <w:i/>
                <w:iCs/>
                <w:color w:val="000000"/>
                <w:sz w:val="18"/>
                <w:szCs w:val="18"/>
              </w:rPr>
              <w:t xml:space="preserve">, </w:t>
            </w:r>
            <w:proofErr w:type="spellStart"/>
            <w:r>
              <w:rPr>
                <w:rFonts w:ascii="Corbel" w:hAnsi="Corbel" w:cs="Calibri"/>
                <w:i/>
                <w:iCs/>
                <w:color w:val="000000"/>
                <w:sz w:val="18"/>
                <w:szCs w:val="18"/>
              </w:rPr>
              <w:t>d_bound</w:t>
            </w:r>
            <w:proofErr w:type="spellEnd"/>
            <w:r>
              <w:rPr>
                <w:rFonts w:ascii="Corbel" w:hAnsi="Corbel" w:cs="Calibri"/>
                <w:i/>
                <w:iCs/>
                <w:color w:val="000000"/>
                <w:sz w:val="18"/>
                <w:szCs w:val="18"/>
              </w:rPr>
              <w:t xml:space="preserve">, </w:t>
            </w:r>
            <w:proofErr w:type="spellStart"/>
            <w:r>
              <w:rPr>
                <w:rFonts w:ascii="Corbel" w:hAnsi="Corbel" w:cs="Calibri"/>
                <w:i/>
                <w:iCs/>
                <w:color w:val="000000"/>
                <w:sz w:val="18"/>
                <w:szCs w:val="18"/>
              </w:rPr>
              <w:t>bid_game</w:t>
            </w:r>
            <w:proofErr w:type="spellEnd"/>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variables =1 when the contingent valuation questions were asked </w:t>
            </w:r>
            <w:r>
              <w:rPr>
                <w:rFonts w:ascii="Corbel" w:hAnsi="Corbel" w:cs="Calibri"/>
                <w:color w:val="000000"/>
                <w:sz w:val="18"/>
                <w:szCs w:val="18"/>
              </w:rPr>
              <w:t>as</w:t>
            </w:r>
            <w:r w:rsidRPr="009F680B">
              <w:rPr>
                <w:rFonts w:ascii="Corbel" w:hAnsi="Corbel" w:cs="Calibri"/>
                <w:color w:val="000000"/>
                <w:sz w:val="18"/>
                <w:szCs w:val="18"/>
              </w:rPr>
              <w:t xml:space="preserve"> payment card</w:t>
            </w:r>
            <w:r>
              <w:rPr>
                <w:rFonts w:ascii="Corbel" w:hAnsi="Corbel" w:cs="Calibri"/>
                <w:color w:val="000000"/>
                <w:sz w:val="18"/>
                <w:szCs w:val="18"/>
              </w:rPr>
              <w:t xml:space="preserve">, </w:t>
            </w:r>
            <w:r w:rsidRPr="009F680B">
              <w:rPr>
                <w:rFonts w:ascii="Corbel" w:hAnsi="Corbel" w:cs="Calibri"/>
                <w:color w:val="000000"/>
                <w:sz w:val="18"/>
                <w:szCs w:val="18"/>
              </w:rPr>
              <w:t xml:space="preserve">open ended, </w:t>
            </w:r>
            <w:r>
              <w:rPr>
                <w:rFonts w:ascii="Corbel" w:hAnsi="Corbel" w:cs="Calibri"/>
                <w:color w:val="000000"/>
                <w:sz w:val="18"/>
                <w:szCs w:val="18"/>
              </w:rPr>
              <w:t xml:space="preserve">single and double bounded dichotomous choice or bidding game formats, </w:t>
            </w:r>
            <w:r w:rsidRPr="009F680B">
              <w:rPr>
                <w:rFonts w:ascii="Corbel" w:hAnsi="Corbel" w:cs="Calibri"/>
                <w:color w:val="000000"/>
                <w:sz w:val="18"/>
                <w:szCs w:val="18"/>
              </w:rPr>
              <w:t>respectively</w:t>
            </w:r>
            <w:r>
              <w:rPr>
                <w:rFonts w:ascii="Corbel" w:hAnsi="Corbel" w:cs="Calibri"/>
                <w:color w:val="000000"/>
                <w:sz w:val="18"/>
                <w:szCs w:val="18"/>
              </w:rPr>
              <w:t xml:space="preserve"> </w:t>
            </w:r>
          </w:p>
        </w:tc>
      </w:tr>
      <w:tr w:rsidR="00D87925" w:rsidRPr="009F680B" w14:paraId="49080BE7" w14:textId="77777777" w:rsidTr="00E730DF">
        <w:trPr>
          <w:trHeight w:val="97"/>
          <w:jc w:val="center"/>
        </w:trPr>
        <w:tc>
          <w:tcPr>
            <w:tcW w:w="9073" w:type="dxa"/>
            <w:tcBorders>
              <w:top w:val="nil"/>
              <w:left w:val="nil"/>
              <w:right w:val="nil"/>
            </w:tcBorders>
            <w:shd w:val="clear" w:color="auto" w:fill="auto"/>
            <w:vAlign w:val="center"/>
            <w:hideMark/>
          </w:tcPr>
          <w:p w14:paraId="689C236D" w14:textId="77777777" w:rsidR="00D87925" w:rsidRPr="009F680B" w:rsidRDefault="00D87925" w:rsidP="00E730DF">
            <w:pPr>
              <w:ind w:left="142"/>
              <w:rPr>
                <w:rFonts w:ascii="Corbel" w:hAnsi="Corbel" w:cs="Calibri"/>
                <w:b/>
                <w:bCs/>
                <w:color w:val="000000"/>
                <w:sz w:val="18"/>
                <w:szCs w:val="18"/>
              </w:rPr>
            </w:pPr>
            <w:r w:rsidRPr="009F680B">
              <w:rPr>
                <w:rFonts w:ascii="Corbel" w:hAnsi="Corbel" w:cs="Calibri"/>
                <w:b/>
                <w:bCs/>
                <w:color w:val="000000"/>
                <w:sz w:val="18"/>
                <w:szCs w:val="18"/>
              </w:rPr>
              <w:lastRenderedPageBreak/>
              <w:t>Welfare measures</w:t>
            </w:r>
          </w:p>
        </w:tc>
      </w:tr>
      <w:tr w:rsidR="00D87925" w:rsidRPr="009F680B" w14:paraId="013FFC26" w14:textId="77777777" w:rsidTr="00E730DF">
        <w:trPr>
          <w:trHeight w:val="363"/>
          <w:jc w:val="center"/>
        </w:trPr>
        <w:tc>
          <w:tcPr>
            <w:tcW w:w="9073" w:type="dxa"/>
            <w:tcBorders>
              <w:top w:val="nil"/>
              <w:left w:val="nil"/>
              <w:right w:val="nil"/>
            </w:tcBorders>
            <w:shd w:val="clear" w:color="auto" w:fill="auto"/>
            <w:vAlign w:val="center"/>
            <w:hideMark/>
          </w:tcPr>
          <w:p w14:paraId="54BD67B2" w14:textId="77777777" w:rsidR="00D87925" w:rsidRPr="009F680B" w:rsidRDefault="00D87925" w:rsidP="00E730DF">
            <w:pPr>
              <w:ind w:left="284"/>
              <w:rPr>
                <w:rFonts w:ascii="Corbel" w:hAnsi="Corbel" w:cs="Calibri"/>
                <w:i/>
                <w:iCs/>
                <w:color w:val="000000"/>
                <w:sz w:val="18"/>
                <w:szCs w:val="18"/>
              </w:rPr>
            </w:pPr>
            <w:r>
              <w:rPr>
                <w:rFonts w:ascii="Corbel" w:hAnsi="Corbel" w:cs="Calibri"/>
                <w:i/>
                <w:iCs/>
                <w:color w:val="000000"/>
                <w:sz w:val="18"/>
                <w:szCs w:val="18"/>
              </w:rPr>
              <w:t>prevent</w:t>
            </w:r>
            <w:r w:rsidRPr="009F680B">
              <w:rPr>
                <w:rFonts w:ascii="Corbel" w:hAnsi="Corbel" w:cs="Calibri"/>
                <w:i/>
                <w:iCs/>
                <w:color w:val="000000"/>
                <w:sz w:val="18"/>
                <w:szCs w:val="18"/>
              </w:rPr>
              <w:t>:</w:t>
            </w:r>
            <w:r w:rsidRPr="009F680B">
              <w:rPr>
                <w:rFonts w:ascii="Corbel" w:hAnsi="Corbel" w:cs="Calibri"/>
                <w:color w:val="000000"/>
                <w:sz w:val="18"/>
                <w:szCs w:val="18"/>
              </w:rPr>
              <w:t xml:space="preserve"> dummy variable =1 when the WTP scenario was framed as a prevention of the risk</w:t>
            </w:r>
            <w:r w:rsidRPr="009F680B">
              <w:rPr>
                <w:rFonts w:ascii="Corbel" w:hAnsi="Corbel" w:cs="Calibri"/>
                <w:i/>
                <w:iCs/>
                <w:color w:val="000000"/>
                <w:sz w:val="18"/>
                <w:szCs w:val="18"/>
              </w:rPr>
              <w:t xml:space="preserve"> </w:t>
            </w:r>
            <w:r w:rsidRPr="009F680B">
              <w:rPr>
                <w:rFonts w:ascii="Corbel" w:hAnsi="Corbel" w:cs="Calibri"/>
                <w:color w:val="000000"/>
                <w:sz w:val="18"/>
                <w:szCs w:val="18"/>
              </w:rPr>
              <w:t>from pesticides</w:t>
            </w:r>
            <w:r>
              <w:rPr>
                <w:rFonts w:ascii="Corbel" w:hAnsi="Corbel" w:cs="Calibri"/>
                <w:color w:val="000000"/>
                <w:sz w:val="18"/>
                <w:szCs w:val="18"/>
              </w:rPr>
              <w:t xml:space="preserve">, =0 when framed </w:t>
            </w:r>
            <w:r w:rsidRPr="009F680B">
              <w:rPr>
                <w:rFonts w:ascii="Corbel" w:hAnsi="Corbel" w:cs="Calibri"/>
                <w:color w:val="000000"/>
                <w:sz w:val="18"/>
                <w:szCs w:val="18"/>
              </w:rPr>
              <w:t>as an improvement of a situation related to the risk from pesticides</w:t>
            </w:r>
          </w:p>
        </w:tc>
      </w:tr>
      <w:tr w:rsidR="00D87925" w:rsidRPr="009F680B" w14:paraId="65A324A2" w14:textId="77777777" w:rsidTr="00E730DF">
        <w:trPr>
          <w:trHeight w:val="170"/>
          <w:jc w:val="center"/>
        </w:trPr>
        <w:tc>
          <w:tcPr>
            <w:tcW w:w="9073" w:type="dxa"/>
            <w:tcBorders>
              <w:left w:val="nil"/>
              <w:right w:val="nil"/>
            </w:tcBorders>
            <w:shd w:val="clear" w:color="auto" w:fill="auto"/>
            <w:vAlign w:val="center"/>
          </w:tcPr>
          <w:p w14:paraId="0EB8E12D" w14:textId="77777777" w:rsidR="00D87925" w:rsidRPr="000035EC" w:rsidRDefault="00D87925" w:rsidP="00E730DF">
            <w:pPr>
              <w:ind w:left="178"/>
              <w:rPr>
                <w:rFonts w:ascii="Corbel" w:hAnsi="Corbel" w:cs="Calibri"/>
                <w:b/>
                <w:iCs/>
                <w:color w:val="000000"/>
                <w:sz w:val="18"/>
                <w:szCs w:val="18"/>
              </w:rPr>
            </w:pPr>
            <w:r w:rsidRPr="000035EC">
              <w:rPr>
                <w:rFonts w:ascii="Corbel" w:hAnsi="Corbel" w:cs="Calibri"/>
                <w:b/>
                <w:iCs/>
                <w:color w:val="000000"/>
                <w:sz w:val="18"/>
                <w:szCs w:val="18"/>
              </w:rPr>
              <w:t>Type of good</w:t>
            </w:r>
          </w:p>
        </w:tc>
      </w:tr>
      <w:tr w:rsidR="00D87925" w:rsidRPr="009F680B" w14:paraId="1744129A" w14:textId="77777777" w:rsidTr="00E730DF">
        <w:trPr>
          <w:trHeight w:val="283"/>
          <w:jc w:val="center"/>
        </w:trPr>
        <w:tc>
          <w:tcPr>
            <w:tcW w:w="9073" w:type="dxa"/>
            <w:tcBorders>
              <w:left w:val="nil"/>
              <w:right w:val="nil"/>
            </w:tcBorders>
            <w:shd w:val="clear" w:color="auto" w:fill="auto"/>
            <w:vAlign w:val="center"/>
          </w:tcPr>
          <w:p w14:paraId="3EC1436A" w14:textId="77777777" w:rsidR="00D87925" w:rsidRDefault="00D87925" w:rsidP="00E730DF">
            <w:pPr>
              <w:ind w:left="284"/>
              <w:rPr>
                <w:rFonts w:ascii="Corbel" w:hAnsi="Corbel" w:cs="Calibri"/>
                <w:i/>
                <w:iCs/>
                <w:color w:val="000000"/>
                <w:sz w:val="18"/>
                <w:szCs w:val="18"/>
              </w:rPr>
            </w:pPr>
            <w:proofErr w:type="spellStart"/>
            <w:r>
              <w:rPr>
                <w:rFonts w:ascii="Corbel" w:hAnsi="Corbel" w:cs="Calibri"/>
                <w:i/>
                <w:iCs/>
                <w:color w:val="000000"/>
                <w:sz w:val="18"/>
                <w:szCs w:val="18"/>
              </w:rPr>
              <w:t>public_g</w:t>
            </w:r>
            <w:proofErr w:type="spellEnd"/>
            <w:r>
              <w:rPr>
                <w:rFonts w:ascii="Corbel" w:hAnsi="Corbel" w:cs="Calibri"/>
                <w:i/>
                <w:iCs/>
                <w:color w:val="000000"/>
                <w:sz w:val="18"/>
                <w:szCs w:val="18"/>
              </w:rPr>
              <w:t xml:space="preserve">: </w:t>
            </w:r>
            <w:r w:rsidRPr="009F680B">
              <w:rPr>
                <w:rFonts w:ascii="Corbel" w:hAnsi="Corbel" w:cs="Calibri"/>
                <w:color w:val="000000"/>
                <w:sz w:val="18"/>
                <w:szCs w:val="18"/>
              </w:rPr>
              <w:t>dummy variable =1 when the</w:t>
            </w:r>
            <w:r>
              <w:rPr>
                <w:rFonts w:ascii="Corbel" w:hAnsi="Corbel" w:cs="Calibri"/>
                <w:color w:val="000000"/>
                <w:sz w:val="18"/>
                <w:szCs w:val="18"/>
              </w:rPr>
              <w:t xml:space="preserve"> valuation scenario was framed as a public good scenario, =0 for private goods</w:t>
            </w:r>
          </w:p>
        </w:tc>
      </w:tr>
      <w:tr w:rsidR="00D87925" w:rsidRPr="009F680B" w14:paraId="3A374FD9" w14:textId="77777777" w:rsidTr="00E730DF">
        <w:trPr>
          <w:trHeight w:val="300"/>
          <w:jc w:val="center"/>
        </w:trPr>
        <w:tc>
          <w:tcPr>
            <w:tcW w:w="9073" w:type="dxa"/>
            <w:tcBorders>
              <w:left w:val="nil"/>
              <w:bottom w:val="nil"/>
              <w:right w:val="nil"/>
            </w:tcBorders>
            <w:shd w:val="clear" w:color="auto" w:fill="auto"/>
            <w:vAlign w:val="center"/>
          </w:tcPr>
          <w:p w14:paraId="298A504C" w14:textId="77777777" w:rsidR="00D87925" w:rsidRPr="009F680B" w:rsidRDefault="00D87925" w:rsidP="00E730DF">
            <w:pPr>
              <w:ind w:left="178"/>
              <w:rPr>
                <w:rFonts w:ascii="Corbel" w:hAnsi="Corbel" w:cs="Calibri"/>
                <w:i/>
                <w:iCs/>
                <w:color w:val="000000"/>
                <w:sz w:val="18"/>
                <w:szCs w:val="18"/>
              </w:rPr>
            </w:pPr>
            <w:proofErr w:type="spellStart"/>
            <w:r>
              <w:rPr>
                <w:rFonts w:ascii="Corbel" w:hAnsi="Corbel" w:cs="Calibri"/>
                <w:i/>
                <w:iCs/>
                <w:color w:val="000000"/>
                <w:sz w:val="18"/>
                <w:szCs w:val="18"/>
              </w:rPr>
              <w:t>risk_perception</w:t>
            </w:r>
            <w:proofErr w:type="spellEnd"/>
            <w:r w:rsidRPr="009F680B">
              <w:rPr>
                <w:rFonts w:ascii="Corbel" w:hAnsi="Corbel" w:cs="Calibri"/>
                <w:i/>
                <w:iCs/>
                <w:color w:val="000000"/>
                <w:sz w:val="18"/>
                <w:szCs w:val="18"/>
              </w:rPr>
              <w:t xml:space="preserve">: </w:t>
            </w:r>
            <w:r w:rsidRPr="009F680B">
              <w:rPr>
                <w:rFonts w:ascii="Corbel" w:hAnsi="Corbel" w:cs="Calibri"/>
                <w:color w:val="000000"/>
                <w:sz w:val="18"/>
                <w:szCs w:val="18"/>
              </w:rPr>
              <w:t xml:space="preserve">dummy variable =1 when </w:t>
            </w:r>
            <w:r w:rsidRPr="008A5FAB">
              <w:rPr>
                <w:rFonts w:ascii="Corbel" w:hAnsi="Corbel" w:cs="Calibri"/>
                <w:color w:val="000000"/>
                <w:sz w:val="18"/>
                <w:szCs w:val="18"/>
              </w:rPr>
              <w:t xml:space="preserve">respondents valued their own </w:t>
            </w:r>
            <w:r>
              <w:rPr>
                <w:rFonts w:ascii="Corbel" w:hAnsi="Corbel" w:cs="Calibri"/>
                <w:color w:val="000000"/>
                <w:sz w:val="18"/>
                <w:szCs w:val="18"/>
              </w:rPr>
              <w:t xml:space="preserve">(subjective) </w:t>
            </w:r>
            <w:r w:rsidRPr="008A5FAB">
              <w:rPr>
                <w:rFonts w:ascii="Corbel" w:hAnsi="Corbel" w:cs="Calibri"/>
                <w:color w:val="000000"/>
                <w:sz w:val="18"/>
                <w:szCs w:val="18"/>
              </w:rPr>
              <w:t>risk perception, compared to baseline risks that were set by the questionnaire explanation</w:t>
            </w:r>
          </w:p>
        </w:tc>
      </w:tr>
      <w:tr w:rsidR="00D87925" w:rsidRPr="009F680B" w14:paraId="30087FAB" w14:textId="77777777" w:rsidTr="00E730DF">
        <w:trPr>
          <w:trHeight w:val="286"/>
          <w:jc w:val="center"/>
        </w:trPr>
        <w:tc>
          <w:tcPr>
            <w:tcW w:w="9073" w:type="dxa"/>
            <w:tcBorders>
              <w:top w:val="single" w:sz="6" w:space="0" w:color="auto"/>
              <w:left w:val="nil"/>
              <w:bottom w:val="single" w:sz="6" w:space="0" w:color="auto"/>
              <w:right w:val="nil"/>
            </w:tcBorders>
            <w:shd w:val="clear" w:color="auto" w:fill="auto"/>
            <w:vAlign w:val="center"/>
          </w:tcPr>
          <w:p w14:paraId="76FF024F" w14:textId="77777777" w:rsidR="00D87925" w:rsidRPr="009F680B" w:rsidRDefault="00D87925" w:rsidP="00E730DF">
            <w:pPr>
              <w:ind w:left="36"/>
              <w:rPr>
                <w:rFonts w:ascii="Corbel" w:hAnsi="Corbel" w:cs="Calibri"/>
                <w:b/>
                <w:bCs/>
                <w:color w:val="000000"/>
                <w:sz w:val="18"/>
                <w:szCs w:val="18"/>
              </w:rPr>
            </w:pPr>
            <w:r w:rsidRPr="009F680B">
              <w:rPr>
                <w:rFonts w:ascii="Corbel" w:hAnsi="Corbel" w:cs="Calibri"/>
                <w:b/>
                <w:bCs/>
                <w:color w:val="000000"/>
                <w:sz w:val="18"/>
                <w:szCs w:val="20"/>
                <w:u w:val="single"/>
              </w:rPr>
              <w:t>Sample characteristics</w:t>
            </w:r>
          </w:p>
        </w:tc>
      </w:tr>
      <w:tr w:rsidR="00D87925" w:rsidRPr="009F680B" w14:paraId="6BA19A43" w14:textId="77777777" w:rsidTr="00E730DF">
        <w:trPr>
          <w:trHeight w:val="286"/>
          <w:jc w:val="center"/>
        </w:trPr>
        <w:tc>
          <w:tcPr>
            <w:tcW w:w="9073" w:type="dxa"/>
            <w:tcBorders>
              <w:top w:val="single" w:sz="6" w:space="0" w:color="auto"/>
              <w:left w:val="nil"/>
              <w:right w:val="nil"/>
            </w:tcBorders>
            <w:shd w:val="clear" w:color="auto" w:fill="auto"/>
            <w:vAlign w:val="center"/>
          </w:tcPr>
          <w:p w14:paraId="51169D69" w14:textId="77777777" w:rsidR="00D87925" w:rsidRPr="009F680B" w:rsidRDefault="00D87925" w:rsidP="00E730DF">
            <w:pPr>
              <w:ind w:left="284"/>
              <w:rPr>
                <w:rFonts w:ascii="Corbel" w:hAnsi="Corbel" w:cs="Calibri"/>
                <w:i/>
                <w:iCs/>
                <w:color w:val="000000"/>
                <w:sz w:val="18"/>
                <w:szCs w:val="18"/>
              </w:rPr>
            </w:pPr>
            <w:proofErr w:type="spellStart"/>
            <w:r>
              <w:rPr>
                <w:rFonts w:ascii="Corbel" w:hAnsi="Corbel" w:cs="Calibri"/>
                <w:i/>
                <w:iCs/>
                <w:color w:val="000000"/>
                <w:sz w:val="18"/>
                <w:szCs w:val="18"/>
              </w:rPr>
              <w:t>farmer_resp</w:t>
            </w:r>
            <w:proofErr w:type="spellEnd"/>
            <w:r>
              <w:rPr>
                <w:rFonts w:ascii="Corbel" w:hAnsi="Corbel" w:cs="Calibri"/>
                <w:i/>
                <w:iCs/>
                <w:color w:val="000000"/>
                <w:sz w:val="18"/>
                <w:szCs w:val="18"/>
              </w:rPr>
              <w:t>:</w:t>
            </w:r>
            <w:r>
              <w:rPr>
                <w:rFonts w:ascii="Corbel" w:hAnsi="Corbel" w:cs="Calibri"/>
                <w:color w:val="000000"/>
                <w:sz w:val="18"/>
                <w:szCs w:val="18"/>
              </w:rPr>
              <w:t xml:space="preserve"> dummy variable =1 when answers to the survey were provided by farmers, =0 for consumers</w:t>
            </w:r>
          </w:p>
        </w:tc>
      </w:tr>
      <w:tr w:rsidR="00D87925" w:rsidRPr="009F680B" w14:paraId="10CA5DB3" w14:textId="77777777" w:rsidTr="00E730DF">
        <w:trPr>
          <w:trHeight w:val="286"/>
          <w:jc w:val="center"/>
        </w:trPr>
        <w:tc>
          <w:tcPr>
            <w:tcW w:w="9073" w:type="dxa"/>
            <w:tcBorders>
              <w:left w:val="nil"/>
              <w:right w:val="nil"/>
            </w:tcBorders>
            <w:shd w:val="clear" w:color="auto" w:fill="auto"/>
            <w:vAlign w:val="center"/>
          </w:tcPr>
          <w:p w14:paraId="31A7E35E" w14:textId="77777777" w:rsidR="00D87925" w:rsidRPr="009F680B" w:rsidRDefault="00D87925" w:rsidP="00E730DF">
            <w:pPr>
              <w:ind w:left="284"/>
              <w:rPr>
                <w:rFonts w:ascii="Corbel" w:hAnsi="Corbel" w:cs="Calibri"/>
                <w:i/>
                <w:iCs/>
                <w:color w:val="000000"/>
                <w:sz w:val="18"/>
                <w:szCs w:val="18"/>
              </w:rPr>
            </w:pPr>
            <w:proofErr w:type="spellStart"/>
            <w:r>
              <w:rPr>
                <w:rFonts w:ascii="Corbel" w:hAnsi="Corbel" w:cs="Calibri"/>
                <w:i/>
                <w:iCs/>
                <w:color w:val="000000"/>
                <w:sz w:val="18"/>
                <w:szCs w:val="18"/>
              </w:rPr>
              <w:t>a</w:t>
            </w:r>
            <w:r w:rsidRPr="009F680B">
              <w:rPr>
                <w:rFonts w:ascii="Corbel" w:hAnsi="Corbel" w:cs="Calibri"/>
                <w:i/>
                <w:iCs/>
                <w:color w:val="000000"/>
                <w:sz w:val="18"/>
                <w:szCs w:val="18"/>
              </w:rPr>
              <w:t>sia</w:t>
            </w:r>
            <w:proofErr w:type="spellEnd"/>
            <w:r w:rsidRPr="009F680B">
              <w:rPr>
                <w:rFonts w:ascii="Corbel" w:hAnsi="Corbel" w:cs="Calibri"/>
                <w:i/>
                <w:iCs/>
                <w:color w:val="000000"/>
                <w:sz w:val="18"/>
                <w:szCs w:val="18"/>
              </w:rPr>
              <w:t xml:space="preserve">, </w:t>
            </w:r>
            <w:proofErr w:type="spellStart"/>
            <w:r>
              <w:rPr>
                <w:rFonts w:ascii="Corbel" w:hAnsi="Corbel" w:cs="Calibri"/>
                <w:i/>
                <w:iCs/>
                <w:color w:val="000000"/>
                <w:sz w:val="18"/>
                <w:szCs w:val="18"/>
              </w:rPr>
              <w:t>africa</w:t>
            </w:r>
            <w:proofErr w:type="spellEnd"/>
            <w:r>
              <w:rPr>
                <w:rFonts w:ascii="Corbel" w:hAnsi="Corbel" w:cs="Calibri"/>
                <w:i/>
                <w:iCs/>
                <w:color w:val="000000"/>
                <w:sz w:val="18"/>
                <w:szCs w:val="18"/>
              </w:rPr>
              <w:t xml:space="preserve">, </w:t>
            </w:r>
            <w:proofErr w:type="spellStart"/>
            <w:r>
              <w:rPr>
                <w:rFonts w:ascii="Corbel" w:hAnsi="Corbel" w:cs="Calibri"/>
                <w:i/>
                <w:iCs/>
                <w:color w:val="000000"/>
                <w:sz w:val="18"/>
                <w:szCs w:val="18"/>
              </w:rPr>
              <w:t>e</w:t>
            </w:r>
            <w:r w:rsidRPr="009F680B">
              <w:rPr>
                <w:rFonts w:ascii="Corbel" w:hAnsi="Corbel" w:cs="Calibri"/>
                <w:i/>
                <w:iCs/>
                <w:color w:val="000000"/>
                <w:sz w:val="18"/>
                <w:szCs w:val="18"/>
              </w:rPr>
              <w:t>urope</w:t>
            </w:r>
            <w:proofErr w:type="spellEnd"/>
            <w:r w:rsidRPr="009F680B">
              <w:rPr>
                <w:rFonts w:ascii="Corbel" w:hAnsi="Corbel" w:cs="Calibri"/>
                <w:i/>
                <w:iCs/>
                <w:color w:val="000000"/>
                <w:sz w:val="18"/>
                <w:szCs w:val="18"/>
              </w:rPr>
              <w:t xml:space="preserve">, </w:t>
            </w:r>
            <w:proofErr w:type="spellStart"/>
            <w:r>
              <w:rPr>
                <w:rFonts w:ascii="Corbel" w:hAnsi="Corbel" w:cs="Calibri"/>
                <w:i/>
                <w:iCs/>
                <w:color w:val="000000"/>
                <w:sz w:val="18"/>
                <w:szCs w:val="18"/>
              </w:rPr>
              <w:t>s_a</w:t>
            </w:r>
            <w:r w:rsidRPr="009F680B">
              <w:rPr>
                <w:rFonts w:ascii="Corbel" w:hAnsi="Corbel" w:cs="Calibri"/>
                <w:i/>
                <w:iCs/>
                <w:color w:val="000000"/>
                <w:sz w:val="18"/>
                <w:szCs w:val="18"/>
              </w:rPr>
              <w:t>merica</w:t>
            </w:r>
            <w:proofErr w:type="spellEnd"/>
            <w:r w:rsidRPr="009F680B">
              <w:rPr>
                <w:rFonts w:ascii="Corbel" w:hAnsi="Corbel" w:cs="Calibri"/>
                <w:i/>
                <w:iCs/>
                <w:color w:val="000000"/>
                <w:sz w:val="18"/>
                <w:szCs w:val="18"/>
              </w:rPr>
              <w:t xml:space="preserve">, </w:t>
            </w:r>
            <w:r>
              <w:rPr>
                <w:rFonts w:ascii="Corbel" w:hAnsi="Corbel" w:cs="Calibri"/>
                <w:i/>
                <w:iCs/>
                <w:color w:val="000000"/>
                <w:sz w:val="18"/>
                <w:szCs w:val="18"/>
              </w:rPr>
              <w:t>USA</w:t>
            </w:r>
            <w:r w:rsidRPr="009F680B">
              <w:rPr>
                <w:rFonts w:ascii="Corbel" w:hAnsi="Corbel" w:cs="Calibri"/>
                <w:i/>
                <w:iCs/>
                <w:color w:val="000000"/>
                <w:sz w:val="18"/>
                <w:szCs w:val="18"/>
              </w:rPr>
              <w:t>:</w:t>
            </w:r>
            <w:r w:rsidRPr="009F680B">
              <w:rPr>
                <w:rFonts w:ascii="Corbel" w:hAnsi="Corbel" w:cs="Calibri"/>
                <w:iCs/>
                <w:color w:val="000000"/>
                <w:sz w:val="18"/>
                <w:szCs w:val="18"/>
              </w:rPr>
              <w:t xml:space="preserve"> dummy variable</w:t>
            </w:r>
            <w:r>
              <w:rPr>
                <w:rFonts w:ascii="Corbel" w:hAnsi="Corbel" w:cs="Calibri"/>
                <w:iCs/>
                <w:color w:val="000000"/>
                <w:sz w:val="18"/>
                <w:szCs w:val="18"/>
              </w:rPr>
              <w:t xml:space="preserve">s </w:t>
            </w:r>
            <w:r w:rsidRPr="009F680B">
              <w:rPr>
                <w:rFonts w:ascii="Corbel" w:hAnsi="Corbel" w:cs="Calibri"/>
                <w:iCs/>
                <w:color w:val="000000"/>
                <w:sz w:val="18"/>
                <w:szCs w:val="18"/>
              </w:rPr>
              <w:t xml:space="preserve">=1 if the primary study was conducted in Asia, </w:t>
            </w:r>
            <w:r>
              <w:rPr>
                <w:rFonts w:ascii="Corbel" w:hAnsi="Corbel" w:cs="Calibri"/>
                <w:iCs/>
                <w:color w:val="000000"/>
                <w:sz w:val="18"/>
                <w:szCs w:val="18"/>
              </w:rPr>
              <w:t xml:space="preserve">Africa, </w:t>
            </w:r>
            <w:r w:rsidRPr="009F680B">
              <w:rPr>
                <w:rFonts w:ascii="Corbel" w:hAnsi="Corbel" w:cs="Calibri"/>
                <w:iCs/>
                <w:color w:val="000000"/>
                <w:sz w:val="18"/>
                <w:szCs w:val="18"/>
              </w:rPr>
              <w:t xml:space="preserve">Europe, South America </w:t>
            </w:r>
            <w:r>
              <w:rPr>
                <w:rFonts w:ascii="Corbel" w:hAnsi="Corbel" w:cs="Calibri"/>
                <w:iCs/>
                <w:color w:val="000000"/>
                <w:sz w:val="18"/>
                <w:szCs w:val="18"/>
              </w:rPr>
              <w:t>or</w:t>
            </w:r>
            <w:r w:rsidRPr="009F680B">
              <w:rPr>
                <w:rFonts w:ascii="Corbel" w:hAnsi="Corbel" w:cs="Calibri"/>
                <w:iCs/>
                <w:color w:val="000000"/>
                <w:sz w:val="18"/>
                <w:szCs w:val="18"/>
              </w:rPr>
              <w:t xml:space="preserve"> </w:t>
            </w:r>
            <w:r>
              <w:rPr>
                <w:rFonts w:ascii="Corbel" w:hAnsi="Corbel" w:cs="Calibri"/>
                <w:iCs/>
                <w:color w:val="000000"/>
                <w:sz w:val="18"/>
                <w:szCs w:val="18"/>
              </w:rPr>
              <w:t>the United States</w:t>
            </w:r>
            <w:r w:rsidRPr="009F680B">
              <w:rPr>
                <w:rFonts w:ascii="Corbel" w:hAnsi="Corbel" w:cs="Calibri"/>
                <w:iCs/>
                <w:color w:val="000000"/>
                <w:sz w:val="18"/>
                <w:szCs w:val="18"/>
              </w:rPr>
              <w:t>, respectively</w:t>
            </w:r>
          </w:p>
        </w:tc>
      </w:tr>
      <w:tr w:rsidR="00D87925" w:rsidRPr="009F680B" w14:paraId="506FE813" w14:textId="77777777" w:rsidTr="00E730DF">
        <w:trPr>
          <w:trHeight w:val="286"/>
          <w:jc w:val="center"/>
        </w:trPr>
        <w:tc>
          <w:tcPr>
            <w:tcW w:w="9073" w:type="dxa"/>
            <w:tcBorders>
              <w:left w:val="nil"/>
              <w:right w:val="nil"/>
            </w:tcBorders>
            <w:shd w:val="clear" w:color="auto" w:fill="auto"/>
            <w:vAlign w:val="center"/>
          </w:tcPr>
          <w:p w14:paraId="3E79599E" w14:textId="77777777" w:rsidR="00D87925" w:rsidRPr="009F680B" w:rsidRDefault="00D87925" w:rsidP="00E730DF">
            <w:pPr>
              <w:ind w:left="284"/>
              <w:rPr>
                <w:rFonts w:ascii="Corbel" w:hAnsi="Corbel" w:cs="Calibri"/>
                <w:b/>
                <w:bCs/>
                <w:color w:val="000000"/>
                <w:sz w:val="18"/>
                <w:szCs w:val="18"/>
              </w:rPr>
            </w:pPr>
            <w:r w:rsidRPr="009F680B">
              <w:rPr>
                <w:rFonts w:ascii="Corbel" w:hAnsi="Corbel" w:cs="Calibri"/>
                <w:i/>
                <w:iCs/>
                <w:color w:val="000000"/>
                <w:sz w:val="18"/>
                <w:szCs w:val="18"/>
              </w:rPr>
              <w:t xml:space="preserve">log(income): </w:t>
            </w:r>
            <w:r w:rsidRPr="009F680B">
              <w:rPr>
                <w:rFonts w:ascii="Corbel" w:hAnsi="Corbel" w:cs="Calibri"/>
                <w:color w:val="000000"/>
                <w:sz w:val="18"/>
                <w:szCs w:val="18"/>
              </w:rPr>
              <w:t>continuous variable that states the income from respondents or income per capita, depending on which information was available for each primary study, in logarithmic scale</w:t>
            </w:r>
          </w:p>
        </w:tc>
      </w:tr>
      <w:tr w:rsidR="00D87925" w:rsidRPr="009F680B" w14:paraId="2539DC7F" w14:textId="77777777" w:rsidTr="00E730DF">
        <w:trPr>
          <w:trHeight w:val="286"/>
          <w:jc w:val="center"/>
        </w:trPr>
        <w:tc>
          <w:tcPr>
            <w:tcW w:w="9073" w:type="dxa"/>
            <w:tcBorders>
              <w:left w:val="nil"/>
              <w:right w:val="nil"/>
            </w:tcBorders>
            <w:shd w:val="clear" w:color="auto" w:fill="auto"/>
            <w:vAlign w:val="center"/>
          </w:tcPr>
          <w:p w14:paraId="70270D65" w14:textId="77777777" w:rsidR="00D87925" w:rsidRPr="009F680B" w:rsidRDefault="00D87925" w:rsidP="00E730DF">
            <w:pPr>
              <w:ind w:left="284"/>
              <w:rPr>
                <w:rFonts w:ascii="Corbel" w:hAnsi="Corbel" w:cs="Calibri"/>
                <w:b/>
                <w:bCs/>
                <w:color w:val="000000"/>
                <w:sz w:val="18"/>
                <w:szCs w:val="18"/>
              </w:rPr>
            </w:pPr>
            <w:r w:rsidRPr="009F680B">
              <w:rPr>
                <w:rFonts w:ascii="Corbel" w:hAnsi="Corbel" w:cs="Calibri"/>
                <w:i/>
                <w:iCs/>
                <w:color w:val="000000"/>
                <w:sz w:val="18"/>
                <w:szCs w:val="18"/>
              </w:rPr>
              <w:t>age</w:t>
            </w:r>
            <w:r w:rsidRPr="009F680B">
              <w:rPr>
                <w:rFonts w:ascii="Corbel" w:hAnsi="Corbel" w:cs="Calibri"/>
                <w:color w:val="000000"/>
                <w:sz w:val="18"/>
                <w:szCs w:val="18"/>
              </w:rPr>
              <w:t>: continuous variable that states the mean age of the respondents from the primary study, or from the state/country where they were performed</w:t>
            </w:r>
          </w:p>
        </w:tc>
      </w:tr>
      <w:tr w:rsidR="00D87925" w:rsidRPr="009F680B" w14:paraId="42AB73AC" w14:textId="77777777" w:rsidTr="00E730DF">
        <w:trPr>
          <w:trHeight w:val="286"/>
          <w:jc w:val="center"/>
        </w:trPr>
        <w:tc>
          <w:tcPr>
            <w:tcW w:w="9073" w:type="dxa"/>
            <w:tcBorders>
              <w:left w:val="nil"/>
              <w:bottom w:val="single" w:sz="6" w:space="0" w:color="auto"/>
              <w:right w:val="nil"/>
            </w:tcBorders>
            <w:shd w:val="clear" w:color="auto" w:fill="auto"/>
            <w:vAlign w:val="center"/>
          </w:tcPr>
          <w:p w14:paraId="37CCB0E8" w14:textId="77777777" w:rsidR="00D87925" w:rsidRPr="009F680B" w:rsidRDefault="00D87925" w:rsidP="00E730DF">
            <w:pPr>
              <w:ind w:left="284"/>
              <w:rPr>
                <w:rFonts w:ascii="Corbel" w:hAnsi="Corbel" w:cs="Calibri"/>
                <w:b/>
                <w:bCs/>
                <w:color w:val="000000"/>
                <w:sz w:val="18"/>
                <w:szCs w:val="18"/>
              </w:rPr>
            </w:pPr>
            <w:r>
              <w:rPr>
                <w:rFonts w:ascii="Corbel" w:hAnsi="Corbel" w:cs="Calibri"/>
                <w:i/>
                <w:iCs/>
                <w:color w:val="000000"/>
                <w:sz w:val="18"/>
                <w:szCs w:val="18"/>
              </w:rPr>
              <w:t>age2</w:t>
            </w:r>
            <w:r w:rsidRPr="009F680B">
              <w:rPr>
                <w:rFonts w:ascii="Corbel" w:hAnsi="Corbel" w:cs="Calibri"/>
                <w:color w:val="000000"/>
                <w:sz w:val="18"/>
                <w:szCs w:val="18"/>
              </w:rPr>
              <w:t xml:space="preserve">: continuous variable defined as the square of the variable </w:t>
            </w:r>
            <w:r w:rsidRPr="009F680B">
              <w:rPr>
                <w:rFonts w:ascii="Corbel" w:hAnsi="Corbel" w:cs="Calibri"/>
                <w:i/>
                <w:iCs/>
                <w:color w:val="000000"/>
                <w:sz w:val="18"/>
                <w:szCs w:val="18"/>
              </w:rPr>
              <w:t>age</w:t>
            </w:r>
          </w:p>
        </w:tc>
      </w:tr>
    </w:tbl>
    <w:p w14:paraId="46815A96" w14:textId="77777777" w:rsidR="00D87925" w:rsidRDefault="00D87925" w:rsidP="00D87925">
      <w:pPr>
        <w:pStyle w:val="Caption"/>
        <w:keepNext/>
        <w:rPr>
          <w:color w:val="000000" w:themeColor="text1"/>
        </w:rPr>
      </w:pPr>
    </w:p>
    <w:p w14:paraId="6B7D02CF" w14:textId="77777777" w:rsidR="00D87925" w:rsidRDefault="00D87925" w:rsidP="00D87925">
      <w:pPr>
        <w:pStyle w:val="Caption"/>
        <w:keepNext/>
        <w:rPr>
          <w:color w:val="000000" w:themeColor="text1"/>
        </w:rPr>
      </w:pPr>
    </w:p>
    <w:p w14:paraId="35E1A2A1" w14:textId="77777777" w:rsidR="00D87925" w:rsidRDefault="00D87925" w:rsidP="00D87925"/>
    <w:p w14:paraId="2C28D5D4" w14:textId="3CFD22D6" w:rsidR="00D87925" w:rsidRPr="00875E8A" w:rsidRDefault="00D87925" w:rsidP="00D87925">
      <w:pPr>
        <w:rPr>
          <w:sz w:val="22"/>
          <w:szCs w:val="22"/>
        </w:rPr>
      </w:pPr>
      <w:r w:rsidRPr="00875E8A">
        <w:rPr>
          <w:sz w:val="22"/>
          <w:szCs w:val="22"/>
        </w:rPr>
        <w:t xml:space="preserve">Table </w:t>
      </w:r>
      <w:r w:rsidR="00C61C30">
        <w:rPr>
          <w:sz w:val="22"/>
          <w:szCs w:val="22"/>
        </w:rPr>
        <w:t>3</w:t>
      </w:r>
      <w:r w:rsidRPr="00875E8A">
        <w:rPr>
          <w:sz w:val="22"/>
          <w:szCs w:val="22"/>
        </w:rPr>
        <w:t>: Explanatory and predictive power indicators across the reduced and full FGLS model</w:t>
      </w:r>
      <w:r w:rsidR="00663A96">
        <w:rPr>
          <w:sz w:val="22"/>
          <w:szCs w:val="22"/>
        </w:rPr>
        <w:t>s</w:t>
      </w:r>
      <w:r w:rsidRPr="00875E8A">
        <w:rPr>
          <w:sz w:val="22"/>
          <w:szCs w:val="22"/>
        </w:rPr>
        <w:t xml:space="preserve"> and the weighted FGLS model </w:t>
      </w:r>
    </w:p>
    <w:p w14:paraId="359FE99A" w14:textId="77777777" w:rsidR="00D87925" w:rsidRPr="00EF4896" w:rsidRDefault="00D87925" w:rsidP="00D87925">
      <w:pPr>
        <w:rPr>
          <w:i/>
          <w:iCs/>
        </w:rPr>
      </w:pPr>
    </w:p>
    <w:tbl>
      <w:tblPr>
        <w:tblStyle w:val="TableGrid"/>
        <w:tblW w:w="6026" w:type="dxa"/>
        <w:jc w:val="center"/>
        <w:tblLook w:val="04A0" w:firstRow="1" w:lastRow="0" w:firstColumn="1" w:lastColumn="0" w:noHBand="0" w:noVBand="1"/>
      </w:tblPr>
      <w:tblGrid>
        <w:gridCol w:w="2503"/>
        <w:gridCol w:w="992"/>
        <w:gridCol w:w="1455"/>
        <w:gridCol w:w="1076"/>
      </w:tblGrid>
      <w:tr w:rsidR="00D87925" w:rsidRPr="005679B1" w14:paraId="0597078B" w14:textId="77777777" w:rsidTr="00E730DF">
        <w:trPr>
          <w:jc w:val="center"/>
        </w:trPr>
        <w:tc>
          <w:tcPr>
            <w:tcW w:w="2503" w:type="dxa"/>
            <w:vAlign w:val="center"/>
          </w:tcPr>
          <w:p w14:paraId="52D18CA4" w14:textId="77777777" w:rsidR="00D87925" w:rsidRPr="005679B1" w:rsidRDefault="00D87925" w:rsidP="00E730DF">
            <w:pPr>
              <w:jc w:val="center"/>
              <w:rPr>
                <w:rFonts w:ascii="Corbel" w:hAnsi="Corbel"/>
                <w:b/>
                <w:bCs/>
              </w:rPr>
            </w:pPr>
            <w:r w:rsidRPr="005679B1">
              <w:rPr>
                <w:rFonts w:ascii="Corbel" w:hAnsi="Corbel"/>
                <w:b/>
                <w:bCs/>
              </w:rPr>
              <w:t>Model</w:t>
            </w:r>
          </w:p>
        </w:tc>
        <w:tc>
          <w:tcPr>
            <w:tcW w:w="992" w:type="dxa"/>
            <w:vAlign w:val="center"/>
          </w:tcPr>
          <w:p w14:paraId="4C0D454C" w14:textId="77777777" w:rsidR="00D87925" w:rsidRPr="005679B1" w:rsidRDefault="00D87925" w:rsidP="00E730DF">
            <w:pPr>
              <w:jc w:val="center"/>
              <w:rPr>
                <w:rFonts w:ascii="Corbel" w:hAnsi="Corbel"/>
                <w:b/>
                <w:bCs/>
              </w:rPr>
            </w:pPr>
            <w:r w:rsidRPr="005679B1">
              <w:rPr>
                <w:rFonts w:ascii="Corbel" w:hAnsi="Corbel"/>
                <w:b/>
                <w:bCs/>
              </w:rPr>
              <w:t>Pseudo-R</w:t>
            </w:r>
            <w:r w:rsidRPr="005679B1">
              <w:rPr>
                <w:rFonts w:ascii="Corbel" w:hAnsi="Corbel"/>
                <w:b/>
                <w:bCs/>
                <w:vertAlign w:val="superscript"/>
              </w:rPr>
              <w:t>2</w:t>
            </w:r>
          </w:p>
        </w:tc>
        <w:tc>
          <w:tcPr>
            <w:tcW w:w="1455" w:type="dxa"/>
            <w:vAlign w:val="center"/>
          </w:tcPr>
          <w:p w14:paraId="342846A8" w14:textId="77777777" w:rsidR="00D87925" w:rsidRPr="005679B1" w:rsidRDefault="00D87925" w:rsidP="00E730DF">
            <w:pPr>
              <w:jc w:val="center"/>
              <w:rPr>
                <w:rFonts w:ascii="Corbel" w:hAnsi="Corbel"/>
                <w:b/>
                <w:bCs/>
              </w:rPr>
            </w:pPr>
            <w:r w:rsidRPr="005679B1">
              <w:rPr>
                <w:rFonts w:ascii="Corbel" w:hAnsi="Corbel"/>
                <w:b/>
                <w:bCs/>
              </w:rPr>
              <w:t>Correlation coefficient</w:t>
            </w:r>
          </w:p>
        </w:tc>
        <w:tc>
          <w:tcPr>
            <w:tcW w:w="1076" w:type="dxa"/>
            <w:vAlign w:val="center"/>
          </w:tcPr>
          <w:p w14:paraId="082B70E7" w14:textId="77777777" w:rsidR="00D87925" w:rsidRPr="005679B1" w:rsidRDefault="00D87925" w:rsidP="00E730DF">
            <w:pPr>
              <w:jc w:val="center"/>
              <w:rPr>
                <w:rFonts w:ascii="Corbel" w:hAnsi="Corbel"/>
                <w:b/>
                <w:bCs/>
              </w:rPr>
            </w:pPr>
            <w:r w:rsidRPr="005679B1">
              <w:rPr>
                <w:rFonts w:ascii="Corbel" w:hAnsi="Corbel"/>
                <w:b/>
                <w:bCs/>
              </w:rPr>
              <w:t>MAPE</w:t>
            </w:r>
          </w:p>
        </w:tc>
      </w:tr>
      <w:tr w:rsidR="00D87925" w14:paraId="3795D9D6" w14:textId="77777777" w:rsidTr="00E730DF">
        <w:trPr>
          <w:jc w:val="center"/>
        </w:trPr>
        <w:tc>
          <w:tcPr>
            <w:tcW w:w="2503" w:type="dxa"/>
            <w:vAlign w:val="center"/>
          </w:tcPr>
          <w:p w14:paraId="0E0906C3" w14:textId="5940D904" w:rsidR="00D87925" w:rsidRPr="005679B1" w:rsidRDefault="00D87925" w:rsidP="00E730DF">
            <w:pPr>
              <w:rPr>
                <w:rFonts w:ascii="Corbel" w:hAnsi="Corbel"/>
              </w:rPr>
            </w:pPr>
            <w:r w:rsidRPr="005679B1">
              <w:rPr>
                <w:rFonts w:ascii="Corbel" w:hAnsi="Corbel"/>
              </w:rPr>
              <w:t>Reduced FGLS good</w:t>
            </w:r>
            <w:r w:rsidR="007C4D79">
              <w:rPr>
                <w:rFonts w:ascii="Corbel" w:hAnsi="Corbel"/>
              </w:rPr>
              <w:t xml:space="preserve"> </w:t>
            </w:r>
            <w:r w:rsidRPr="005679B1">
              <w:rPr>
                <w:rFonts w:ascii="Corbel" w:hAnsi="Corbel"/>
              </w:rPr>
              <w:t>characteristics only</w:t>
            </w:r>
          </w:p>
        </w:tc>
        <w:tc>
          <w:tcPr>
            <w:tcW w:w="992" w:type="dxa"/>
            <w:vAlign w:val="center"/>
          </w:tcPr>
          <w:p w14:paraId="0B552136" w14:textId="77777777" w:rsidR="00D87925" w:rsidRPr="005679B1" w:rsidRDefault="00D87925" w:rsidP="00E730DF">
            <w:pPr>
              <w:jc w:val="center"/>
              <w:rPr>
                <w:rFonts w:ascii="Corbel" w:hAnsi="Corbel"/>
              </w:rPr>
            </w:pPr>
            <w:r w:rsidRPr="00D57F8F">
              <w:rPr>
                <w:rFonts w:ascii="Corbel" w:hAnsi="Corbel"/>
              </w:rPr>
              <w:t>0.399</w:t>
            </w:r>
          </w:p>
        </w:tc>
        <w:tc>
          <w:tcPr>
            <w:tcW w:w="1455" w:type="dxa"/>
            <w:vAlign w:val="center"/>
          </w:tcPr>
          <w:p w14:paraId="5BE7DB33" w14:textId="77777777" w:rsidR="00D87925" w:rsidRPr="005679B1" w:rsidRDefault="00D87925" w:rsidP="00E730DF">
            <w:pPr>
              <w:jc w:val="center"/>
              <w:rPr>
                <w:rFonts w:ascii="Corbel" w:hAnsi="Corbel"/>
              </w:rPr>
            </w:pPr>
            <w:r w:rsidRPr="00D57F8F">
              <w:rPr>
                <w:rFonts w:ascii="Corbel" w:hAnsi="Corbel"/>
              </w:rPr>
              <w:t>0.6636</w:t>
            </w:r>
          </w:p>
        </w:tc>
        <w:tc>
          <w:tcPr>
            <w:tcW w:w="1076" w:type="dxa"/>
            <w:vAlign w:val="center"/>
          </w:tcPr>
          <w:p w14:paraId="68D11169" w14:textId="77777777" w:rsidR="00D87925" w:rsidRPr="005679B1" w:rsidRDefault="00D87925" w:rsidP="00E730DF">
            <w:pPr>
              <w:jc w:val="center"/>
              <w:rPr>
                <w:rFonts w:ascii="Corbel" w:hAnsi="Corbel"/>
              </w:rPr>
            </w:pPr>
            <w:r w:rsidRPr="00D57F8F">
              <w:rPr>
                <w:rFonts w:ascii="Corbel" w:hAnsi="Corbel"/>
              </w:rPr>
              <w:t>0.931</w:t>
            </w:r>
          </w:p>
        </w:tc>
      </w:tr>
      <w:tr w:rsidR="00D87925" w14:paraId="13503EC5" w14:textId="77777777" w:rsidTr="00E730DF">
        <w:trPr>
          <w:jc w:val="center"/>
        </w:trPr>
        <w:tc>
          <w:tcPr>
            <w:tcW w:w="2503" w:type="dxa"/>
            <w:vAlign w:val="center"/>
          </w:tcPr>
          <w:p w14:paraId="0AD2C7C7" w14:textId="77777777" w:rsidR="00D87925" w:rsidRPr="005679B1" w:rsidRDefault="00D87925" w:rsidP="00E730DF">
            <w:pPr>
              <w:rPr>
                <w:rFonts w:ascii="Corbel" w:hAnsi="Corbel"/>
              </w:rPr>
            </w:pPr>
            <w:r w:rsidRPr="005679B1">
              <w:rPr>
                <w:rFonts w:ascii="Corbel" w:hAnsi="Corbel"/>
              </w:rPr>
              <w:t>Reduced FGLS good and study characteristics</w:t>
            </w:r>
          </w:p>
        </w:tc>
        <w:tc>
          <w:tcPr>
            <w:tcW w:w="992" w:type="dxa"/>
            <w:vAlign w:val="center"/>
          </w:tcPr>
          <w:p w14:paraId="5346D962" w14:textId="77777777" w:rsidR="00D87925" w:rsidRPr="005679B1" w:rsidRDefault="00D87925" w:rsidP="00E730DF">
            <w:pPr>
              <w:jc w:val="center"/>
              <w:rPr>
                <w:rFonts w:ascii="Corbel" w:hAnsi="Corbel"/>
              </w:rPr>
            </w:pPr>
            <w:r w:rsidRPr="00D57F8F">
              <w:rPr>
                <w:rFonts w:ascii="Corbel" w:hAnsi="Corbel"/>
              </w:rPr>
              <w:t>0.512</w:t>
            </w:r>
          </w:p>
        </w:tc>
        <w:tc>
          <w:tcPr>
            <w:tcW w:w="1455" w:type="dxa"/>
            <w:vAlign w:val="center"/>
          </w:tcPr>
          <w:p w14:paraId="600E785D" w14:textId="77777777" w:rsidR="00D87925" w:rsidRPr="005679B1" w:rsidRDefault="00D87925" w:rsidP="00E730DF">
            <w:pPr>
              <w:jc w:val="center"/>
              <w:rPr>
                <w:rFonts w:ascii="Corbel" w:hAnsi="Corbel"/>
              </w:rPr>
            </w:pPr>
            <w:r w:rsidRPr="00D57F8F">
              <w:rPr>
                <w:rFonts w:ascii="Corbel" w:hAnsi="Corbel"/>
              </w:rPr>
              <w:t>0.8038</w:t>
            </w:r>
          </w:p>
        </w:tc>
        <w:tc>
          <w:tcPr>
            <w:tcW w:w="1076" w:type="dxa"/>
            <w:vAlign w:val="center"/>
          </w:tcPr>
          <w:p w14:paraId="262C79FA" w14:textId="77777777" w:rsidR="00D87925" w:rsidRPr="005679B1" w:rsidRDefault="00D87925" w:rsidP="00E730DF">
            <w:pPr>
              <w:jc w:val="center"/>
              <w:rPr>
                <w:rFonts w:ascii="Corbel" w:hAnsi="Corbel"/>
              </w:rPr>
            </w:pPr>
            <w:r w:rsidRPr="00D57F8F">
              <w:rPr>
                <w:rFonts w:ascii="Corbel" w:hAnsi="Corbel"/>
              </w:rPr>
              <w:t>0.757</w:t>
            </w:r>
          </w:p>
        </w:tc>
      </w:tr>
      <w:tr w:rsidR="00D87925" w14:paraId="6EF28311" w14:textId="77777777" w:rsidTr="00E730DF">
        <w:trPr>
          <w:jc w:val="center"/>
        </w:trPr>
        <w:tc>
          <w:tcPr>
            <w:tcW w:w="2503" w:type="dxa"/>
            <w:vAlign w:val="center"/>
          </w:tcPr>
          <w:p w14:paraId="0884C1F8" w14:textId="77777777" w:rsidR="00D87925" w:rsidRPr="005679B1" w:rsidRDefault="00D87925" w:rsidP="00E730DF">
            <w:pPr>
              <w:rPr>
                <w:rFonts w:ascii="Corbel" w:hAnsi="Corbel"/>
              </w:rPr>
            </w:pPr>
            <w:r w:rsidRPr="005679B1">
              <w:rPr>
                <w:rFonts w:ascii="Corbel" w:hAnsi="Corbel"/>
              </w:rPr>
              <w:t xml:space="preserve">Full FGLS </w:t>
            </w:r>
            <w:r>
              <w:rPr>
                <w:rFonts w:ascii="Corbel" w:hAnsi="Corbel"/>
              </w:rPr>
              <w:t>including sample characteristics</w:t>
            </w:r>
          </w:p>
        </w:tc>
        <w:tc>
          <w:tcPr>
            <w:tcW w:w="992" w:type="dxa"/>
            <w:vAlign w:val="center"/>
          </w:tcPr>
          <w:p w14:paraId="6811F59F" w14:textId="77777777" w:rsidR="00D87925" w:rsidRPr="005679B1" w:rsidRDefault="00D87925" w:rsidP="00E730DF">
            <w:pPr>
              <w:jc w:val="center"/>
              <w:rPr>
                <w:rFonts w:ascii="Corbel" w:hAnsi="Corbel"/>
              </w:rPr>
            </w:pPr>
            <w:r w:rsidRPr="005679B1">
              <w:rPr>
                <w:rFonts w:ascii="Corbel" w:hAnsi="Corbel"/>
              </w:rPr>
              <w:t>0.518</w:t>
            </w:r>
          </w:p>
        </w:tc>
        <w:tc>
          <w:tcPr>
            <w:tcW w:w="1455" w:type="dxa"/>
            <w:vAlign w:val="center"/>
          </w:tcPr>
          <w:p w14:paraId="1408CD40" w14:textId="77777777" w:rsidR="00D87925" w:rsidRPr="005679B1" w:rsidRDefault="00D87925" w:rsidP="00E730DF">
            <w:pPr>
              <w:jc w:val="center"/>
              <w:rPr>
                <w:rFonts w:ascii="Corbel" w:hAnsi="Corbel"/>
              </w:rPr>
            </w:pPr>
            <w:r w:rsidRPr="005679B1">
              <w:rPr>
                <w:rFonts w:ascii="Corbel" w:hAnsi="Corbel"/>
              </w:rPr>
              <w:t>0.8363</w:t>
            </w:r>
          </w:p>
        </w:tc>
        <w:tc>
          <w:tcPr>
            <w:tcW w:w="1076" w:type="dxa"/>
            <w:vAlign w:val="center"/>
          </w:tcPr>
          <w:p w14:paraId="30B6C6B9" w14:textId="77777777" w:rsidR="00D87925" w:rsidRPr="005679B1" w:rsidRDefault="00D87925" w:rsidP="00E730DF">
            <w:pPr>
              <w:jc w:val="center"/>
              <w:rPr>
                <w:rFonts w:ascii="Corbel" w:hAnsi="Corbel"/>
              </w:rPr>
            </w:pPr>
            <w:r w:rsidRPr="005679B1">
              <w:rPr>
                <w:rFonts w:ascii="Corbel" w:hAnsi="Corbel"/>
              </w:rPr>
              <w:t>0.741</w:t>
            </w:r>
          </w:p>
        </w:tc>
      </w:tr>
      <w:tr w:rsidR="00D87925" w14:paraId="12DF9BCB" w14:textId="77777777" w:rsidTr="00E730DF">
        <w:trPr>
          <w:jc w:val="center"/>
        </w:trPr>
        <w:tc>
          <w:tcPr>
            <w:tcW w:w="2503" w:type="dxa"/>
            <w:vAlign w:val="center"/>
          </w:tcPr>
          <w:p w14:paraId="689B178A" w14:textId="77777777" w:rsidR="00D87925" w:rsidRPr="005679B1" w:rsidRDefault="00D87925" w:rsidP="00E730DF">
            <w:pPr>
              <w:rPr>
                <w:rFonts w:ascii="Corbel" w:hAnsi="Corbel"/>
              </w:rPr>
            </w:pPr>
            <w:r w:rsidRPr="005679B1">
              <w:rPr>
                <w:rFonts w:ascii="Corbel" w:hAnsi="Corbel"/>
              </w:rPr>
              <w:t>Weighted FGLS</w:t>
            </w:r>
          </w:p>
        </w:tc>
        <w:tc>
          <w:tcPr>
            <w:tcW w:w="992" w:type="dxa"/>
            <w:vAlign w:val="center"/>
          </w:tcPr>
          <w:p w14:paraId="20E2E66C" w14:textId="77777777" w:rsidR="00D87925" w:rsidRPr="00D57F8F" w:rsidRDefault="00D87925" w:rsidP="00E730DF">
            <w:pPr>
              <w:jc w:val="center"/>
              <w:rPr>
                <w:rFonts w:ascii="Corbel" w:hAnsi="Corbel"/>
              </w:rPr>
            </w:pPr>
            <w:r w:rsidRPr="00D57F8F">
              <w:rPr>
                <w:rFonts w:ascii="Corbel" w:hAnsi="Corbel"/>
              </w:rPr>
              <w:t>0.499</w:t>
            </w:r>
          </w:p>
        </w:tc>
        <w:tc>
          <w:tcPr>
            <w:tcW w:w="1455" w:type="dxa"/>
            <w:vAlign w:val="center"/>
          </w:tcPr>
          <w:p w14:paraId="3BAE762E" w14:textId="77777777" w:rsidR="00D87925" w:rsidRPr="00D57F8F" w:rsidRDefault="00D87925" w:rsidP="00E730DF">
            <w:pPr>
              <w:jc w:val="center"/>
              <w:rPr>
                <w:rFonts w:ascii="Corbel" w:hAnsi="Corbel"/>
              </w:rPr>
            </w:pPr>
            <w:r w:rsidRPr="00D57F8F">
              <w:rPr>
                <w:rFonts w:ascii="Corbel" w:hAnsi="Corbel"/>
              </w:rPr>
              <w:t>0.6027</w:t>
            </w:r>
          </w:p>
        </w:tc>
        <w:tc>
          <w:tcPr>
            <w:tcW w:w="1076" w:type="dxa"/>
            <w:vAlign w:val="center"/>
          </w:tcPr>
          <w:p w14:paraId="2EF89E59" w14:textId="77777777" w:rsidR="00D87925" w:rsidRPr="005679B1" w:rsidRDefault="00D87925" w:rsidP="00E730DF">
            <w:pPr>
              <w:jc w:val="center"/>
              <w:rPr>
                <w:rFonts w:ascii="Corbel" w:hAnsi="Corbel"/>
              </w:rPr>
            </w:pPr>
            <w:r w:rsidRPr="00D57F8F">
              <w:rPr>
                <w:rFonts w:ascii="Corbel" w:hAnsi="Corbel"/>
              </w:rPr>
              <w:t>1.575</w:t>
            </w:r>
          </w:p>
        </w:tc>
      </w:tr>
    </w:tbl>
    <w:p w14:paraId="5A878803" w14:textId="77777777" w:rsidR="00467F4D" w:rsidRDefault="00467F4D"/>
    <w:p w14:paraId="59D78C8F" w14:textId="77777777" w:rsidR="00C2702E" w:rsidRDefault="00C2702E"/>
    <w:p w14:paraId="496F7F2A" w14:textId="77777777" w:rsidR="00654530" w:rsidRDefault="00654530" w:rsidP="00C2702E">
      <w:pPr>
        <w:tabs>
          <w:tab w:val="left" w:pos="851"/>
        </w:tabs>
        <w:spacing w:line="480" w:lineRule="auto"/>
        <w:rPr>
          <w:b/>
          <w:bCs/>
          <w:sz w:val="22"/>
          <w:szCs w:val="22"/>
        </w:rPr>
      </w:pPr>
    </w:p>
    <w:p w14:paraId="6FC1ED4B" w14:textId="046FA091" w:rsidR="00C2702E" w:rsidRPr="00C2702E" w:rsidRDefault="00C2702E" w:rsidP="00C2702E">
      <w:pPr>
        <w:tabs>
          <w:tab w:val="left" w:pos="851"/>
        </w:tabs>
        <w:spacing w:line="480" w:lineRule="auto"/>
        <w:rPr>
          <w:b/>
          <w:bCs/>
          <w:sz w:val="22"/>
          <w:szCs w:val="22"/>
        </w:rPr>
      </w:pPr>
      <w:r>
        <w:rPr>
          <w:b/>
          <w:bCs/>
          <w:sz w:val="22"/>
          <w:szCs w:val="22"/>
        </w:rPr>
        <w:t>Figures and tables legends</w:t>
      </w:r>
      <w:r>
        <w:rPr>
          <w:b/>
          <w:bCs/>
          <w:sz w:val="22"/>
          <w:szCs w:val="22"/>
        </w:rPr>
        <w:t xml:space="preserve"> (Appendix)</w:t>
      </w:r>
    </w:p>
    <w:p w14:paraId="63331AA7" w14:textId="5A636648" w:rsidR="007B7721" w:rsidRDefault="007B7721" w:rsidP="007B7721">
      <w:pPr>
        <w:tabs>
          <w:tab w:val="left" w:pos="851"/>
        </w:tabs>
        <w:spacing w:line="480" w:lineRule="auto"/>
        <w:rPr>
          <w:sz w:val="22"/>
          <w:szCs w:val="22"/>
        </w:rPr>
      </w:pPr>
      <w:r>
        <w:rPr>
          <w:sz w:val="22"/>
          <w:szCs w:val="22"/>
        </w:rPr>
        <w:t xml:space="preserve">Table </w:t>
      </w:r>
      <w:r>
        <w:rPr>
          <w:sz w:val="22"/>
          <w:szCs w:val="22"/>
        </w:rPr>
        <w:t>1</w:t>
      </w:r>
      <w:r>
        <w:rPr>
          <w:sz w:val="22"/>
          <w:szCs w:val="22"/>
        </w:rPr>
        <w:t xml:space="preserve">: </w:t>
      </w:r>
      <w:r w:rsidRPr="00D823B1">
        <w:rPr>
          <w:sz w:val="22"/>
          <w:szCs w:val="22"/>
        </w:rPr>
        <w:t>Univariate summary statistics (average WTP per person per year in 2021 US$)</w:t>
      </w:r>
      <w:r>
        <w:rPr>
          <w:sz w:val="22"/>
          <w:szCs w:val="22"/>
        </w:rPr>
        <w:t>.</w:t>
      </w:r>
    </w:p>
    <w:p w14:paraId="66A85789" w14:textId="35FF3777" w:rsidR="007B7721" w:rsidRPr="007B7721" w:rsidRDefault="007B7721" w:rsidP="007B7721">
      <w:pPr>
        <w:tabs>
          <w:tab w:val="left" w:pos="851"/>
        </w:tabs>
        <w:spacing w:line="480" w:lineRule="auto"/>
        <w:rPr>
          <w:sz w:val="22"/>
          <w:szCs w:val="22"/>
        </w:rPr>
      </w:pPr>
      <w:r>
        <w:rPr>
          <w:sz w:val="22"/>
          <w:szCs w:val="22"/>
        </w:rPr>
        <w:t xml:space="preserve">Summary statistics of standardized annual average WTP per person in 2021 US$ for the whole sample (n=302) and disaggregated by relevant covariate groups and parameters. This includes the number of observations, mean values, standard deviations and median values in total, per group and per parameter. Univariate test statistics are provided including the corresponding value statistic (Kruskal-Wallis includes </w:t>
      </w:r>
      <w:r w:rsidRPr="00E6523E">
        <w:rPr>
          <w:rFonts w:ascii="Corbel" w:hAnsi="Corbel" w:cs="Calibri"/>
          <w:sz w:val="18"/>
          <w:szCs w:val="18"/>
        </w:rPr>
        <w:lastRenderedPageBreak/>
        <w:t>Χ</w:t>
      </w:r>
      <w:r w:rsidRPr="00E6523E">
        <w:rPr>
          <w:rFonts w:ascii="Corbel" w:hAnsi="Corbel" w:cs="Calibri"/>
          <w:sz w:val="18"/>
          <w:szCs w:val="18"/>
          <w:vertAlign w:val="superscript"/>
        </w:rPr>
        <w:t>2</w:t>
      </w:r>
      <w:r>
        <w:rPr>
          <w:sz w:val="22"/>
          <w:szCs w:val="22"/>
        </w:rPr>
        <w:t xml:space="preserve"> values and Mann-Whitney z values) and the p-value. </w:t>
      </w:r>
      <w:r w:rsidRPr="00C13755">
        <w:rPr>
          <w:sz w:val="22"/>
          <w:szCs w:val="22"/>
        </w:rPr>
        <w:t>The difference between the coefficient estimates for medium and high baseline risk is also statistically significant based on the Wald test</w:t>
      </w:r>
      <w:r>
        <w:rPr>
          <w:sz w:val="22"/>
          <w:szCs w:val="22"/>
        </w:rPr>
        <w:t xml:space="preserve">. </w:t>
      </w:r>
    </w:p>
    <w:p w14:paraId="1023E6C7" w14:textId="5451F171" w:rsidR="004D4B4A" w:rsidRPr="00137214" w:rsidRDefault="004D4B4A" w:rsidP="004D4B4A">
      <w:pPr>
        <w:pStyle w:val="Caption"/>
        <w:spacing w:after="0" w:line="480" w:lineRule="auto"/>
        <w:rPr>
          <w:i w:val="0"/>
          <w:iCs w:val="0"/>
          <w:color w:val="000000" w:themeColor="text1"/>
          <w:sz w:val="22"/>
          <w:szCs w:val="22"/>
        </w:rPr>
      </w:pPr>
      <w:r w:rsidRPr="00137214">
        <w:rPr>
          <w:i w:val="0"/>
          <w:iCs w:val="0"/>
          <w:color w:val="000000" w:themeColor="text1"/>
          <w:sz w:val="22"/>
          <w:szCs w:val="22"/>
        </w:rPr>
        <w:t xml:space="preserve">Table </w:t>
      </w:r>
      <w:r w:rsidR="00A328F3">
        <w:rPr>
          <w:i w:val="0"/>
          <w:iCs w:val="0"/>
          <w:color w:val="000000" w:themeColor="text1"/>
          <w:sz w:val="22"/>
          <w:szCs w:val="22"/>
        </w:rPr>
        <w:t>2</w:t>
      </w:r>
      <w:r w:rsidRPr="00137214">
        <w:rPr>
          <w:i w:val="0"/>
          <w:iCs w:val="0"/>
          <w:color w:val="000000" w:themeColor="text1"/>
          <w:sz w:val="22"/>
          <w:szCs w:val="22"/>
        </w:rPr>
        <w:t>: Categories of factors that are expected to explain WTP for pesticide risk reductions</w:t>
      </w:r>
      <w:r w:rsidR="0034591E">
        <w:rPr>
          <w:i w:val="0"/>
          <w:iCs w:val="0"/>
          <w:color w:val="000000" w:themeColor="text1"/>
          <w:sz w:val="22"/>
          <w:szCs w:val="22"/>
        </w:rPr>
        <w:t>.</w:t>
      </w:r>
    </w:p>
    <w:p w14:paraId="0C670105" w14:textId="174B05F4" w:rsidR="00C2702E" w:rsidRDefault="00C2702E" w:rsidP="00C2702E">
      <w:pPr>
        <w:tabs>
          <w:tab w:val="left" w:pos="851"/>
        </w:tabs>
        <w:spacing w:line="480" w:lineRule="auto"/>
        <w:rPr>
          <w:sz w:val="22"/>
          <w:szCs w:val="22"/>
        </w:rPr>
      </w:pPr>
      <w:r>
        <w:rPr>
          <w:sz w:val="22"/>
          <w:szCs w:val="22"/>
        </w:rPr>
        <w:t xml:space="preserve">Summary </w:t>
      </w:r>
      <w:r w:rsidR="00930DAE">
        <w:rPr>
          <w:sz w:val="22"/>
          <w:szCs w:val="22"/>
        </w:rPr>
        <w:t xml:space="preserve">of </w:t>
      </w:r>
      <w:r w:rsidR="00727174">
        <w:rPr>
          <w:sz w:val="22"/>
          <w:szCs w:val="22"/>
        </w:rPr>
        <w:t xml:space="preserve">moderator categories and </w:t>
      </w:r>
      <w:r w:rsidR="00930DAE">
        <w:rPr>
          <w:sz w:val="22"/>
          <w:szCs w:val="22"/>
        </w:rPr>
        <w:t>definitions</w:t>
      </w:r>
      <w:r>
        <w:rPr>
          <w:sz w:val="22"/>
          <w:szCs w:val="22"/>
        </w:rPr>
        <w:t xml:space="preserve"> </w:t>
      </w:r>
      <w:r w:rsidR="00727174">
        <w:rPr>
          <w:sz w:val="22"/>
          <w:szCs w:val="22"/>
        </w:rPr>
        <w:t xml:space="preserve">of explanatory variables </w:t>
      </w:r>
      <w:r>
        <w:rPr>
          <w:sz w:val="22"/>
          <w:szCs w:val="22"/>
        </w:rPr>
        <w:t>disaggregated by relevant covariate groups</w:t>
      </w:r>
      <w:r w:rsidR="00727174">
        <w:rPr>
          <w:sz w:val="22"/>
          <w:szCs w:val="22"/>
        </w:rPr>
        <w:t>, namely good characteristics, study characteristics and sample characteristics</w:t>
      </w:r>
      <w:r>
        <w:rPr>
          <w:sz w:val="22"/>
          <w:szCs w:val="22"/>
        </w:rPr>
        <w:t xml:space="preserve">. </w:t>
      </w:r>
      <w:r w:rsidR="00727174">
        <w:rPr>
          <w:sz w:val="22"/>
          <w:szCs w:val="22"/>
        </w:rPr>
        <w:t>Includes information related to the type of variable defined (i.e., dummy, continuous)</w:t>
      </w:r>
      <w:r w:rsidR="00FF41BD">
        <w:rPr>
          <w:sz w:val="22"/>
          <w:szCs w:val="22"/>
        </w:rPr>
        <w:t>, explanation of the variables</w:t>
      </w:r>
      <w:r w:rsidR="00727174">
        <w:rPr>
          <w:sz w:val="22"/>
          <w:szCs w:val="22"/>
        </w:rPr>
        <w:t xml:space="preserve"> and </w:t>
      </w:r>
      <w:r w:rsidR="00854B0F">
        <w:rPr>
          <w:sz w:val="22"/>
          <w:szCs w:val="22"/>
        </w:rPr>
        <w:t xml:space="preserve">relevant </w:t>
      </w:r>
      <w:r w:rsidR="00727174">
        <w:rPr>
          <w:sz w:val="22"/>
          <w:szCs w:val="22"/>
        </w:rPr>
        <w:t xml:space="preserve">assumptions. </w:t>
      </w:r>
    </w:p>
    <w:p w14:paraId="4A2CE753" w14:textId="6EEF65CF" w:rsidR="005B3ABE" w:rsidRDefault="005B3ABE" w:rsidP="00C2702E">
      <w:pPr>
        <w:tabs>
          <w:tab w:val="left" w:pos="851"/>
        </w:tabs>
        <w:spacing w:line="480" w:lineRule="auto"/>
        <w:rPr>
          <w:sz w:val="22"/>
          <w:szCs w:val="22"/>
        </w:rPr>
      </w:pPr>
      <w:r w:rsidRPr="005B3ABE">
        <w:rPr>
          <w:sz w:val="22"/>
          <w:szCs w:val="22"/>
        </w:rPr>
        <w:t xml:space="preserve">Table </w:t>
      </w:r>
      <w:r w:rsidR="00A328F3">
        <w:rPr>
          <w:sz w:val="22"/>
          <w:szCs w:val="22"/>
        </w:rPr>
        <w:t>3</w:t>
      </w:r>
      <w:r w:rsidRPr="005B3ABE">
        <w:rPr>
          <w:sz w:val="22"/>
          <w:szCs w:val="22"/>
        </w:rPr>
        <w:t>: Explanatory and predictive power indicators across the reduced and full FGLS model</w:t>
      </w:r>
      <w:r w:rsidR="00663A96">
        <w:rPr>
          <w:sz w:val="22"/>
          <w:szCs w:val="22"/>
        </w:rPr>
        <w:t>s</w:t>
      </w:r>
      <w:r w:rsidRPr="005B3ABE">
        <w:rPr>
          <w:sz w:val="22"/>
          <w:szCs w:val="22"/>
        </w:rPr>
        <w:t xml:space="preserve"> and the weighted FGLS model</w:t>
      </w:r>
      <w:r w:rsidR="0034591E">
        <w:rPr>
          <w:sz w:val="22"/>
          <w:szCs w:val="22"/>
        </w:rPr>
        <w:t>.</w:t>
      </w:r>
    </w:p>
    <w:p w14:paraId="75D1DD1B" w14:textId="4C9077B7" w:rsidR="00C2702E" w:rsidRPr="00A66076" w:rsidRDefault="00C2702E" w:rsidP="00C2702E">
      <w:pPr>
        <w:tabs>
          <w:tab w:val="left" w:pos="851"/>
        </w:tabs>
        <w:spacing w:line="480" w:lineRule="auto"/>
        <w:rPr>
          <w:sz w:val="22"/>
          <w:szCs w:val="22"/>
        </w:rPr>
      </w:pPr>
      <w:r>
        <w:rPr>
          <w:sz w:val="22"/>
          <w:szCs w:val="22"/>
        </w:rPr>
        <w:t xml:space="preserve">Model summary statistics </w:t>
      </w:r>
      <w:r w:rsidR="00945DC4">
        <w:rPr>
          <w:sz w:val="22"/>
          <w:szCs w:val="22"/>
        </w:rPr>
        <w:t>comparing the</w:t>
      </w:r>
      <w:r w:rsidR="00A1424C">
        <w:rPr>
          <w:sz w:val="22"/>
          <w:szCs w:val="22"/>
        </w:rPr>
        <w:t xml:space="preserve"> reduced</w:t>
      </w:r>
      <w:r w:rsidR="00642A94">
        <w:rPr>
          <w:sz w:val="22"/>
          <w:szCs w:val="22"/>
        </w:rPr>
        <w:t xml:space="preserve"> FGLS</w:t>
      </w:r>
      <w:r w:rsidR="00A1424C">
        <w:rPr>
          <w:sz w:val="22"/>
          <w:szCs w:val="22"/>
        </w:rPr>
        <w:t xml:space="preserve"> models (i.e., FGLS with only good characteristics, </w:t>
      </w:r>
      <w:r w:rsidR="00642A94">
        <w:rPr>
          <w:sz w:val="22"/>
          <w:szCs w:val="22"/>
        </w:rPr>
        <w:t xml:space="preserve">FGLS with good and study characteristics), </w:t>
      </w:r>
      <w:r w:rsidR="00E04797">
        <w:rPr>
          <w:sz w:val="22"/>
          <w:szCs w:val="22"/>
        </w:rPr>
        <w:t xml:space="preserve">the </w:t>
      </w:r>
      <w:r w:rsidR="00642A94">
        <w:rPr>
          <w:sz w:val="22"/>
          <w:szCs w:val="22"/>
        </w:rPr>
        <w:t xml:space="preserve">full </w:t>
      </w:r>
      <w:r w:rsidR="00945DC4">
        <w:rPr>
          <w:sz w:val="22"/>
          <w:szCs w:val="22"/>
        </w:rPr>
        <w:t>FGLS model (i.e., including good, study and sample characteristics)</w:t>
      </w:r>
      <w:r w:rsidR="00E04797">
        <w:rPr>
          <w:sz w:val="22"/>
          <w:szCs w:val="22"/>
        </w:rPr>
        <w:t xml:space="preserve"> and the weighted full FGLS model (i.e., including good, study and sample characteristics)</w:t>
      </w:r>
      <w:r>
        <w:rPr>
          <w:sz w:val="22"/>
          <w:szCs w:val="22"/>
        </w:rPr>
        <w:t xml:space="preserve">. </w:t>
      </w:r>
      <w:r w:rsidR="00DF4BE8">
        <w:rPr>
          <w:sz w:val="22"/>
          <w:szCs w:val="22"/>
        </w:rPr>
        <w:t xml:space="preserve">Pseudo-R2 and mean absolute prediction error </w:t>
      </w:r>
      <w:r w:rsidR="00551FAF">
        <w:rPr>
          <w:sz w:val="22"/>
          <w:szCs w:val="22"/>
        </w:rPr>
        <w:t>are retrieved from the leave-one-out-analysis</w:t>
      </w:r>
      <w:r>
        <w:rPr>
          <w:sz w:val="22"/>
          <w:szCs w:val="22"/>
        </w:rPr>
        <w:t>.</w:t>
      </w:r>
      <w:r w:rsidR="003C4E35" w:rsidRPr="003C4E35">
        <w:rPr>
          <w:sz w:val="22"/>
          <w:szCs w:val="22"/>
        </w:rPr>
        <w:t xml:space="preserve"> Correlation coefficient between observed and fitted WTP values</w:t>
      </w:r>
      <w:r w:rsidR="00551FAF">
        <w:rPr>
          <w:sz w:val="22"/>
          <w:szCs w:val="22"/>
        </w:rPr>
        <w:t xml:space="preserve"> are also reported</w:t>
      </w:r>
      <w:r w:rsidR="003C4E35" w:rsidRPr="003C4E35">
        <w:rPr>
          <w:sz w:val="22"/>
          <w:szCs w:val="22"/>
        </w:rPr>
        <w:t>.</w:t>
      </w:r>
    </w:p>
    <w:p w14:paraId="0F1C413C" w14:textId="22D0ADC0" w:rsidR="00C2702E" w:rsidRDefault="00C2702E" w:rsidP="00C2702E">
      <w:pPr>
        <w:tabs>
          <w:tab w:val="left" w:pos="851"/>
        </w:tabs>
        <w:spacing w:line="480" w:lineRule="auto"/>
        <w:rPr>
          <w:sz w:val="22"/>
          <w:szCs w:val="22"/>
        </w:rPr>
      </w:pPr>
      <w:r>
        <w:rPr>
          <w:sz w:val="22"/>
          <w:szCs w:val="22"/>
        </w:rPr>
        <w:t>Figure 1:</w:t>
      </w:r>
      <w:r w:rsidR="002D0B45" w:rsidRPr="002D0B45">
        <w:rPr>
          <w:sz w:val="22"/>
          <w:szCs w:val="22"/>
        </w:rPr>
        <w:t xml:space="preserve"> Literature retrieval outlined by the PRISMA tool.</w:t>
      </w:r>
    </w:p>
    <w:p w14:paraId="49FF47FA" w14:textId="79F2F942" w:rsidR="00C2702E" w:rsidRPr="00C52C58" w:rsidRDefault="00C2702E" w:rsidP="00C2702E">
      <w:pPr>
        <w:tabs>
          <w:tab w:val="left" w:pos="851"/>
        </w:tabs>
        <w:spacing w:line="480" w:lineRule="auto"/>
        <w:rPr>
          <w:sz w:val="22"/>
          <w:szCs w:val="22"/>
        </w:rPr>
      </w:pPr>
      <w:r>
        <w:rPr>
          <w:sz w:val="22"/>
          <w:szCs w:val="22"/>
        </w:rPr>
        <w:t xml:space="preserve">Visual </w:t>
      </w:r>
      <w:r w:rsidR="001006C6">
        <w:rPr>
          <w:sz w:val="22"/>
          <w:szCs w:val="22"/>
        </w:rPr>
        <w:t xml:space="preserve">and quantitative </w:t>
      </w:r>
      <w:r>
        <w:rPr>
          <w:sz w:val="22"/>
          <w:szCs w:val="22"/>
        </w:rPr>
        <w:t xml:space="preserve">representation of </w:t>
      </w:r>
      <w:r w:rsidR="002D0B45">
        <w:rPr>
          <w:sz w:val="22"/>
          <w:szCs w:val="22"/>
        </w:rPr>
        <w:t>the literature retrieval process for this meta-analysis</w:t>
      </w:r>
      <w:r>
        <w:rPr>
          <w:sz w:val="22"/>
          <w:szCs w:val="22"/>
        </w:rPr>
        <w:t>.</w:t>
      </w:r>
      <w:r w:rsidR="002D0B45">
        <w:rPr>
          <w:sz w:val="22"/>
          <w:szCs w:val="22"/>
        </w:rPr>
        <w:t xml:space="preserve"> </w:t>
      </w:r>
      <w:r w:rsidR="001006C6">
        <w:rPr>
          <w:sz w:val="22"/>
          <w:szCs w:val="22"/>
        </w:rPr>
        <w:t xml:space="preserve">Includes number of </w:t>
      </w:r>
      <w:r w:rsidR="0074481A">
        <w:rPr>
          <w:sz w:val="22"/>
          <w:szCs w:val="22"/>
        </w:rPr>
        <w:t>studies</w:t>
      </w:r>
      <w:r w:rsidR="001006C6">
        <w:rPr>
          <w:sz w:val="22"/>
          <w:szCs w:val="22"/>
        </w:rPr>
        <w:t xml:space="preserve"> identified, screened</w:t>
      </w:r>
      <w:r w:rsidR="00E55D5C">
        <w:rPr>
          <w:sz w:val="22"/>
          <w:szCs w:val="22"/>
        </w:rPr>
        <w:t>, excluded</w:t>
      </w:r>
      <w:r w:rsidR="001006C6">
        <w:rPr>
          <w:sz w:val="22"/>
          <w:szCs w:val="22"/>
        </w:rPr>
        <w:t xml:space="preserve"> and eligible.</w:t>
      </w:r>
      <w:r w:rsidR="00E55D5C">
        <w:rPr>
          <w:sz w:val="22"/>
          <w:szCs w:val="22"/>
        </w:rPr>
        <w:t xml:space="preserve"> Figure is </w:t>
      </w:r>
      <w:r w:rsidR="008738E0">
        <w:rPr>
          <w:sz w:val="22"/>
          <w:szCs w:val="22"/>
        </w:rPr>
        <w:t>adapted</w:t>
      </w:r>
      <w:r w:rsidR="00E55D5C" w:rsidRPr="00E55D5C">
        <w:rPr>
          <w:sz w:val="22"/>
          <w:szCs w:val="22"/>
        </w:rPr>
        <w:t xml:space="preserve"> </w:t>
      </w:r>
      <w:r w:rsidR="008738E0">
        <w:rPr>
          <w:sz w:val="22"/>
          <w:szCs w:val="22"/>
        </w:rPr>
        <w:t>from</w:t>
      </w:r>
      <w:r w:rsidR="00E55D5C" w:rsidRPr="00E55D5C">
        <w:rPr>
          <w:sz w:val="22"/>
          <w:szCs w:val="22"/>
        </w:rPr>
        <w:t xml:space="preserve"> </w:t>
      </w:r>
      <w:proofErr w:type="spellStart"/>
      <w:r w:rsidR="00E55D5C" w:rsidRPr="00E55D5C">
        <w:rPr>
          <w:sz w:val="22"/>
          <w:szCs w:val="22"/>
        </w:rPr>
        <w:t>Haddaway</w:t>
      </w:r>
      <w:proofErr w:type="spellEnd"/>
      <w:r w:rsidR="00E55D5C" w:rsidRPr="00E55D5C">
        <w:rPr>
          <w:sz w:val="22"/>
          <w:szCs w:val="22"/>
        </w:rPr>
        <w:t xml:space="preserve"> et al. (2022).</w:t>
      </w:r>
    </w:p>
    <w:p w14:paraId="3E213158" w14:textId="7EA4BC06" w:rsidR="000C39FE" w:rsidRDefault="000C39FE">
      <w:pPr>
        <w:spacing w:after="160" w:line="278" w:lineRule="auto"/>
      </w:pPr>
      <w:r>
        <w:br w:type="page"/>
      </w:r>
    </w:p>
    <w:p w14:paraId="10CE2546" w14:textId="1F55944B" w:rsidR="00C653FF" w:rsidRPr="000C39FE" w:rsidRDefault="000C39FE">
      <w:pPr>
        <w:rPr>
          <w:b/>
          <w:bCs/>
          <w:u w:val="single"/>
        </w:rPr>
      </w:pPr>
      <w:r w:rsidRPr="000C39FE">
        <w:rPr>
          <w:b/>
          <w:bCs/>
          <w:u w:val="single"/>
        </w:rPr>
        <w:lastRenderedPageBreak/>
        <w:t>References</w:t>
      </w:r>
    </w:p>
    <w:p w14:paraId="25F205D7" w14:textId="77777777" w:rsidR="00C653FF" w:rsidRDefault="00C653FF"/>
    <w:p w14:paraId="4D02441E" w14:textId="77777777" w:rsidR="00CF6520" w:rsidRPr="00CF6520" w:rsidRDefault="00C653FF" w:rsidP="00CF6520">
      <w:pPr>
        <w:pStyle w:val="EndNoteBibliography"/>
        <w:ind w:left="720" w:hanging="720"/>
        <w:rPr>
          <w:noProof/>
        </w:rPr>
      </w:pPr>
      <w:r>
        <w:fldChar w:fldCharType="begin"/>
      </w:r>
      <w:r>
        <w:instrText xml:space="preserve"> ADDIN EN.REFLIST </w:instrText>
      </w:r>
      <w:r>
        <w:fldChar w:fldCharType="separate"/>
      </w:r>
      <w:r w:rsidR="00CF6520" w:rsidRPr="00CF6520">
        <w:rPr>
          <w:noProof/>
        </w:rPr>
        <w:t>1.</w:t>
      </w:r>
      <w:r w:rsidR="00CF6520" w:rsidRPr="00CF6520">
        <w:rPr>
          <w:noProof/>
        </w:rPr>
        <w:tab/>
        <w:t xml:space="preserve">Muyen, Z., et al. </w:t>
      </w:r>
      <w:r w:rsidR="00CF6520" w:rsidRPr="00CF6520">
        <w:rPr>
          <w:i/>
          <w:noProof/>
        </w:rPr>
        <w:t>Water quality index and human health risk: a case study on Surma river</w:t>
      </w:r>
      <w:r w:rsidR="00CF6520" w:rsidRPr="00CF6520">
        <w:rPr>
          <w:noProof/>
        </w:rPr>
        <w:t xml:space="preserve">. Journal of the Bangladesh Agricultural University, 2005. </w:t>
      </w:r>
      <w:r w:rsidR="00CF6520" w:rsidRPr="00CF6520">
        <w:rPr>
          <w:b/>
          <w:noProof/>
        </w:rPr>
        <w:t>03</w:t>
      </w:r>
      <w:r w:rsidR="00CF6520" w:rsidRPr="00CF6520">
        <w:rPr>
          <w:noProof/>
        </w:rPr>
        <w:t>, 343-347 DOI: 10.22004/ag.econ.276509</w:t>
      </w:r>
    </w:p>
    <w:p w14:paraId="654A6042" w14:textId="77777777" w:rsidR="00CF6520" w:rsidRPr="00CF6520" w:rsidRDefault="00CF6520" w:rsidP="00CF6520">
      <w:pPr>
        <w:pStyle w:val="EndNoteBibliography"/>
        <w:ind w:left="720" w:hanging="720"/>
        <w:rPr>
          <w:noProof/>
        </w:rPr>
      </w:pPr>
      <w:r w:rsidRPr="00CF6520">
        <w:rPr>
          <w:noProof/>
        </w:rPr>
        <w:t>doi.</w:t>
      </w:r>
    </w:p>
    <w:p w14:paraId="7B2B6382" w14:textId="77777777" w:rsidR="00CF6520" w:rsidRPr="00CF6520" w:rsidRDefault="00CF6520" w:rsidP="00CF6520">
      <w:pPr>
        <w:pStyle w:val="EndNoteBibliography"/>
        <w:ind w:left="720" w:hanging="720"/>
        <w:rPr>
          <w:noProof/>
        </w:rPr>
      </w:pPr>
      <w:r w:rsidRPr="00CF6520">
        <w:rPr>
          <w:noProof/>
        </w:rPr>
        <w:t>2.</w:t>
      </w:r>
      <w:r w:rsidRPr="00CF6520">
        <w:rPr>
          <w:noProof/>
        </w:rPr>
        <w:tab/>
        <w:t xml:space="preserve">Farías, P., </w:t>
      </w:r>
      <w:r w:rsidRPr="00CF6520">
        <w:rPr>
          <w:i/>
          <w:noProof/>
        </w:rPr>
        <w:t>Promoting the absence of pesticides through product labels: The role of showing a specific description of the harmful effects, environmental attitude, and familiarity with pesticides.</w:t>
      </w:r>
      <w:r w:rsidRPr="00CF6520">
        <w:rPr>
          <w:noProof/>
        </w:rPr>
        <w:t xml:space="preserve"> Sustainability, 2020. </w:t>
      </w:r>
      <w:r w:rsidRPr="00CF6520">
        <w:rPr>
          <w:b/>
          <w:noProof/>
        </w:rPr>
        <w:t>12</w:t>
      </w:r>
      <w:r w:rsidRPr="00CF6520">
        <w:rPr>
          <w:noProof/>
        </w:rPr>
        <w:t>(21): p. 8912.</w:t>
      </w:r>
    </w:p>
    <w:p w14:paraId="433B10D7" w14:textId="77777777" w:rsidR="00CF6520" w:rsidRPr="00CF6520" w:rsidRDefault="00CF6520" w:rsidP="00CF6520">
      <w:pPr>
        <w:pStyle w:val="EndNoteBibliography"/>
        <w:ind w:left="720" w:hanging="720"/>
        <w:rPr>
          <w:noProof/>
        </w:rPr>
      </w:pPr>
      <w:r w:rsidRPr="00CF6520">
        <w:rPr>
          <w:noProof/>
        </w:rPr>
        <w:t>3.</w:t>
      </w:r>
      <w:r w:rsidRPr="00CF6520">
        <w:rPr>
          <w:noProof/>
        </w:rPr>
        <w:tab/>
        <w:t xml:space="preserve">Wang, Y. and L. Zhang, </w:t>
      </w:r>
      <w:r w:rsidRPr="00CF6520">
        <w:rPr>
          <w:i/>
          <w:noProof/>
        </w:rPr>
        <w:t>Status of public–private partnership recognition and willingness to pay for private health care in China.</w:t>
      </w:r>
      <w:r w:rsidRPr="00CF6520">
        <w:rPr>
          <w:noProof/>
        </w:rPr>
        <w:t xml:space="preserve"> The International Journal of health planning and management, 2019. </w:t>
      </w:r>
      <w:r w:rsidRPr="00CF6520">
        <w:rPr>
          <w:b/>
          <w:noProof/>
        </w:rPr>
        <w:t>34</w:t>
      </w:r>
      <w:r w:rsidRPr="00CF6520">
        <w:rPr>
          <w:noProof/>
        </w:rPr>
        <w:t>(2): p. e1188-e1199.</w:t>
      </w:r>
    </w:p>
    <w:p w14:paraId="231224E2" w14:textId="77777777" w:rsidR="00CF6520" w:rsidRPr="00CF6520" w:rsidRDefault="00CF6520" w:rsidP="00CF6520">
      <w:pPr>
        <w:pStyle w:val="EndNoteBibliography"/>
        <w:ind w:left="720" w:hanging="720"/>
        <w:rPr>
          <w:noProof/>
        </w:rPr>
      </w:pPr>
      <w:r w:rsidRPr="00CF6520">
        <w:rPr>
          <w:noProof/>
        </w:rPr>
        <w:t>4.</w:t>
      </w:r>
      <w:r w:rsidRPr="00CF6520">
        <w:rPr>
          <w:noProof/>
        </w:rPr>
        <w:tab/>
        <w:t xml:space="preserve">Koch, S., et al., </w:t>
      </w:r>
      <w:r w:rsidRPr="00CF6520">
        <w:rPr>
          <w:i/>
          <w:noProof/>
        </w:rPr>
        <w:t>Pesticide residues in food: attitudes, beliefs, and misconceptions among conventional and organic consumers.</w:t>
      </w:r>
      <w:r w:rsidRPr="00CF6520">
        <w:rPr>
          <w:noProof/>
        </w:rPr>
        <w:t xml:space="preserve"> Journal of Food Protection, 2017. </w:t>
      </w:r>
      <w:r w:rsidRPr="00CF6520">
        <w:rPr>
          <w:b/>
          <w:noProof/>
        </w:rPr>
        <w:t>80</w:t>
      </w:r>
      <w:r w:rsidRPr="00CF6520">
        <w:rPr>
          <w:noProof/>
        </w:rPr>
        <w:t>(12): p. 2083-2089.</w:t>
      </w:r>
    </w:p>
    <w:p w14:paraId="2ED32B86" w14:textId="77777777" w:rsidR="00CF6520" w:rsidRPr="00CF6520" w:rsidRDefault="00CF6520" w:rsidP="00CF6520">
      <w:pPr>
        <w:pStyle w:val="EndNoteBibliography"/>
        <w:ind w:left="720" w:hanging="720"/>
        <w:rPr>
          <w:noProof/>
        </w:rPr>
      </w:pPr>
      <w:r w:rsidRPr="00CF6520">
        <w:rPr>
          <w:noProof/>
        </w:rPr>
        <w:t>5.</w:t>
      </w:r>
      <w:r w:rsidRPr="00CF6520">
        <w:rPr>
          <w:noProof/>
        </w:rPr>
        <w:tab/>
        <w:t xml:space="preserve">Jansen, K., </w:t>
      </w:r>
      <w:r w:rsidRPr="00CF6520">
        <w:rPr>
          <w:i/>
          <w:noProof/>
        </w:rPr>
        <w:t>Business conflict and risk regulation: understanding the influence of the pesticide industry.</w:t>
      </w:r>
      <w:r w:rsidRPr="00CF6520">
        <w:rPr>
          <w:noProof/>
        </w:rPr>
        <w:t xml:space="preserve"> Global Environmental Politics, 2017. </w:t>
      </w:r>
      <w:r w:rsidRPr="00CF6520">
        <w:rPr>
          <w:b/>
          <w:noProof/>
        </w:rPr>
        <w:t>17</w:t>
      </w:r>
      <w:r w:rsidRPr="00CF6520">
        <w:rPr>
          <w:noProof/>
        </w:rPr>
        <w:t>(4): p. 48-66.</w:t>
      </w:r>
    </w:p>
    <w:p w14:paraId="2887008D" w14:textId="77777777" w:rsidR="00CF6520" w:rsidRPr="00CF6520" w:rsidRDefault="00CF6520" w:rsidP="00CF6520">
      <w:pPr>
        <w:pStyle w:val="EndNoteBibliography"/>
        <w:ind w:left="720" w:hanging="720"/>
        <w:rPr>
          <w:noProof/>
        </w:rPr>
      </w:pPr>
      <w:r w:rsidRPr="00CF6520">
        <w:rPr>
          <w:noProof/>
        </w:rPr>
        <w:t>6.</w:t>
      </w:r>
      <w:r w:rsidRPr="00CF6520">
        <w:rPr>
          <w:noProof/>
        </w:rPr>
        <w:tab/>
        <w:t xml:space="preserve">Costa, C.A.D. and J.L. Santos, </w:t>
      </w:r>
      <w:r w:rsidRPr="00CF6520">
        <w:rPr>
          <w:i/>
          <w:noProof/>
        </w:rPr>
        <w:t>What is the best policy to reduce the ‘un’sustainable use of pesticides in Portugal.</w:t>
      </w:r>
      <w:r w:rsidRPr="00CF6520">
        <w:rPr>
          <w:noProof/>
        </w:rPr>
        <w:t xml:space="preserve"> Public Policy Portuguese Journal, 2021. </w:t>
      </w:r>
      <w:r w:rsidRPr="00CF6520">
        <w:rPr>
          <w:b/>
          <w:noProof/>
        </w:rPr>
        <w:t>2</w:t>
      </w:r>
      <w:r w:rsidRPr="00CF6520">
        <w:rPr>
          <w:noProof/>
        </w:rPr>
        <w:t>(6): p. 209-229.</w:t>
      </w:r>
    </w:p>
    <w:p w14:paraId="76CB199F" w14:textId="77777777" w:rsidR="00CF6520" w:rsidRPr="00CF6520" w:rsidRDefault="00CF6520" w:rsidP="00CF6520">
      <w:pPr>
        <w:pStyle w:val="EndNoteBibliography"/>
        <w:ind w:left="720" w:hanging="720"/>
        <w:rPr>
          <w:noProof/>
        </w:rPr>
      </w:pPr>
      <w:r w:rsidRPr="00CF6520">
        <w:rPr>
          <w:noProof/>
        </w:rPr>
        <w:t>7.</w:t>
      </w:r>
      <w:r w:rsidRPr="00CF6520">
        <w:rPr>
          <w:noProof/>
        </w:rPr>
        <w:tab/>
        <w:t xml:space="preserve">Huang, C.L., </w:t>
      </w:r>
      <w:r w:rsidRPr="00CF6520">
        <w:rPr>
          <w:i/>
          <w:noProof/>
        </w:rPr>
        <w:t>Simultaneous-Equation Model for Estimating Consumer Risk Perceptions, Attitudes, and Willingness-to-Pay for Residue-Free Produce.</w:t>
      </w:r>
      <w:r w:rsidRPr="00CF6520">
        <w:rPr>
          <w:noProof/>
        </w:rPr>
        <w:t xml:space="preserve"> The Journal of Consumer Affairs, 1993. </w:t>
      </w:r>
      <w:r w:rsidRPr="00CF6520">
        <w:rPr>
          <w:b/>
          <w:noProof/>
        </w:rPr>
        <w:t>27</w:t>
      </w:r>
      <w:r w:rsidRPr="00CF6520">
        <w:rPr>
          <w:noProof/>
        </w:rPr>
        <w:t>(2): p. 377-396.</w:t>
      </w:r>
    </w:p>
    <w:p w14:paraId="1479C6A6" w14:textId="77777777" w:rsidR="00CF6520" w:rsidRPr="00CF6520" w:rsidRDefault="00CF6520" w:rsidP="00CF6520">
      <w:pPr>
        <w:pStyle w:val="EndNoteBibliography"/>
        <w:ind w:left="720" w:hanging="720"/>
        <w:rPr>
          <w:noProof/>
        </w:rPr>
      </w:pPr>
      <w:r w:rsidRPr="00CF6520">
        <w:rPr>
          <w:noProof/>
        </w:rPr>
        <w:t>8.</w:t>
      </w:r>
      <w:r w:rsidRPr="00CF6520">
        <w:rPr>
          <w:noProof/>
        </w:rPr>
        <w:tab/>
        <w:t xml:space="preserve">Lévesque, A., et al., </w:t>
      </w:r>
      <w:r w:rsidRPr="00CF6520">
        <w:rPr>
          <w:i/>
          <w:noProof/>
        </w:rPr>
        <w:t>Financing on-farm ecosystem services in southern Quebec, Canada: A public call for pesticides reduction.</w:t>
      </w:r>
      <w:r w:rsidRPr="00CF6520">
        <w:rPr>
          <w:noProof/>
        </w:rPr>
        <w:t xml:space="preserve"> Ecological Economics, 2021. </w:t>
      </w:r>
      <w:r w:rsidRPr="00CF6520">
        <w:rPr>
          <w:b/>
          <w:noProof/>
        </w:rPr>
        <w:t>184</w:t>
      </w:r>
      <w:r w:rsidRPr="00CF6520">
        <w:rPr>
          <w:noProof/>
        </w:rPr>
        <w:t>: p. 106997.</w:t>
      </w:r>
    </w:p>
    <w:p w14:paraId="3F37354C" w14:textId="77777777" w:rsidR="00CF6520" w:rsidRPr="00CF6520" w:rsidRDefault="00CF6520" w:rsidP="00CF6520">
      <w:pPr>
        <w:pStyle w:val="EndNoteBibliography"/>
        <w:ind w:left="720" w:hanging="720"/>
        <w:rPr>
          <w:noProof/>
        </w:rPr>
      </w:pPr>
      <w:r w:rsidRPr="00CF6520">
        <w:rPr>
          <w:noProof/>
        </w:rPr>
        <w:t>9.</w:t>
      </w:r>
      <w:r w:rsidRPr="00CF6520">
        <w:rPr>
          <w:noProof/>
        </w:rPr>
        <w:tab/>
        <w:t xml:space="preserve">Rani, S., et al., </w:t>
      </w:r>
      <w:r w:rsidRPr="00CF6520">
        <w:rPr>
          <w:i/>
          <w:noProof/>
        </w:rPr>
        <w:t>Consumers’ Preferences and willingness to pay for organic vegetables in Islamabad, Pakistan.</w:t>
      </w:r>
      <w:r w:rsidRPr="00CF6520">
        <w:rPr>
          <w:noProof/>
        </w:rPr>
        <w:t xml:space="preserve"> Sarhad Journal of Agriculture, 2018. </w:t>
      </w:r>
      <w:r w:rsidRPr="00CF6520">
        <w:rPr>
          <w:b/>
          <w:noProof/>
        </w:rPr>
        <w:t>34</w:t>
      </w:r>
      <w:r w:rsidRPr="00CF6520">
        <w:rPr>
          <w:noProof/>
        </w:rPr>
        <w:t>(3): p. 494-499.</w:t>
      </w:r>
    </w:p>
    <w:p w14:paraId="2FC0DF21" w14:textId="77777777" w:rsidR="00CF6520" w:rsidRPr="00CF6520" w:rsidRDefault="00CF6520" w:rsidP="00CF6520">
      <w:pPr>
        <w:pStyle w:val="EndNoteBibliography"/>
        <w:ind w:left="720" w:hanging="720"/>
        <w:rPr>
          <w:noProof/>
        </w:rPr>
      </w:pPr>
      <w:r w:rsidRPr="00CF6520">
        <w:rPr>
          <w:noProof/>
        </w:rPr>
        <w:t>10.</w:t>
      </w:r>
      <w:r w:rsidRPr="00CF6520">
        <w:rPr>
          <w:noProof/>
        </w:rPr>
        <w:tab/>
        <w:t xml:space="preserve">Gifford, K., </w:t>
      </w:r>
      <w:r w:rsidRPr="00CF6520">
        <w:rPr>
          <w:i/>
          <w:noProof/>
        </w:rPr>
        <w:t>Factor and cluster analysis of willingness to pay for organic and non-GM food.</w:t>
      </w:r>
      <w:r w:rsidRPr="00CF6520">
        <w:rPr>
          <w:noProof/>
        </w:rPr>
        <w:t xml:space="preserve"> Journal of food distribution research, 2008. </w:t>
      </w:r>
      <w:r w:rsidRPr="00CF6520">
        <w:rPr>
          <w:b/>
          <w:noProof/>
        </w:rPr>
        <w:t>v. 39</w:t>
      </w:r>
      <w:r w:rsidRPr="00CF6520">
        <w:rPr>
          <w:noProof/>
        </w:rPr>
        <w:t>(no. 2): p. pp. 26-39-2008 v.39 no.2.</w:t>
      </w:r>
    </w:p>
    <w:p w14:paraId="51EF0102" w14:textId="77777777" w:rsidR="00CF6520" w:rsidRPr="00CF6520" w:rsidRDefault="00CF6520" w:rsidP="00CF6520">
      <w:pPr>
        <w:pStyle w:val="EndNoteBibliography"/>
        <w:ind w:left="720" w:hanging="720"/>
        <w:rPr>
          <w:noProof/>
        </w:rPr>
      </w:pPr>
      <w:r w:rsidRPr="00CF6520">
        <w:rPr>
          <w:noProof/>
        </w:rPr>
        <w:t>11.</w:t>
      </w:r>
      <w:r w:rsidRPr="00CF6520">
        <w:rPr>
          <w:noProof/>
        </w:rPr>
        <w:tab/>
        <w:t xml:space="preserve">Veeman, M.M. and W. Adamowicz, </w:t>
      </w:r>
      <w:r w:rsidRPr="00CF6520">
        <w:rPr>
          <w:i/>
          <w:noProof/>
        </w:rPr>
        <w:t>CONSUMER'S PERCEPTIONS OF ENVIRONMENTAL RISKS AND THE DEMAND FOR FOOD SAFETY</w:t>
      </w:r>
      <w:r w:rsidRPr="00CF6520">
        <w:rPr>
          <w:noProof/>
        </w:rPr>
        <w:t>. 2000, University of Alberta, Department of Resource Economics and Environmental Sociology.</w:t>
      </w:r>
    </w:p>
    <w:p w14:paraId="2EBC141D" w14:textId="77777777" w:rsidR="00CF6520" w:rsidRPr="00CF6520" w:rsidRDefault="00CF6520" w:rsidP="00CF6520">
      <w:pPr>
        <w:pStyle w:val="EndNoteBibliography"/>
        <w:ind w:left="720" w:hanging="720"/>
        <w:rPr>
          <w:noProof/>
        </w:rPr>
      </w:pPr>
      <w:r w:rsidRPr="00CF6520">
        <w:rPr>
          <w:noProof/>
        </w:rPr>
        <w:t>12.</w:t>
      </w:r>
      <w:r w:rsidRPr="00CF6520">
        <w:rPr>
          <w:noProof/>
        </w:rPr>
        <w:tab/>
        <w:t xml:space="preserve">Singh, A., R. Kumar, and D.K. Das, </w:t>
      </w:r>
      <w:r w:rsidRPr="00CF6520">
        <w:rPr>
          <w:i/>
          <w:noProof/>
        </w:rPr>
        <w:t>An economic evaluation of environmental risk of pesticides use: A case study of paddy, vegetables and cotton in irrigated eco-system.</w:t>
      </w:r>
      <w:r w:rsidRPr="00CF6520">
        <w:rPr>
          <w:noProof/>
        </w:rPr>
        <w:t xml:space="preserve"> Agricultural Economics Research Review, 2007. </w:t>
      </w:r>
      <w:r w:rsidRPr="00CF6520">
        <w:rPr>
          <w:b/>
          <w:noProof/>
        </w:rPr>
        <w:t>62</w:t>
      </w:r>
      <w:r w:rsidRPr="00CF6520">
        <w:rPr>
          <w:noProof/>
        </w:rPr>
        <w:t>: p. 492-502.</w:t>
      </w:r>
    </w:p>
    <w:p w14:paraId="0A2E2426" w14:textId="77777777" w:rsidR="00CF6520" w:rsidRPr="00CF6520" w:rsidRDefault="00CF6520" w:rsidP="00CF6520">
      <w:pPr>
        <w:pStyle w:val="EndNoteBibliography"/>
        <w:ind w:left="720" w:hanging="720"/>
        <w:rPr>
          <w:noProof/>
        </w:rPr>
      </w:pPr>
      <w:r w:rsidRPr="00CF6520">
        <w:rPr>
          <w:noProof/>
        </w:rPr>
        <w:t>13.</w:t>
      </w:r>
      <w:r w:rsidRPr="00CF6520">
        <w:rPr>
          <w:noProof/>
        </w:rPr>
        <w:tab/>
        <w:t xml:space="preserve">Thompson, G.D. and J. Kidwell, </w:t>
      </w:r>
      <w:r w:rsidRPr="00CF6520">
        <w:rPr>
          <w:i/>
          <w:noProof/>
        </w:rPr>
        <w:t>Explaining the Choice of Organic Produce: Cosmetic Defects, Prices, and Consumer Preferences.</w:t>
      </w:r>
      <w:r w:rsidRPr="00CF6520">
        <w:rPr>
          <w:noProof/>
        </w:rPr>
        <w:t xml:space="preserve"> American Journal of Agricultural Economics, 1998. </w:t>
      </w:r>
      <w:r w:rsidRPr="00CF6520">
        <w:rPr>
          <w:b/>
          <w:noProof/>
        </w:rPr>
        <w:t>80</w:t>
      </w:r>
      <w:r w:rsidRPr="00CF6520">
        <w:rPr>
          <w:noProof/>
        </w:rPr>
        <w:t>(2): p. 277-287.</w:t>
      </w:r>
    </w:p>
    <w:p w14:paraId="16D1CDFC" w14:textId="77777777" w:rsidR="00CF6520" w:rsidRPr="00CF6520" w:rsidRDefault="00CF6520" w:rsidP="00CF6520">
      <w:pPr>
        <w:pStyle w:val="EndNoteBibliography"/>
        <w:ind w:left="720" w:hanging="720"/>
        <w:rPr>
          <w:noProof/>
        </w:rPr>
      </w:pPr>
      <w:r w:rsidRPr="00CF6520">
        <w:rPr>
          <w:noProof/>
        </w:rPr>
        <w:t>14.</w:t>
      </w:r>
      <w:r w:rsidRPr="00CF6520">
        <w:rPr>
          <w:noProof/>
        </w:rPr>
        <w:tab/>
        <w:t xml:space="preserve">Boccaletti, S. and M. Nardella, </w:t>
      </w:r>
      <w:r w:rsidRPr="00CF6520">
        <w:rPr>
          <w:i/>
          <w:noProof/>
        </w:rPr>
        <w:t>Consumer willingness to pay for pesticide-free fresh fruit and vegetables in Italy.</w:t>
      </w:r>
      <w:r w:rsidRPr="00CF6520">
        <w:rPr>
          <w:noProof/>
        </w:rPr>
        <w:t xml:space="preserve"> The International Food and Agribusiness Management Review, 2000. </w:t>
      </w:r>
      <w:r w:rsidRPr="00CF6520">
        <w:rPr>
          <w:b/>
          <w:noProof/>
        </w:rPr>
        <w:t>3</w:t>
      </w:r>
      <w:r w:rsidRPr="00CF6520">
        <w:rPr>
          <w:noProof/>
        </w:rPr>
        <w:t>(3): p. 297-310.</w:t>
      </w:r>
    </w:p>
    <w:p w14:paraId="0712CC9A" w14:textId="77777777" w:rsidR="00CF6520" w:rsidRPr="00CF6520" w:rsidRDefault="00CF6520" w:rsidP="00CF6520">
      <w:pPr>
        <w:pStyle w:val="EndNoteBibliography"/>
        <w:ind w:left="720" w:hanging="720"/>
        <w:rPr>
          <w:noProof/>
        </w:rPr>
      </w:pPr>
      <w:r w:rsidRPr="00CF6520">
        <w:rPr>
          <w:noProof/>
        </w:rPr>
        <w:t>15.</w:t>
      </w:r>
      <w:r w:rsidRPr="00CF6520">
        <w:rPr>
          <w:noProof/>
        </w:rPr>
        <w:tab/>
        <w:t xml:space="preserve">Khan, J., et al., </w:t>
      </w:r>
      <w:r w:rsidRPr="00CF6520">
        <w:rPr>
          <w:i/>
          <w:noProof/>
        </w:rPr>
        <w:t>Willingness to pay for pesticide free fruits: Evidence from Pakistan.</w:t>
      </w:r>
      <w:r w:rsidRPr="00CF6520">
        <w:rPr>
          <w:noProof/>
        </w:rPr>
        <w:t xml:space="preserve"> Journal of International Food &amp; Agribusiness Marketing, 2018. </w:t>
      </w:r>
      <w:r w:rsidRPr="00CF6520">
        <w:rPr>
          <w:b/>
          <w:noProof/>
        </w:rPr>
        <w:t>30</w:t>
      </w:r>
      <w:r w:rsidRPr="00CF6520">
        <w:rPr>
          <w:noProof/>
        </w:rPr>
        <w:t>(4): p. 392-408.</w:t>
      </w:r>
    </w:p>
    <w:p w14:paraId="387134B2" w14:textId="77777777" w:rsidR="00CF6520" w:rsidRPr="00CF6520" w:rsidRDefault="00CF6520" w:rsidP="00CF6520">
      <w:pPr>
        <w:pStyle w:val="EndNoteBibliography"/>
        <w:ind w:left="720" w:hanging="720"/>
        <w:rPr>
          <w:noProof/>
        </w:rPr>
      </w:pPr>
      <w:r w:rsidRPr="00CF6520">
        <w:rPr>
          <w:noProof/>
        </w:rPr>
        <w:t>16.</w:t>
      </w:r>
      <w:r w:rsidRPr="00CF6520">
        <w:rPr>
          <w:noProof/>
        </w:rPr>
        <w:tab/>
        <w:t xml:space="preserve">Hayati, B., M. Haghjou, and E. Pishbahar, </w:t>
      </w:r>
      <w:r w:rsidRPr="00CF6520">
        <w:rPr>
          <w:i/>
          <w:noProof/>
        </w:rPr>
        <w:t>Effecting factors on consumers’ willingness to pay a premium for pesticide-free fruit and vegetables in Iran.</w:t>
      </w:r>
      <w:r w:rsidRPr="00CF6520">
        <w:rPr>
          <w:noProof/>
        </w:rPr>
        <w:t xml:space="preserve"> MOJ Food Process Technol, 2017. </w:t>
      </w:r>
      <w:r w:rsidRPr="00CF6520">
        <w:rPr>
          <w:b/>
          <w:noProof/>
        </w:rPr>
        <w:t>4</w:t>
      </w:r>
      <w:r w:rsidRPr="00CF6520">
        <w:rPr>
          <w:noProof/>
        </w:rPr>
        <w:t>(5): p. 137-145.</w:t>
      </w:r>
    </w:p>
    <w:p w14:paraId="74DF57B4" w14:textId="77777777" w:rsidR="00CF6520" w:rsidRPr="00CF6520" w:rsidRDefault="00CF6520" w:rsidP="00CF6520">
      <w:pPr>
        <w:pStyle w:val="EndNoteBibliography"/>
        <w:ind w:left="720" w:hanging="720"/>
        <w:rPr>
          <w:noProof/>
        </w:rPr>
      </w:pPr>
      <w:r w:rsidRPr="00CF6520">
        <w:rPr>
          <w:noProof/>
        </w:rPr>
        <w:lastRenderedPageBreak/>
        <w:t>17.</w:t>
      </w:r>
      <w:r w:rsidRPr="00CF6520">
        <w:rPr>
          <w:noProof/>
        </w:rPr>
        <w:tab/>
        <w:t xml:space="preserve">Lefebvre, M., M. Maslianskaia-Pautrel, and P. Laille, </w:t>
      </w:r>
      <w:r w:rsidRPr="00CF6520">
        <w:rPr>
          <w:i/>
          <w:noProof/>
        </w:rPr>
        <w:t>Alternative adaptation scenarios towards pesticide-free urban green spaces: Welfare implication for French citizens.</w:t>
      </w:r>
      <w:r w:rsidRPr="00CF6520">
        <w:rPr>
          <w:noProof/>
        </w:rPr>
        <w:t xml:space="preserve"> Environmental Science &amp; Policy, 2022. </w:t>
      </w:r>
      <w:r w:rsidRPr="00CF6520">
        <w:rPr>
          <w:b/>
          <w:noProof/>
        </w:rPr>
        <w:t>136</w:t>
      </w:r>
      <w:r w:rsidRPr="00CF6520">
        <w:rPr>
          <w:noProof/>
        </w:rPr>
        <w:t>: p. 46-55.</w:t>
      </w:r>
    </w:p>
    <w:p w14:paraId="752FF43E" w14:textId="77777777" w:rsidR="00CF6520" w:rsidRPr="00CF6520" w:rsidRDefault="00CF6520" w:rsidP="00CF6520">
      <w:pPr>
        <w:pStyle w:val="EndNoteBibliography"/>
        <w:ind w:left="720" w:hanging="720"/>
        <w:rPr>
          <w:noProof/>
        </w:rPr>
      </w:pPr>
      <w:r w:rsidRPr="00CF6520">
        <w:rPr>
          <w:noProof/>
        </w:rPr>
        <w:t>18.</w:t>
      </w:r>
      <w:r w:rsidRPr="00CF6520">
        <w:rPr>
          <w:noProof/>
        </w:rPr>
        <w:tab/>
        <w:t xml:space="preserve">Laille, P., M. Lefebvre, and M. Maslianskaia-Pautrel, </w:t>
      </w:r>
      <w:r w:rsidRPr="00CF6520">
        <w:rPr>
          <w:i/>
          <w:noProof/>
        </w:rPr>
        <w:t>Individual preferences regarding pesticide-free management of green-spaces: a discret choice experiment with French citizens.</w:t>
      </w:r>
      <w:r w:rsidRPr="00CF6520">
        <w:rPr>
          <w:noProof/>
        </w:rPr>
        <w:t xml:space="preserve"> 2020.</w:t>
      </w:r>
    </w:p>
    <w:p w14:paraId="533FA893" w14:textId="77777777" w:rsidR="00CF6520" w:rsidRPr="00CF6520" w:rsidRDefault="00CF6520" w:rsidP="00CF6520">
      <w:pPr>
        <w:pStyle w:val="EndNoteBibliography"/>
        <w:ind w:left="720" w:hanging="720"/>
        <w:rPr>
          <w:noProof/>
        </w:rPr>
      </w:pPr>
      <w:r w:rsidRPr="00CF6520">
        <w:rPr>
          <w:noProof/>
        </w:rPr>
        <w:t>19.</w:t>
      </w:r>
      <w:r w:rsidRPr="00CF6520">
        <w:rPr>
          <w:noProof/>
        </w:rPr>
        <w:tab/>
        <w:t xml:space="preserve">Crissman, C.C., D.C. Cole, and F. Carpio, </w:t>
      </w:r>
      <w:r w:rsidRPr="00CF6520">
        <w:rPr>
          <w:i/>
          <w:noProof/>
        </w:rPr>
        <w:t>Pesticide Use and Farm Worker Health in Ecuadorian Potato Production.</w:t>
      </w:r>
      <w:r w:rsidRPr="00CF6520">
        <w:rPr>
          <w:noProof/>
        </w:rPr>
        <w:t xml:space="preserve"> American Journal of Agricultural Economics, 1994. </w:t>
      </w:r>
      <w:r w:rsidRPr="00CF6520">
        <w:rPr>
          <w:b/>
          <w:noProof/>
        </w:rPr>
        <w:t>76</w:t>
      </w:r>
      <w:r w:rsidRPr="00CF6520">
        <w:rPr>
          <w:noProof/>
        </w:rPr>
        <w:t>(3): p. 593-597.</w:t>
      </w:r>
    </w:p>
    <w:p w14:paraId="732A6FDE" w14:textId="77777777" w:rsidR="00CF6520" w:rsidRPr="00CF6520" w:rsidRDefault="00CF6520" w:rsidP="00CF6520">
      <w:pPr>
        <w:pStyle w:val="EndNoteBibliography"/>
        <w:ind w:left="720" w:hanging="720"/>
        <w:rPr>
          <w:noProof/>
        </w:rPr>
      </w:pPr>
      <w:r w:rsidRPr="00CF6520">
        <w:rPr>
          <w:noProof/>
        </w:rPr>
        <w:t>20.</w:t>
      </w:r>
      <w:r w:rsidRPr="00CF6520">
        <w:rPr>
          <w:noProof/>
        </w:rPr>
        <w:tab/>
        <w:t xml:space="preserve">Kouser, S., D.J. Spielman, and M. Qaim, </w:t>
      </w:r>
      <w:r w:rsidRPr="00CF6520">
        <w:rPr>
          <w:i/>
          <w:noProof/>
        </w:rPr>
        <w:t>Transgenic cotton and farmers’ health in Pakistan.</w:t>
      </w:r>
      <w:r w:rsidRPr="00CF6520">
        <w:rPr>
          <w:noProof/>
        </w:rPr>
        <w:t xml:space="preserve"> PloS one, 2019. </w:t>
      </w:r>
      <w:r w:rsidRPr="00CF6520">
        <w:rPr>
          <w:b/>
          <w:noProof/>
        </w:rPr>
        <w:t>14</w:t>
      </w:r>
      <w:r w:rsidRPr="00CF6520">
        <w:rPr>
          <w:noProof/>
        </w:rPr>
        <w:t>(10): p. e0222617.</w:t>
      </w:r>
    </w:p>
    <w:p w14:paraId="695E431E" w14:textId="77777777" w:rsidR="00CF6520" w:rsidRPr="00CF6520" w:rsidRDefault="00CF6520" w:rsidP="00CF6520">
      <w:pPr>
        <w:pStyle w:val="EndNoteBibliography"/>
        <w:ind w:left="720" w:hanging="720"/>
        <w:rPr>
          <w:noProof/>
        </w:rPr>
      </w:pPr>
      <w:r w:rsidRPr="00CF6520">
        <w:rPr>
          <w:noProof/>
        </w:rPr>
        <w:t>21.</w:t>
      </w:r>
      <w:r w:rsidRPr="00CF6520">
        <w:rPr>
          <w:noProof/>
        </w:rPr>
        <w:tab/>
        <w:t xml:space="preserve">Pingali, P., C. Marcques, and F. Palis, </w:t>
      </w:r>
      <w:r w:rsidRPr="00CF6520">
        <w:rPr>
          <w:i/>
          <w:noProof/>
        </w:rPr>
        <w:t>Pesticides and Philippine Rice Farmer Health: A Medical and Economic Analysis.</w:t>
      </w:r>
      <w:r w:rsidRPr="00CF6520">
        <w:rPr>
          <w:noProof/>
        </w:rPr>
        <w:t xml:space="preserve"> American Journal of Agricultural Economics, 1994. </w:t>
      </w:r>
      <w:r w:rsidRPr="00CF6520">
        <w:rPr>
          <w:b/>
          <w:noProof/>
        </w:rPr>
        <w:t>76</w:t>
      </w:r>
      <w:r w:rsidRPr="00CF6520">
        <w:rPr>
          <w:noProof/>
        </w:rPr>
        <w:t>.</w:t>
      </w:r>
    </w:p>
    <w:p w14:paraId="6031CC92" w14:textId="77777777" w:rsidR="00CF6520" w:rsidRPr="00CF6520" w:rsidRDefault="00CF6520" w:rsidP="00CF6520">
      <w:pPr>
        <w:pStyle w:val="EndNoteBibliography"/>
        <w:ind w:left="720" w:hanging="720"/>
        <w:rPr>
          <w:noProof/>
        </w:rPr>
      </w:pPr>
      <w:r w:rsidRPr="00CF6520">
        <w:rPr>
          <w:noProof/>
        </w:rPr>
        <w:t>22.</w:t>
      </w:r>
      <w:r w:rsidRPr="00CF6520">
        <w:rPr>
          <w:noProof/>
        </w:rPr>
        <w:tab/>
        <w:t xml:space="preserve">Beach, E.D. and G.A. Carlson, </w:t>
      </w:r>
      <w:r w:rsidRPr="00CF6520">
        <w:rPr>
          <w:i/>
          <w:noProof/>
        </w:rPr>
        <w:t>A Hedonic Analysis of Herbicides: Do User Safety and Water Quality Matter?</w:t>
      </w:r>
      <w:r w:rsidRPr="00CF6520">
        <w:rPr>
          <w:noProof/>
        </w:rPr>
        <w:t xml:space="preserve"> American Journal of Agricultural Economics, 1993. </w:t>
      </w:r>
      <w:r w:rsidRPr="00CF6520">
        <w:rPr>
          <w:b/>
          <w:noProof/>
        </w:rPr>
        <w:t>75</w:t>
      </w:r>
      <w:r w:rsidRPr="00CF6520">
        <w:rPr>
          <w:noProof/>
        </w:rPr>
        <w:t>(3): p. 612-623.</w:t>
      </w:r>
    </w:p>
    <w:p w14:paraId="02FF23FC" w14:textId="77777777" w:rsidR="00CF6520" w:rsidRPr="00CF6520" w:rsidRDefault="00CF6520" w:rsidP="00CF6520">
      <w:pPr>
        <w:pStyle w:val="EndNoteBibliography"/>
        <w:ind w:left="720" w:hanging="720"/>
        <w:rPr>
          <w:noProof/>
        </w:rPr>
      </w:pPr>
      <w:r w:rsidRPr="00CF6520">
        <w:rPr>
          <w:noProof/>
        </w:rPr>
        <w:t>23.</w:t>
      </w:r>
      <w:r w:rsidRPr="00CF6520">
        <w:rPr>
          <w:noProof/>
        </w:rPr>
        <w:tab/>
        <w:t xml:space="preserve">Söderqvist, T., </w:t>
      </w:r>
      <w:r w:rsidRPr="00CF6520">
        <w:rPr>
          <w:i/>
          <w:noProof/>
        </w:rPr>
        <w:t>Valuing chemical characteristics: a hedonic approach</w:t>
      </w:r>
      <w:r w:rsidRPr="00CF6520">
        <w:rPr>
          <w:noProof/>
        </w:rPr>
        <w:t xml:space="preserve">, in </w:t>
      </w:r>
      <w:r w:rsidRPr="00CF6520">
        <w:rPr>
          <w:i/>
          <w:noProof/>
        </w:rPr>
        <w:t>Regulating Chemical Accumulation in the Environment</w:t>
      </w:r>
      <w:r w:rsidRPr="00CF6520">
        <w:rPr>
          <w:noProof/>
        </w:rPr>
        <w:t>. 1998, Cambridge University Press Cambridge. p. 50-71.</w:t>
      </w:r>
    </w:p>
    <w:p w14:paraId="256458B9" w14:textId="77777777" w:rsidR="00CF6520" w:rsidRPr="00CF6520" w:rsidRDefault="00CF6520" w:rsidP="00CF6520">
      <w:pPr>
        <w:pStyle w:val="EndNoteBibliography"/>
        <w:ind w:left="720" w:hanging="720"/>
        <w:rPr>
          <w:noProof/>
        </w:rPr>
      </w:pPr>
      <w:r w:rsidRPr="00CF6520">
        <w:rPr>
          <w:noProof/>
        </w:rPr>
        <w:t>24.</w:t>
      </w:r>
      <w:r w:rsidRPr="00CF6520">
        <w:rPr>
          <w:noProof/>
        </w:rPr>
        <w:tab/>
        <w:t xml:space="preserve">Eichhorn, T. and O. Meixner, </w:t>
      </w:r>
      <w:r w:rsidRPr="00CF6520">
        <w:rPr>
          <w:i/>
          <w:noProof/>
        </w:rPr>
        <w:t>Factors influencing the willingness to pay for aquaponic products in a developed food market: A structural equation modeling approach.</w:t>
      </w:r>
      <w:r w:rsidRPr="00CF6520">
        <w:rPr>
          <w:noProof/>
        </w:rPr>
        <w:t xml:space="preserve"> Sustainability, 2020. </w:t>
      </w:r>
      <w:r w:rsidRPr="00CF6520">
        <w:rPr>
          <w:b/>
          <w:noProof/>
        </w:rPr>
        <w:t>12</w:t>
      </w:r>
      <w:r w:rsidRPr="00CF6520">
        <w:rPr>
          <w:noProof/>
        </w:rPr>
        <w:t>(8): p. 3475.</w:t>
      </w:r>
    </w:p>
    <w:p w14:paraId="29F6B02C" w14:textId="77777777" w:rsidR="00CF6520" w:rsidRPr="00CF6520" w:rsidRDefault="00CF6520" w:rsidP="00CF6520">
      <w:pPr>
        <w:pStyle w:val="EndNoteBibliography"/>
        <w:ind w:left="720" w:hanging="720"/>
        <w:rPr>
          <w:noProof/>
        </w:rPr>
      </w:pPr>
      <w:r w:rsidRPr="00CF6520">
        <w:rPr>
          <w:noProof/>
        </w:rPr>
        <w:t>25.</w:t>
      </w:r>
      <w:r w:rsidRPr="00CF6520">
        <w:rPr>
          <w:noProof/>
        </w:rPr>
        <w:tab/>
        <w:t xml:space="preserve">Muriithi, B.W., et al., </w:t>
      </w:r>
      <w:r w:rsidRPr="00CF6520">
        <w:rPr>
          <w:i/>
          <w:noProof/>
        </w:rPr>
        <w:t>Farmers’ knowledge and perceptions on fruit flies and willingness to pay for a fruit fly integrated pest management strategy in Gamo Gofa zone, Ethiopia.</w:t>
      </w:r>
      <w:r w:rsidRPr="00CF6520">
        <w:rPr>
          <w:noProof/>
        </w:rPr>
        <w:t xml:space="preserve"> International Journal of Agricultural Sustainability, 2021. </w:t>
      </w:r>
      <w:r w:rsidRPr="00CF6520">
        <w:rPr>
          <w:b/>
          <w:noProof/>
        </w:rPr>
        <w:t>19</w:t>
      </w:r>
      <w:r w:rsidRPr="00CF6520">
        <w:rPr>
          <w:noProof/>
        </w:rPr>
        <w:t>(2): p. 199-212.</w:t>
      </w:r>
    </w:p>
    <w:p w14:paraId="32CB998E" w14:textId="77777777" w:rsidR="00CF6520" w:rsidRPr="00CF6520" w:rsidRDefault="00CF6520" w:rsidP="00CF6520">
      <w:pPr>
        <w:pStyle w:val="EndNoteBibliography"/>
        <w:ind w:left="720" w:hanging="720"/>
        <w:rPr>
          <w:noProof/>
        </w:rPr>
      </w:pPr>
      <w:r w:rsidRPr="00CF6520">
        <w:rPr>
          <w:noProof/>
        </w:rPr>
        <w:t>26.</w:t>
      </w:r>
      <w:r w:rsidRPr="00CF6520">
        <w:rPr>
          <w:noProof/>
        </w:rPr>
        <w:tab/>
        <w:t xml:space="preserve">Milford, A.B., N. Trandem, and A.J.G. Pires, </w:t>
      </w:r>
      <w:r w:rsidRPr="00CF6520">
        <w:rPr>
          <w:i/>
          <w:noProof/>
        </w:rPr>
        <w:t>Fear of pesticide residues and preference for domestically produced strawberries.</w:t>
      </w:r>
      <w:r w:rsidRPr="00CF6520">
        <w:rPr>
          <w:noProof/>
        </w:rPr>
        <w:t xml:space="preserve"> Review of Agricultural, Food and Environmental Studies, 2021: p. 1-23.</w:t>
      </w:r>
    </w:p>
    <w:p w14:paraId="41A158C3" w14:textId="77777777" w:rsidR="00CF6520" w:rsidRPr="00CF6520" w:rsidRDefault="00CF6520" w:rsidP="00CF6520">
      <w:pPr>
        <w:pStyle w:val="EndNoteBibliography"/>
        <w:ind w:left="720" w:hanging="720"/>
        <w:rPr>
          <w:noProof/>
        </w:rPr>
      </w:pPr>
      <w:r w:rsidRPr="00CF6520">
        <w:rPr>
          <w:noProof/>
        </w:rPr>
        <w:t>27.</w:t>
      </w:r>
      <w:r w:rsidRPr="00CF6520">
        <w:rPr>
          <w:noProof/>
        </w:rPr>
        <w:tab/>
        <w:t xml:space="preserve">Grebitus, C. and E.J. Van Loo, </w:t>
      </w:r>
      <w:r w:rsidRPr="00CF6520">
        <w:rPr>
          <w:i/>
          <w:noProof/>
        </w:rPr>
        <w:t>Relationship between cognitive and affective processes, and willingness to pay for pesticide‐free and GMO‐free labeling.</w:t>
      </w:r>
      <w:r w:rsidRPr="00CF6520">
        <w:rPr>
          <w:noProof/>
        </w:rPr>
        <w:t xml:space="preserve"> Agricultural Economics, 2022. </w:t>
      </w:r>
      <w:r w:rsidRPr="00CF6520">
        <w:rPr>
          <w:b/>
          <w:noProof/>
        </w:rPr>
        <w:t>53</w:t>
      </w:r>
      <w:r w:rsidRPr="00CF6520">
        <w:rPr>
          <w:noProof/>
        </w:rPr>
        <w:t>(3): p. 407-421.</w:t>
      </w:r>
    </w:p>
    <w:p w14:paraId="38DC4D04" w14:textId="77777777" w:rsidR="00CF6520" w:rsidRPr="00CF6520" w:rsidRDefault="00CF6520" w:rsidP="00CF6520">
      <w:pPr>
        <w:pStyle w:val="EndNoteBibliography"/>
        <w:ind w:left="720" w:hanging="720"/>
        <w:rPr>
          <w:noProof/>
        </w:rPr>
      </w:pPr>
      <w:r w:rsidRPr="00CF6520">
        <w:rPr>
          <w:noProof/>
        </w:rPr>
        <w:t>28.</w:t>
      </w:r>
      <w:r w:rsidRPr="00CF6520">
        <w:rPr>
          <w:noProof/>
        </w:rPr>
        <w:tab/>
        <w:t xml:space="preserve">Bhat, A., et al., </w:t>
      </w:r>
      <w:r w:rsidRPr="00CF6520">
        <w:rPr>
          <w:i/>
          <w:noProof/>
        </w:rPr>
        <w:t>Health cost and economic loss due to excessive pesticide use in apple growing region of Jammu and Kashmir.</w:t>
      </w:r>
      <w:r w:rsidRPr="00CF6520">
        <w:rPr>
          <w:noProof/>
        </w:rPr>
        <w:t xml:space="preserve"> Journal of Applied Horticulture, 2020. </w:t>
      </w:r>
      <w:r w:rsidRPr="00CF6520">
        <w:rPr>
          <w:b/>
          <w:noProof/>
        </w:rPr>
        <w:t>22</w:t>
      </w:r>
      <w:r w:rsidRPr="00CF6520">
        <w:rPr>
          <w:noProof/>
        </w:rPr>
        <w:t>(3).</w:t>
      </w:r>
    </w:p>
    <w:p w14:paraId="4D0ECB47" w14:textId="77777777" w:rsidR="00CF6520" w:rsidRPr="00CF6520" w:rsidRDefault="00CF6520" w:rsidP="00CF6520">
      <w:pPr>
        <w:pStyle w:val="EndNoteBibliography"/>
        <w:ind w:left="720" w:hanging="720"/>
        <w:rPr>
          <w:noProof/>
        </w:rPr>
      </w:pPr>
      <w:r w:rsidRPr="00CF6520">
        <w:rPr>
          <w:noProof/>
        </w:rPr>
        <w:t>29.</w:t>
      </w:r>
      <w:r w:rsidRPr="00CF6520">
        <w:rPr>
          <w:noProof/>
        </w:rPr>
        <w:tab/>
        <w:t xml:space="preserve">Wang, C. and W. Liu, </w:t>
      </w:r>
      <w:r w:rsidRPr="00CF6520">
        <w:rPr>
          <w:i/>
          <w:noProof/>
        </w:rPr>
        <w:t>Farmers’ attitudes vs. government supervision: which one has a more significant impact on farmers’ pesticide use in China?</w:t>
      </w:r>
      <w:r w:rsidRPr="00CF6520">
        <w:rPr>
          <w:noProof/>
        </w:rPr>
        <w:t xml:space="preserve"> International Journal of Agricultural Sustainability, 2021. </w:t>
      </w:r>
      <w:r w:rsidRPr="00CF6520">
        <w:rPr>
          <w:b/>
          <w:noProof/>
        </w:rPr>
        <w:t>19</w:t>
      </w:r>
      <w:r w:rsidRPr="00CF6520">
        <w:rPr>
          <w:noProof/>
        </w:rPr>
        <w:t>(2): p. 213-226.</w:t>
      </w:r>
    </w:p>
    <w:p w14:paraId="5338E7AF" w14:textId="77777777" w:rsidR="00CF6520" w:rsidRPr="00CF6520" w:rsidRDefault="00CF6520" w:rsidP="00CF6520">
      <w:pPr>
        <w:pStyle w:val="EndNoteBibliography"/>
        <w:ind w:left="720" w:hanging="720"/>
        <w:rPr>
          <w:noProof/>
        </w:rPr>
      </w:pPr>
      <w:r w:rsidRPr="00CF6520">
        <w:rPr>
          <w:noProof/>
        </w:rPr>
        <w:t>30.</w:t>
      </w:r>
      <w:r w:rsidRPr="00CF6520">
        <w:rPr>
          <w:noProof/>
        </w:rPr>
        <w:tab/>
        <w:t xml:space="preserve">Angle, J.S. and N.A. Linacre, </w:t>
      </w:r>
      <w:r w:rsidRPr="00CF6520">
        <w:rPr>
          <w:i/>
          <w:noProof/>
        </w:rPr>
        <w:t>Ecological Risks of Novel Environmental Crop Technologies Using Phytoremediation as an Example</w:t>
      </w:r>
      <w:r w:rsidRPr="00CF6520">
        <w:rPr>
          <w:noProof/>
        </w:rPr>
        <w:t xml:space="preserve">, in </w:t>
      </w:r>
      <w:r w:rsidRPr="00CF6520">
        <w:rPr>
          <w:i/>
          <w:noProof/>
        </w:rPr>
        <w:t>EPTD Discussion Paper</w:t>
      </w:r>
      <w:r w:rsidRPr="00CF6520">
        <w:rPr>
          <w:noProof/>
        </w:rPr>
        <w:t>. 2005. p. 1-42.</w:t>
      </w:r>
    </w:p>
    <w:p w14:paraId="5B2F983E" w14:textId="77777777" w:rsidR="00CF6520" w:rsidRPr="00CF6520" w:rsidRDefault="00CF6520" w:rsidP="00CF6520">
      <w:pPr>
        <w:pStyle w:val="EndNoteBibliography"/>
        <w:ind w:left="720" w:hanging="720"/>
        <w:rPr>
          <w:noProof/>
        </w:rPr>
      </w:pPr>
      <w:r w:rsidRPr="00CF6520">
        <w:rPr>
          <w:noProof/>
        </w:rPr>
        <w:t>31.</w:t>
      </w:r>
      <w:r w:rsidRPr="00CF6520">
        <w:rPr>
          <w:noProof/>
        </w:rPr>
        <w:tab/>
        <w:t xml:space="preserve">Chellattan Veettil, P., V. Krishna, and M. Qaim, </w:t>
      </w:r>
      <w:r w:rsidRPr="00CF6520">
        <w:rPr>
          <w:i/>
          <w:noProof/>
        </w:rPr>
        <w:t>Ecosystem impacts of pesticide reductions through Bt cotton adoption.</w:t>
      </w:r>
      <w:r w:rsidRPr="00CF6520">
        <w:rPr>
          <w:noProof/>
        </w:rPr>
        <w:t xml:space="preserve"> Australian Journal of Agricultural and Resource Economics, 2017. </w:t>
      </w:r>
      <w:r w:rsidRPr="00CF6520">
        <w:rPr>
          <w:b/>
          <w:noProof/>
        </w:rPr>
        <w:t>61</w:t>
      </w:r>
      <w:r w:rsidRPr="00CF6520">
        <w:rPr>
          <w:noProof/>
        </w:rPr>
        <w:t>(1): p. 301127.</w:t>
      </w:r>
    </w:p>
    <w:p w14:paraId="7CDFC68B" w14:textId="77777777" w:rsidR="00CF6520" w:rsidRPr="00CF6520" w:rsidRDefault="00CF6520" w:rsidP="00CF6520">
      <w:pPr>
        <w:pStyle w:val="EndNoteBibliography"/>
        <w:ind w:left="720" w:hanging="720"/>
        <w:rPr>
          <w:noProof/>
        </w:rPr>
      </w:pPr>
      <w:r w:rsidRPr="00CF6520">
        <w:rPr>
          <w:noProof/>
        </w:rPr>
        <w:t>32.</w:t>
      </w:r>
      <w:r w:rsidRPr="00CF6520">
        <w:rPr>
          <w:noProof/>
        </w:rPr>
        <w:tab/>
        <w:t xml:space="preserve">Hammitt, J.K., </w:t>
      </w:r>
      <w:r w:rsidRPr="00CF6520">
        <w:rPr>
          <w:i/>
          <w:noProof/>
        </w:rPr>
        <w:t>Consumer willingness to pay to avoid pesticide residues.</w:t>
      </w:r>
      <w:r w:rsidRPr="00CF6520">
        <w:rPr>
          <w:noProof/>
        </w:rPr>
        <w:t xml:space="preserve"> Statistica Sinica, 1993: p. 351-366.</w:t>
      </w:r>
    </w:p>
    <w:p w14:paraId="46F577A7" w14:textId="77777777" w:rsidR="00CF6520" w:rsidRPr="00CF6520" w:rsidRDefault="00CF6520" w:rsidP="00CF6520">
      <w:pPr>
        <w:pStyle w:val="EndNoteBibliography"/>
        <w:ind w:left="720" w:hanging="720"/>
        <w:rPr>
          <w:noProof/>
        </w:rPr>
      </w:pPr>
      <w:r w:rsidRPr="00CF6520">
        <w:rPr>
          <w:noProof/>
        </w:rPr>
        <w:lastRenderedPageBreak/>
        <w:t>33.</w:t>
      </w:r>
      <w:r w:rsidRPr="00CF6520">
        <w:rPr>
          <w:noProof/>
        </w:rPr>
        <w:tab/>
        <w:t xml:space="preserve">Florax, R.J.G.M., C.M. Travisi, and P. Nijkamp, </w:t>
      </w:r>
      <w:r w:rsidRPr="00CF6520">
        <w:rPr>
          <w:i/>
          <w:noProof/>
        </w:rPr>
        <w:t>A meta-analysis of the willingness to pay for reductions in pesticide risk exposure.</w:t>
      </w:r>
      <w:r w:rsidRPr="00CF6520">
        <w:rPr>
          <w:noProof/>
        </w:rPr>
        <w:t xml:space="preserve"> European Review of Agricultural Economics, 2005. </w:t>
      </w:r>
      <w:r w:rsidRPr="00CF6520">
        <w:rPr>
          <w:b/>
          <w:noProof/>
        </w:rPr>
        <w:t>32</w:t>
      </w:r>
      <w:r w:rsidRPr="00CF6520">
        <w:rPr>
          <w:noProof/>
        </w:rPr>
        <w:t>(4): p. 441-467.</w:t>
      </w:r>
    </w:p>
    <w:p w14:paraId="4E5F2B6B" w14:textId="77777777" w:rsidR="00CF6520" w:rsidRPr="00CF6520" w:rsidRDefault="00CF6520" w:rsidP="00CF6520">
      <w:pPr>
        <w:pStyle w:val="EndNoteBibliography"/>
        <w:ind w:left="720" w:hanging="720"/>
        <w:rPr>
          <w:noProof/>
        </w:rPr>
      </w:pPr>
      <w:r w:rsidRPr="00CF6520">
        <w:rPr>
          <w:noProof/>
        </w:rPr>
        <w:t>34.</w:t>
      </w:r>
      <w:r w:rsidRPr="00CF6520">
        <w:rPr>
          <w:noProof/>
        </w:rPr>
        <w:tab/>
        <w:t xml:space="preserve">World Bank, </w:t>
      </w:r>
      <w:r w:rsidRPr="00CF6520">
        <w:rPr>
          <w:i/>
          <w:noProof/>
        </w:rPr>
        <w:t>World Development Indicators</w:t>
      </w:r>
      <w:r w:rsidRPr="00CF6520">
        <w:rPr>
          <w:noProof/>
        </w:rPr>
        <w:t>, W. Bank, Editor. 2022.</w:t>
      </w:r>
    </w:p>
    <w:p w14:paraId="44131D8D" w14:textId="77777777" w:rsidR="00CF6520" w:rsidRPr="00CF6520" w:rsidRDefault="00CF6520" w:rsidP="00CF6520">
      <w:pPr>
        <w:pStyle w:val="EndNoteBibliography"/>
        <w:ind w:left="720" w:hanging="720"/>
        <w:rPr>
          <w:noProof/>
        </w:rPr>
      </w:pPr>
      <w:r w:rsidRPr="00CF6520">
        <w:rPr>
          <w:noProof/>
        </w:rPr>
        <w:t>35.</w:t>
      </w:r>
      <w:r w:rsidRPr="00CF6520">
        <w:rPr>
          <w:noProof/>
        </w:rPr>
        <w:tab/>
        <w:t xml:space="preserve">Akgüngör, S., B. Miran, and C. Abay, </w:t>
      </w:r>
      <w:r w:rsidRPr="00CF6520">
        <w:rPr>
          <w:i/>
          <w:noProof/>
        </w:rPr>
        <w:t>Consumer willingness to pay for food safety labels in urban Turkey: a case study of pesticide residues in tomatoes.</w:t>
      </w:r>
      <w:r w:rsidRPr="00CF6520">
        <w:rPr>
          <w:noProof/>
        </w:rPr>
        <w:t xml:space="preserve"> Journal of International Food &amp; Agribusiness Marketing, 2001. </w:t>
      </w:r>
      <w:r w:rsidRPr="00CF6520">
        <w:rPr>
          <w:b/>
          <w:noProof/>
        </w:rPr>
        <w:t>12</w:t>
      </w:r>
      <w:r w:rsidRPr="00CF6520">
        <w:rPr>
          <w:noProof/>
        </w:rPr>
        <w:t>(1): p. 91-107.</w:t>
      </w:r>
    </w:p>
    <w:p w14:paraId="349B4568" w14:textId="77777777" w:rsidR="00CF6520" w:rsidRPr="00CF6520" w:rsidRDefault="00CF6520" w:rsidP="00CF6520">
      <w:pPr>
        <w:pStyle w:val="EndNoteBibliography"/>
        <w:ind w:left="720" w:hanging="720"/>
        <w:rPr>
          <w:noProof/>
        </w:rPr>
      </w:pPr>
      <w:r w:rsidRPr="00CF6520">
        <w:rPr>
          <w:noProof/>
        </w:rPr>
        <w:t>36.</w:t>
      </w:r>
      <w:r w:rsidRPr="00CF6520">
        <w:rPr>
          <w:noProof/>
        </w:rPr>
        <w:tab/>
        <w:t xml:space="preserve">Buzby, J.C., J.R. Skees, and R.C. Ready, </w:t>
      </w:r>
      <w:r w:rsidRPr="00CF6520">
        <w:rPr>
          <w:i/>
          <w:noProof/>
        </w:rPr>
        <w:t>Using contingent valuation to value food safety: a case study of grapefruit and pesticide residues</w:t>
      </w:r>
      <w:r w:rsidRPr="00CF6520">
        <w:rPr>
          <w:noProof/>
        </w:rPr>
        <w:t>. 1995.</w:t>
      </w:r>
    </w:p>
    <w:p w14:paraId="599B1A1A" w14:textId="77777777" w:rsidR="00CF6520" w:rsidRPr="00CF6520" w:rsidRDefault="00CF6520" w:rsidP="00CF6520">
      <w:pPr>
        <w:pStyle w:val="EndNoteBibliography"/>
        <w:ind w:left="720" w:hanging="720"/>
        <w:rPr>
          <w:noProof/>
        </w:rPr>
      </w:pPr>
      <w:r w:rsidRPr="00CF6520">
        <w:rPr>
          <w:noProof/>
        </w:rPr>
        <w:t>37.</w:t>
      </w:r>
      <w:r w:rsidRPr="00CF6520">
        <w:rPr>
          <w:noProof/>
        </w:rPr>
        <w:tab/>
        <w:t xml:space="preserve">Buzby, J.C., et al., </w:t>
      </w:r>
      <w:r w:rsidRPr="00CF6520">
        <w:rPr>
          <w:i/>
          <w:noProof/>
        </w:rPr>
        <w:t>Measuring consumer benefits of food safety risk reductions.</w:t>
      </w:r>
      <w:r w:rsidRPr="00CF6520">
        <w:rPr>
          <w:noProof/>
        </w:rPr>
        <w:t xml:space="preserve"> Journal of Agricultural and Applied Economics, 1998. </w:t>
      </w:r>
      <w:r w:rsidRPr="00CF6520">
        <w:rPr>
          <w:b/>
          <w:noProof/>
        </w:rPr>
        <w:t>30</w:t>
      </w:r>
      <w:r w:rsidRPr="00CF6520">
        <w:rPr>
          <w:noProof/>
        </w:rPr>
        <w:t>(1): p. 69-82.</w:t>
      </w:r>
    </w:p>
    <w:p w14:paraId="31C53512" w14:textId="77777777" w:rsidR="00CF6520" w:rsidRPr="00CF6520" w:rsidRDefault="00CF6520" w:rsidP="00CF6520">
      <w:pPr>
        <w:pStyle w:val="EndNoteBibliography"/>
        <w:ind w:left="720" w:hanging="720"/>
        <w:rPr>
          <w:noProof/>
        </w:rPr>
      </w:pPr>
      <w:r w:rsidRPr="00CF6520">
        <w:rPr>
          <w:noProof/>
        </w:rPr>
        <w:t>38.</w:t>
      </w:r>
      <w:r w:rsidRPr="00CF6520">
        <w:rPr>
          <w:noProof/>
        </w:rPr>
        <w:tab/>
        <w:t xml:space="preserve">Carpio, C.E., O. Sydorovych, and M.C. Marra, </w:t>
      </w:r>
      <w:r w:rsidRPr="00CF6520">
        <w:rPr>
          <w:i/>
          <w:noProof/>
        </w:rPr>
        <w:t>Relative importance of environmental attributes using logistic regression</w:t>
      </w:r>
      <w:r w:rsidRPr="00CF6520">
        <w:rPr>
          <w:noProof/>
        </w:rPr>
        <w:t>. 2007.</w:t>
      </w:r>
    </w:p>
    <w:p w14:paraId="1E2FDAD6" w14:textId="77777777" w:rsidR="00CF6520" w:rsidRPr="00CF6520" w:rsidRDefault="00CF6520" w:rsidP="00CF6520">
      <w:pPr>
        <w:pStyle w:val="EndNoteBibliography"/>
        <w:ind w:left="720" w:hanging="720"/>
        <w:rPr>
          <w:noProof/>
        </w:rPr>
      </w:pPr>
      <w:r w:rsidRPr="00CF6520">
        <w:rPr>
          <w:noProof/>
        </w:rPr>
        <w:t>39.</w:t>
      </w:r>
      <w:r w:rsidRPr="00CF6520">
        <w:rPr>
          <w:noProof/>
        </w:rPr>
        <w:tab/>
        <w:t xml:space="preserve">Cuyno, L.C., G.W. Norton, and A. Rola, </w:t>
      </w:r>
      <w:r w:rsidRPr="00CF6520">
        <w:rPr>
          <w:i/>
          <w:noProof/>
        </w:rPr>
        <w:t>Economic analysis of environmental benefits of integrated pest management: a Philippine case study.</w:t>
      </w:r>
      <w:r w:rsidRPr="00CF6520">
        <w:rPr>
          <w:noProof/>
        </w:rPr>
        <w:t xml:space="preserve"> Agricultural Economics, 2001. </w:t>
      </w:r>
      <w:r w:rsidRPr="00CF6520">
        <w:rPr>
          <w:b/>
          <w:noProof/>
        </w:rPr>
        <w:t>25</w:t>
      </w:r>
      <w:r w:rsidRPr="00CF6520">
        <w:rPr>
          <w:noProof/>
        </w:rPr>
        <w:t>(2-3): p. 227-233.</w:t>
      </w:r>
    </w:p>
    <w:p w14:paraId="7DF79BC0" w14:textId="77777777" w:rsidR="00CF6520" w:rsidRPr="00CF6520" w:rsidRDefault="00CF6520" w:rsidP="00CF6520">
      <w:pPr>
        <w:pStyle w:val="EndNoteBibliography"/>
        <w:ind w:left="720" w:hanging="720"/>
        <w:rPr>
          <w:noProof/>
        </w:rPr>
      </w:pPr>
      <w:r w:rsidRPr="00CF6520">
        <w:rPr>
          <w:noProof/>
        </w:rPr>
        <w:t>40.</w:t>
      </w:r>
      <w:r w:rsidRPr="00CF6520">
        <w:rPr>
          <w:noProof/>
        </w:rPr>
        <w:tab/>
        <w:t xml:space="preserve">Garming, H. and H. Waibel, </w:t>
      </w:r>
      <w:r w:rsidRPr="00CF6520">
        <w:rPr>
          <w:i/>
          <w:noProof/>
        </w:rPr>
        <w:t>Willingness to pay to avoid health risks from pesticides, a case study from Nicaragua.</w:t>
      </w:r>
      <w:r w:rsidRPr="00CF6520">
        <w:rPr>
          <w:noProof/>
        </w:rPr>
        <w:t xml:space="preserve"> Proceedings “Schriften der Gesellschaft für Wirtschafts-und Sozialwissenschaften des Landbaues eV”, 2007. </w:t>
      </w:r>
      <w:r w:rsidRPr="00CF6520">
        <w:rPr>
          <w:b/>
          <w:noProof/>
        </w:rPr>
        <w:t>42</w:t>
      </w:r>
      <w:r w:rsidRPr="00CF6520">
        <w:rPr>
          <w:noProof/>
        </w:rPr>
        <w:t>(874-2017-923): p. 239-248.</w:t>
      </w:r>
    </w:p>
    <w:p w14:paraId="2E0F4AED" w14:textId="77777777" w:rsidR="00CF6520" w:rsidRPr="00CF6520" w:rsidRDefault="00CF6520" w:rsidP="00CF6520">
      <w:pPr>
        <w:pStyle w:val="EndNoteBibliography"/>
        <w:ind w:left="720" w:hanging="720"/>
        <w:rPr>
          <w:noProof/>
        </w:rPr>
      </w:pPr>
      <w:r w:rsidRPr="00CF6520">
        <w:rPr>
          <w:noProof/>
        </w:rPr>
        <w:t>41.</w:t>
      </w:r>
      <w:r w:rsidRPr="00CF6520">
        <w:rPr>
          <w:noProof/>
        </w:rPr>
        <w:tab/>
        <w:t xml:space="preserve">Goeb, J.C., </w:t>
      </w:r>
      <w:r w:rsidRPr="00CF6520">
        <w:rPr>
          <w:i/>
          <w:noProof/>
        </w:rPr>
        <w:t>Information, knowledge, and demand for substitute health inputs: Experimental evidence of pesticide use in Zambia</w:t>
      </w:r>
      <w:r w:rsidRPr="00CF6520">
        <w:rPr>
          <w:noProof/>
        </w:rPr>
        <w:t>. 2017: Michigan State University.</w:t>
      </w:r>
    </w:p>
    <w:p w14:paraId="372C63FB" w14:textId="77777777" w:rsidR="00CF6520" w:rsidRPr="00CF6520" w:rsidRDefault="00CF6520" w:rsidP="00CF6520">
      <w:pPr>
        <w:pStyle w:val="EndNoteBibliography"/>
        <w:ind w:left="720" w:hanging="720"/>
        <w:rPr>
          <w:noProof/>
        </w:rPr>
      </w:pPr>
      <w:r w:rsidRPr="00CF6520">
        <w:rPr>
          <w:noProof/>
        </w:rPr>
        <w:t>42.</w:t>
      </w:r>
      <w:r w:rsidRPr="00CF6520">
        <w:rPr>
          <w:noProof/>
        </w:rPr>
        <w:tab/>
        <w:t xml:space="preserve">Gong, Y., X. Bi, and J. Wu, </w:t>
      </w:r>
      <w:r w:rsidRPr="00CF6520">
        <w:rPr>
          <w:i/>
          <w:noProof/>
        </w:rPr>
        <w:t>Willingness to pay for the conservation of the endangered Red-crowned Crane in China: Roles of conservation attitudes and income.</w:t>
      </w:r>
      <w:r w:rsidRPr="00CF6520">
        <w:rPr>
          <w:noProof/>
        </w:rPr>
        <w:t xml:space="preserve"> Forest Policy and Economics, 2020. </w:t>
      </w:r>
      <w:r w:rsidRPr="00CF6520">
        <w:rPr>
          <w:b/>
          <w:noProof/>
        </w:rPr>
        <w:t>120</w:t>
      </w:r>
      <w:r w:rsidRPr="00CF6520">
        <w:rPr>
          <w:noProof/>
        </w:rPr>
        <w:t>: p. 102296.</w:t>
      </w:r>
    </w:p>
    <w:p w14:paraId="3E347E34" w14:textId="77777777" w:rsidR="00CF6520" w:rsidRPr="00CF6520" w:rsidRDefault="00CF6520" w:rsidP="00CF6520">
      <w:pPr>
        <w:pStyle w:val="EndNoteBibliography"/>
        <w:ind w:left="720" w:hanging="720"/>
        <w:rPr>
          <w:noProof/>
        </w:rPr>
      </w:pPr>
      <w:r w:rsidRPr="00CF6520">
        <w:rPr>
          <w:noProof/>
        </w:rPr>
        <w:t>43.</w:t>
      </w:r>
      <w:r w:rsidRPr="00CF6520">
        <w:rPr>
          <w:noProof/>
        </w:rPr>
        <w:tab/>
        <w:t xml:space="preserve">Higley, L.G. and W.K. Wintersteen, </w:t>
      </w:r>
      <w:r w:rsidRPr="00CF6520">
        <w:rPr>
          <w:i/>
          <w:noProof/>
        </w:rPr>
        <w:t>A Novel Approach to Environmental Risk Assessment of Pesticides as a Basis for Incorporating Environmental Costs into Economic Injury Levels.</w:t>
      </w:r>
      <w:r w:rsidRPr="00CF6520">
        <w:rPr>
          <w:noProof/>
        </w:rPr>
        <w:t xml:space="preserve"> American Entomologist, 1992. </w:t>
      </w:r>
      <w:r w:rsidRPr="00CF6520">
        <w:rPr>
          <w:b/>
          <w:noProof/>
        </w:rPr>
        <w:t>38</w:t>
      </w:r>
      <w:r w:rsidRPr="00CF6520">
        <w:rPr>
          <w:noProof/>
        </w:rPr>
        <w:t>(1): p. 34-39.</w:t>
      </w:r>
    </w:p>
    <w:p w14:paraId="1D798B62" w14:textId="77777777" w:rsidR="00CF6520" w:rsidRPr="00CF6520" w:rsidRDefault="00CF6520" w:rsidP="00CF6520">
      <w:pPr>
        <w:pStyle w:val="EndNoteBibliography"/>
        <w:ind w:left="720" w:hanging="720"/>
        <w:rPr>
          <w:noProof/>
        </w:rPr>
      </w:pPr>
      <w:r w:rsidRPr="00CF6520">
        <w:rPr>
          <w:noProof/>
        </w:rPr>
        <w:t>44.</w:t>
      </w:r>
      <w:r w:rsidRPr="00CF6520">
        <w:rPr>
          <w:noProof/>
        </w:rPr>
        <w:tab/>
        <w:t xml:space="preserve">Khan, M. and C.A. Damalas, </w:t>
      </w:r>
      <w:r w:rsidRPr="00CF6520">
        <w:rPr>
          <w:i/>
          <w:noProof/>
        </w:rPr>
        <w:t>Farmers' willingness to pay for less health risks by pesticide use: A case study from the cotton belt of Punjab, Pakistan.</w:t>
      </w:r>
      <w:r w:rsidRPr="00CF6520">
        <w:rPr>
          <w:noProof/>
        </w:rPr>
        <w:t xml:space="preserve"> Science of the total environment, 2015. </w:t>
      </w:r>
      <w:r w:rsidRPr="00CF6520">
        <w:rPr>
          <w:b/>
          <w:noProof/>
        </w:rPr>
        <w:t>530</w:t>
      </w:r>
      <w:r w:rsidRPr="00CF6520">
        <w:rPr>
          <w:noProof/>
        </w:rPr>
        <w:t>: p. 297-303.</w:t>
      </w:r>
    </w:p>
    <w:p w14:paraId="279338F5" w14:textId="77777777" w:rsidR="00CF6520" w:rsidRPr="00CF6520" w:rsidRDefault="00CF6520" w:rsidP="00CF6520">
      <w:pPr>
        <w:pStyle w:val="EndNoteBibliography"/>
        <w:ind w:left="720" w:hanging="720"/>
        <w:rPr>
          <w:noProof/>
        </w:rPr>
      </w:pPr>
      <w:r w:rsidRPr="00CF6520">
        <w:rPr>
          <w:noProof/>
        </w:rPr>
        <w:t>45.</w:t>
      </w:r>
      <w:r w:rsidRPr="00CF6520">
        <w:rPr>
          <w:noProof/>
        </w:rPr>
        <w:tab/>
        <w:t xml:space="preserve">Khan, J., et al., </w:t>
      </w:r>
      <w:r w:rsidRPr="00CF6520">
        <w:rPr>
          <w:i/>
          <w:noProof/>
        </w:rPr>
        <w:t>Investigating the Effect of Contingent Valuation Question Formats on Households’ Willingness to Pay for Pesticides Free Fruits in Khyber Pakhtunkhwa.</w:t>
      </w:r>
      <w:r w:rsidRPr="00CF6520">
        <w:rPr>
          <w:noProof/>
        </w:rPr>
        <w:t xml:space="preserve"> Journal of Applied Economics and Business Studies, 2021. </w:t>
      </w:r>
      <w:r w:rsidRPr="00CF6520">
        <w:rPr>
          <w:b/>
          <w:noProof/>
        </w:rPr>
        <w:t>5</w:t>
      </w:r>
      <w:r w:rsidRPr="00CF6520">
        <w:rPr>
          <w:noProof/>
        </w:rPr>
        <w:t>(4): p. 1-12.</w:t>
      </w:r>
    </w:p>
    <w:p w14:paraId="3A06F14A" w14:textId="77777777" w:rsidR="00CF6520" w:rsidRPr="00CF6520" w:rsidRDefault="00CF6520" w:rsidP="00CF6520">
      <w:pPr>
        <w:pStyle w:val="EndNoteBibliography"/>
        <w:ind w:left="720" w:hanging="720"/>
        <w:rPr>
          <w:noProof/>
        </w:rPr>
      </w:pPr>
      <w:r w:rsidRPr="00CF6520">
        <w:rPr>
          <w:noProof/>
        </w:rPr>
        <w:t>46.</w:t>
      </w:r>
      <w:r w:rsidRPr="00CF6520">
        <w:rPr>
          <w:noProof/>
        </w:rPr>
        <w:tab/>
        <w:t xml:space="preserve">Lohr, L., T. Park, and L. Higley, </w:t>
      </w:r>
      <w:r w:rsidRPr="00CF6520">
        <w:rPr>
          <w:i/>
          <w:noProof/>
        </w:rPr>
        <w:t>Farmer risk assessment for voluntary insecticide reduction.</w:t>
      </w:r>
      <w:r w:rsidRPr="00CF6520">
        <w:rPr>
          <w:noProof/>
        </w:rPr>
        <w:t xml:space="preserve"> Ecological Economics, 1999. </w:t>
      </w:r>
      <w:r w:rsidRPr="00CF6520">
        <w:rPr>
          <w:b/>
          <w:noProof/>
        </w:rPr>
        <w:t>30</w:t>
      </w:r>
      <w:r w:rsidRPr="00CF6520">
        <w:rPr>
          <w:noProof/>
        </w:rPr>
        <w:t>(1): p. 121-130.</w:t>
      </w:r>
    </w:p>
    <w:p w14:paraId="7BDE5647" w14:textId="77777777" w:rsidR="00CF6520" w:rsidRPr="00CF6520" w:rsidRDefault="00CF6520" w:rsidP="00CF6520">
      <w:pPr>
        <w:pStyle w:val="EndNoteBibliography"/>
        <w:ind w:left="720" w:hanging="720"/>
        <w:rPr>
          <w:noProof/>
        </w:rPr>
      </w:pPr>
      <w:r w:rsidRPr="00CF6520">
        <w:rPr>
          <w:noProof/>
        </w:rPr>
        <w:t>47.</w:t>
      </w:r>
      <w:r w:rsidRPr="00CF6520">
        <w:rPr>
          <w:noProof/>
        </w:rPr>
        <w:tab/>
        <w:t xml:space="preserve">Maguire, K.B., N. Owens, and N.B. Simon, </w:t>
      </w:r>
      <w:r w:rsidRPr="00CF6520">
        <w:rPr>
          <w:i/>
          <w:noProof/>
        </w:rPr>
        <w:t>Willingness to Pay to Reduce a Child’s Pesticide Exposure: evidence from the baby food market</w:t>
      </w:r>
      <w:r w:rsidRPr="00CF6520">
        <w:rPr>
          <w:noProof/>
        </w:rPr>
        <w:t>. 2002.</w:t>
      </w:r>
    </w:p>
    <w:p w14:paraId="68A67973" w14:textId="77777777" w:rsidR="00CF6520" w:rsidRPr="00CF6520" w:rsidRDefault="00CF6520" w:rsidP="00CF6520">
      <w:pPr>
        <w:pStyle w:val="EndNoteBibliography"/>
        <w:ind w:left="720" w:hanging="720"/>
        <w:rPr>
          <w:noProof/>
        </w:rPr>
      </w:pPr>
      <w:r w:rsidRPr="00CF6520">
        <w:rPr>
          <w:noProof/>
        </w:rPr>
        <w:t>48.</w:t>
      </w:r>
      <w:r w:rsidRPr="00CF6520">
        <w:rPr>
          <w:noProof/>
        </w:rPr>
        <w:tab/>
        <w:t xml:space="preserve">Mullen, J.D., G.W. Norton, and D.W. Reaves, </w:t>
      </w:r>
      <w:r w:rsidRPr="00CF6520">
        <w:rPr>
          <w:i/>
          <w:noProof/>
        </w:rPr>
        <w:t>Economic Analysis of Environmental Benefits of Integrated Pest Management.</w:t>
      </w:r>
      <w:r w:rsidRPr="00CF6520">
        <w:rPr>
          <w:noProof/>
        </w:rPr>
        <w:t xml:space="preserve"> Journal of Agricultural and Applied Economics, 1997. </w:t>
      </w:r>
      <w:r w:rsidRPr="00CF6520">
        <w:rPr>
          <w:b/>
          <w:noProof/>
        </w:rPr>
        <w:t>29</w:t>
      </w:r>
      <w:r w:rsidRPr="00CF6520">
        <w:rPr>
          <w:noProof/>
        </w:rPr>
        <w:t>(2): p. 243-253.</w:t>
      </w:r>
    </w:p>
    <w:p w14:paraId="1EBCBE68" w14:textId="77777777" w:rsidR="00CF6520" w:rsidRPr="00CF6520" w:rsidRDefault="00CF6520" w:rsidP="00CF6520">
      <w:pPr>
        <w:pStyle w:val="EndNoteBibliography"/>
        <w:ind w:left="720" w:hanging="720"/>
        <w:rPr>
          <w:noProof/>
        </w:rPr>
      </w:pPr>
      <w:r w:rsidRPr="00CF6520">
        <w:rPr>
          <w:noProof/>
        </w:rPr>
        <w:t>49.</w:t>
      </w:r>
      <w:r w:rsidRPr="00CF6520">
        <w:rPr>
          <w:noProof/>
        </w:rPr>
        <w:tab/>
        <w:t xml:space="preserve">Phuong, D.M. and C. Gopalakrishnan, </w:t>
      </w:r>
      <w:r w:rsidRPr="00CF6520">
        <w:rPr>
          <w:i/>
          <w:noProof/>
        </w:rPr>
        <w:t>An application of the contingent valuation method to estimate the loss of value of water resources due to pesticide contamination: the case of the Mekong Delta, Vietnam.</w:t>
      </w:r>
      <w:r w:rsidRPr="00CF6520">
        <w:rPr>
          <w:noProof/>
        </w:rPr>
        <w:t xml:space="preserve"> International Journal of Water Resources Development, 2003. </w:t>
      </w:r>
      <w:r w:rsidRPr="00CF6520">
        <w:rPr>
          <w:b/>
          <w:noProof/>
        </w:rPr>
        <w:t>19</w:t>
      </w:r>
      <w:r w:rsidRPr="00CF6520">
        <w:rPr>
          <w:noProof/>
        </w:rPr>
        <w:t>(4): p. 617-633.</w:t>
      </w:r>
    </w:p>
    <w:p w14:paraId="7955A800" w14:textId="77777777" w:rsidR="00CF6520" w:rsidRPr="00CF6520" w:rsidRDefault="00CF6520" w:rsidP="00CF6520">
      <w:pPr>
        <w:pStyle w:val="EndNoteBibliography"/>
        <w:ind w:left="720" w:hanging="720"/>
        <w:rPr>
          <w:noProof/>
        </w:rPr>
      </w:pPr>
      <w:r w:rsidRPr="00CF6520">
        <w:rPr>
          <w:noProof/>
        </w:rPr>
        <w:lastRenderedPageBreak/>
        <w:t>50.</w:t>
      </w:r>
      <w:r w:rsidRPr="00CF6520">
        <w:rPr>
          <w:noProof/>
        </w:rPr>
        <w:tab/>
        <w:t xml:space="preserve">Schou, J.S., B. Hasler, and B. Nahrstedt, </w:t>
      </w:r>
      <w:r w:rsidRPr="00CF6520">
        <w:rPr>
          <w:i/>
          <w:noProof/>
        </w:rPr>
        <w:t>Valuation of biodiversity effects from reduced pesticide use.</w:t>
      </w:r>
      <w:r w:rsidRPr="00CF6520">
        <w:rPr>
          <w:noProof/>
        </w:rPr>
        <w:t xml:space="preserve"> Integrated Environmental Assessment and Management: An International Journal, 2006. </w:t>
      </w:r>
      <w:r w:rsidRPr="00CF6520">
        <w:rPr>
          <w:b/>
          <w:noProof/>
        </w:rPr>
        <w:t>2</w:t>
      </w:r>
      <w:r w:rsidRPr="00CF6520">
        <w:rPr>
          <w:noProof/>
        </w:rPr>
        <w:t>(2): p. 174-181.</w:t>
      </w:r>
    </w:p>
    <w:p w14:paraId="03068C05" w14:textId="77777777" w:rsidR="00CF6520" w:rsidRPr="00CF6520" w:rsidRDefault="00CF6520" w:rsidP="00CF6520">
      <w:pPr>
        <w:pStyle w:val="EndNoteBibliography"/>
        <w:ind w:left="720" w:hanging="720"/>
        <w:rPr>
          <w:noProof/>
        </w:rPr>
      </w:pPr>
      <w:r w:rsidRPr="00CF6520">
        <w:rPr>
          <w:noProof/>
        </w:rPr>
        <w:t>51.</w:t>
      </w:r>
      <w:r w:rsidRPr="00CF6520">
        <w:rPr>
          <w:noProof/>
        </w:rPr>
        <w:tab/>
        <w:t xml:space="preserve">Serefoglu, C. and S. Serefoglu, </w:t>
      </w:r>
      <w:r w:rsidRPr="00CF6520">
        <w:rPr>
          <w:i/>
          <w:noProof/>
        </w:rPr>
        <w:t>Consumer fair prices for less pesticide in potato.</w:t>
      </w:r>
      <w:r w:rsidRPr="00CF6520">
        <w:rPr>
          <w:noProof/>
        </w:rPr>
        <w:t xml:space="preserve"> Italian Journal of Food Science, 2016. </w:t>
      </w:r>
      <w:r w:rsidRPr="00CF6520">
        <w:rPr>
          <w:b/>
          <w:noProof/>
        </w:rPr>
        <w:t>28</w:t>
      </w:r>
      <w:r w:rsidRPr="00CF6520">
        <w:rPr>
          <w:noProof/>
        </w:rPr>
        <w:t>(1): p. 107-120.</w:t>
      </w:r>
    </w:p>
    <w:p w14:paraId="1DEA13EB" w14:textId="77777777" w:rsidR="00CF6520" w:rsidRPr="00CF6520" w:rsidRDefault="00CF6520" w:rsidP="00CF6520">
      <w:pPr>
        <w:pStyle w:val="EndNoteBibliography"/>
        <w:ind w:left="720" w:hanging="720"/>
        <w:rPr>
          <w:noProof/>
        </w:rPr>
      </w:pPr>
      <w:r w:rsidRPr="00CF6520">
        <w:rPr>
          <w:noProof/>
        </w:rPr>
        <w:t>52.</w:t>
      </w:r>
      <w:r w:rsidRPr="00CF6520">
        <w:rPr>
          <w:noProof/>
        </w:rPr>
        <w:tab/>
        <w:t xml:space="preserve">Sydorovych, O. and M. Marra, </w:t>
      </w:r>
      <w:r w:rsidRPr="00CF6520">
        <w:rPr>
          <w:i/>
          <w:noProof/>
        </w:rPr>
        <w:t>Valuing the changes in herbicide risks resulting from adoption of Roundup Ready soybeans by US farmers: a revealed-preference approach.</w:t>
      </w:r>
      <w:r w:rsidRPr="00CF6520">
        <w:rPr>
          <w:noProof/>
        </w:rPr>
        <w:t xml:space="preserve"> Journal of Agricultural and Applied Economics, 2008. </w:t>
      </w:r>
      <w:r w:rsidRPr="00CF6520">
        <w:rPr>
          <w:b/>
          <w:noProof/>
        </w:rPr>
        <w:t>40</w:t>
      </w:r>
      <w:r w:rsidRPr="00CF6520">
        <w:rPr>
          <w:noProof/>
        </w:rPr>
        <w:t>(3): p. 777-787.</w:t>
      </w:r>
    </w:p>
    <w:p w14:paraId="269DF73C" w14:textId="77777777" w:rsidR="00CF6520" w:rsidRPr="00CF6520" w:rsidRDefault="00CF6520" w:rsidP="00CF6520">
      <w:pPr>
        <w:pStyle w:val="EndNoteBibliography"/>
        <w:ind w:left="720" w:hanging="720"/>
        <w:rPr>
          <w:noProof/>
        </w:rPr>
      </w:pPr>
      <w:r w:rsidRPr="00CF6520">
        <w:rPr>
          <w:noProof/>
        </w:rPr>
        <w:t>53.</w:t>
      </w:r>
      <w:r w:rsidRPr="00CF6520">
        <w:rPr>
          <w:noProof/>
        </w:rPr>
        <w:tab/>
        <w:t xml:space="preserve">Toolkiattiwong, P., P. Chaikaew, and C. Chart-asa, </w:t>
      </w:r>
      <w:r w:rsidRPr="00CF6520">
        <w:rPr>
          <w:i/>
          <w:noProof/>
        </w:rPr>
        <w:t>Comparative Human-Ecotoxicological Impacts and Willingness to Pay: A Case of Pesticide Transition from Paraquat to Atrazine in Sweet Corn Cultivation in Thailand.</w:t>
      </w:r>
      <w:r w:rsidRPr="00CF6520">
        <w:rPr>
          <w:noProof/>
        </w:rPr>
        <w:t xml:space="preserve"> EnvironmentAsia, 2022. </w:t>
      </w:r>
      <w:r w:rsidRPr="00CF6520">
        <w:rPr>
          <w:b/>
          <w:noProof/>
        </w:rPr>
        <w:t>15</w:t>
      </w:r>
      <w:r w:rsidRPr="00CF6520">
        <w:rPr>
          <w:noProof/>
        </w:rPr>
        <w:t>.</w:t>
      </w:r>
    </w:p>
    <w:p w14:paraId="3B0BCAA2" w14:textId="77777777" w:rsidR="00CF6520" w:rsidRPr="00CF6520" w:rsidRDefault="00CF6520" w:rsidP="00CF6520">
      <w:pPr>
        <w:pStyle w:val="EndNoteBibliography"/>
        <w:ind w:left="720" w:hanging="720"/>
        <w:rPr>
          <w:noProof/>
        </w:rPr>
      </w:pPr>
      <w:r w:rsidRPr="00CF6520">
        <w:rPr>
          <w:noProof/>
        </w:rPr>
        <w:t>54.</w:t>
      </w:r>
      <w:r w:rsidRPr="00CF6520">
        <w:rPr>
          <w:noProof/>
        </w:rPr>
        <w:tab/>
        <w:t xml:space="preserve">Wang, W., et al., </w:t>
      </w:r>
      <w:r w:rsidRPr="00CF6520">
        <w:rPr>
          <w:i/>
          <w:noProof/>
        </w:rPr>
        <w:t>Farmers’ willingness to pay for health risk reductions of pesticide use in China: A contingent valuation study.</w:t>
      </w:r>
      <w:r w:rsidRPr="00CF6520">
        <w:rPr>
          <w:noProof/>
        </w:rPr>
        <w:t xml:space="preserve"> International journal of environmental research and public health, 2018. </w:t>
      </w:r>
      <w:r w:rsidRPr="00CF6520">
        <w:rPr>
          <w:b/>
          <w:noProof/>
        </w:rPr>
        <w:t>15</w:t>
      </w:r>
      <w:r w:rsidRPr="00CF6520">
        <w:rPr>
          <w:noProof/>
        </w:rPr>
        <w:t>(4): p. 625.</w:t>
      </w:r>
    </w:p>
    <w:p w14:paraId="3FA81EE8" w14:textId="77777777" w:rsidR="00CF6520" w:rsidRPr="00CF6520" w:rsidRDefault="00CF6520" w:rsidP="00CF6520">
      <w:pPr>
        <w:pStyle w:val="EndNoteBibliography"/>
        <w:ind w:left="720" w:hanging="720"/>
        <w:rPr>
          <w:noProof/>
        </w:rPr>
      </w:pPr>
      <w:r w:rsidRPr="00CF6520">
        <w:rPr>
          <w:noProof/>
        </w:rPr>
        <w:t>55.</w:t>
      </w:r>
      <w:r w:rsidRPr="00CF6520">
        <w:rPr>
          <w:noProof/>
        </w:rPr>
        <w:tab/>
        <w:t xml:space="preserve">Krishna, V.V. and M. Qaim, </w:t>
      </w:r>
      <w:r w:rsidRPr="00CF6520">
        <w:rPr>
          <w:i/>
          <w:noProof/>
        </w:rPr>
        <w:t>Consumer attitudes toward GM food and pesticide residues in India.</w:t>
      </w:r>
      <w:r w:rsidRPr="00CF6520">
        <w:rPr>
          <w:noProof/>
        </w:rPr>
        <w:t xml:space="preserve"> Applied Economic Perspectives and Policy, 2008. </w:t>
      </w:r>
      <w:r w:rsidRPr="00CF6520">
        <w:rPr>
          <w:b/>
          <w:noProof/>
        </w:rPr>
        <w:t>30</w:t>
      </w:r>
      <w:r w:rsidRPr="00CF6520">
        <w:rPr>
          <w:noProof/>
        </w:rPr>
        <w:t>(2): p. 233-251.</w:t>
      </w:r>
    </w:p>
    <w:p w14:paraId="47D9174D" w14:textId="77777777" w:rsidR="00CF6520" w:rsidRPr="00CF6520" w:rsidRDefault="00CF6520" w:rsidP="00CF6520">
      <w:pPr>
        <w:pStyle w:val="EndNoteBibliography"/>
        <w:ind w:left="720" w:hanging="720"/>
        <w:rPr>
          <w:noProof/>
        </w:rPr>
      </w:pPr>
      <w:r w:rsidRPr="00CF6520">
        <w:rPr>
          <w:noProof/>
        </w:rPr>
        <w:t>56.</w:t>
      </w:r>
      <w:r w:rsidRPr="00CF6520">
        <w:rPr>
          <w:noProof/>
        </w:rPr>
        <w:tab/>
        <w:t xml:space="preserve">Owens, N.N., S.M. Swinton, and E.O. van Ravenswaay, </w:t>
      </w:r>
      <w:r w:rsidRPr="00CF6520">
        <w:rPr>
          <w:i/>
          <w:noProof/>
        </w:rPr>
        <w:t>Farmer willingness to pay for herbicide safety characteristics</w:t>
      </w:r>
      <w:r w:rsidRPr="00CF6520">
        <w:rPr>
          <w:noProof/>
        </w:rPr>
        <w:t>. 1997: Michigan State University.</w:t>
      </w:r>
    </w:p>
    <w:p w14:paraId="6C2A8C15" w14:textId="77777777" w:rsidR="00CF6520" w:rsidRPr="00CF6520" w:rsidRDefault="00CF6520" w:rsidP="00CF6520">
      <w:pPr>
        <w:pStyle w:val="EndNoteBibliography"/>
        <w:ind w:left="720" w:hanging="720"/>
        <w:rPr>
          <w:noProof/>
        </w:rPr>
      </w:pPr>
      <w:r w:rsidRPr="00CF6520">
        <w:rPr>
          <w:noProof/>
        </w:rPr>
        <w:t>57.</w:t>
      </w:r>
      <w:r w:rsidRPr="00CF6520">
        <w:rPr>
          <w:noProof/>
        </w:rPr>
        <w:tab/>
        <w:t xml:space="preserve">Foster, V. and S. Mourato, </w:t>
      </w:r>
      <w:r w:rsidRPr="00CF6520">
        <w:rPr>
          <w:i/>
          <w:noProof/>
        </w:rPr>
        <w:t>Valuing the Multiple Impacts of Pesticide Use in the UK: A Contingent Ranking Approach.</w:t>
      </w:r>
      <w:r w:rsidRPr="00CF6520">
        <w:rPr>
          <w:noProof/>
        </w:rPr>
        <w:t xml:space="preserve"> Journal of Agricultural Economics, 2000. </w:t>
      </w:r>
      <w:r w:rsidRPr="00CF6520">
        <w:rPr>
          <w:b/>
          <w:noProof/>
        </w:rPr>
        <w:t>51</w:t>
      </w:r>
      <w:r w:rsidRPr="00CF6520">
        <w:rPr>
          <w:noProof/>
        </w:rPr>
        <w:t>(1): p. 1-21.</w:t>
      </w:r>
    </w:p>
    <w:p w14:paraId="1504A753" w14:textId="77777777" w:rsidR="00CF6520" w:rsidRPr="00CF6520" w:rsidRDefault="00CF6520" w:rsidP="00CF6520">
      <w:pPr>
        <w:pStyle w:val="EndNoteBibliography"/>
        <w:ind w:left="720" w:hanging="720"/>
        <w:rPr>
          <w:noProof/>
        </w:rPr>
      </w:pPr>
      <w:r w:rsidRPr="00CF6520">
        <w:rPr>
          <w:noProof/>
        </w:rPr>
        <w:t>58.</w:t>
      </w:r>
      <w:r w:rsidRPr="00CF6520">
        <w:rPr>
          <w:noProof/>
        </w:rPr>
        <w:tab/>
        <w:t xml:space="preserve">Travisi, C.M. and P. Nijkamp, </w:t>
      </w:r>
      <w:r w:rsidRPr="00CF6520">
        <w:rPr>
          <w:i/>
          <w:noProof/>
        </w:rPr>
        <w:t>Valuing environmental and health risk in agriculture: A choice experiment approach to pesticides in Italy.</w:t>
      </w:r>
      <w:r w:rsidRPr="00CF6520">
        <w:rPr>
          <w:noProof/>
        </w:rPr>
        <w:t xml:space="preserve"> Ecological Economics, 2008. </w:t>
      </w:r>
      <w:r w:rsidRPr="00CF6520">
        <w:rPr>
          <w:b/>
          <w:noProof/>
        </w:rPr>
        <w:t>67</w:t>
      </w:r>
      <w:r w:rsidRPr="00CF6520">
        <w:rPr>
          <w:noProof/>
        </w:rPr>
        <w:t>(4): p. 598-607.</w:t>
      </w:r>
    </w:p>
    <w:p w14:paraId="76AA07FA" w14:textId="77777777" w:rsidR="00CF6520" w:rsidRPr="00CF6520" w:rsidRDefault="00CF6520" w:rsidP="00CF6520">
      <w:pPr>
        <w:pStyle w:val="EndNoteBibliography"/>
        <w:ind w:left="720" w:hanging="720"/>
        <w:rPr>
          <w:noProof/>
        </w:rPr>
      </w:pPr>
      <w:r w:rsidRPr="00CF6520">
        <w:rPr>
          <w:noProof/>
        </w:rPr>
        <w:t>59.</w:t>
      </w:r>
      <w:r w:rsidRPr="00CF6520">
        <w:rPr>
          <w:noProof/>
        </w:rPr>
        <w:tab/>
        <w:t xml:space="preserve">Wilson, C., </w:t>
      </w:r>
      <w:r w:rsidRPr="00CF6520">
        <w:rPr>
          <w:i/>
          <w:noProof/>
        </w:rPr>
        <w:t>Pesticide avoidance: results from a Sri Lankan study with health policy implications</w:t>
      </w:r>
      <w:r w:rsidRPr="00CF6520">
        <w:rPr>
          <w:noProof/>
        </w:rPr>
        <w:t xml:space="preserve">, in </w:t>
      </w:r>
      <w:r w:rsidRPr="00CF6520">
        <w:rPr>
          <w:i/>
          <w:noProof/>
        </w:rPr>
        <w:t>Economics of Pesticides, Sustainable Food Production, and Organic Food Markets</w:t>
      </w:r>
      <w:r w:rsidRPr="00CF6520">
        <w:rPr>
          <w:noProof/>
        </w:rPr>
        <w:t>. 2002, Emerald Group Publishing Limited.</w:t>
      </w:r>
    </w:p>
    <w:p w14:paraId="4BDBCD0B" w14:textId="77777777" w:rsidR="00CF6520" w:rsidRPr="00CF6520" w:rsidRDefault="00CF6520" w:rsidP="00CF6520">
      <w:pPr>
        <w:pStyle w:val="EndNoteBibliography"/>
        <w:ind w:left="720" w:hanging="720"/>
        <w:rPr>
          <w:noProof/>
        </w:rPr>
      </w:pPr>
      <w:r w:rsidRPr="00CF6520">
        <w:rPr>
          <w:noProof/>
        </w:rPr>
        <w:t>60.</w:t>
      </w:r>
      <w:r w:rsidRPr="00CF6520">
        <w:rPr>
          <w:noProof/>
        </w:rPr>
        <w:tab/>
        <w:t xml:space="preserve">Sivayoganathan, C., et al., </w:t>
      </w:r>
      <w:r w:rsidRPr="00CF6520">
        <w:rPr>
          <w:i/>
          <w:noProof/>
        </w:rPr>
        <w:t>Protective measure use and symptoms among agropesticide applicators in Sri Lanka.</w:t>
      </w:r>
      <w:r w:rsidRPr="00CF6520">
        <w:rPr>
          <w:noProof/>
        </w:rPr>
        <w:t xml:space="preserve"> Social Science &amp; Medicine, 1995. </w:t>
      </w:r>
      <w:r w:rsidRPr="00CF6520">
        <w:rPr>
          <w:b/>
          <w:noProof/>
        </w:rPr>
        <w:t>40</w:t>
      </w:r>
      <w:r w:rsidRPr="00CF6520">
        <w:rPr>
          <w:noProof/>
        </w:rPr>
        <w:t>(4): p. 431-436.</w:t>
      </w:r>
    </w:p>
    <w:p w14:paraId="611805D1" w14:textId="77777777" w:rsidR="00CF6520" w:rsidRPr="00CF6520" w:rsidRDefault="00CF6520" w:rsidP="00CF6520">
      <w:pPr>
        <w:pStyle w:val="EndNoteBibliography"/>
        <w:ind w:left="720" w:hanging="720"/>
        <w:rPr>
          <w:noProof/>
        </w:rPr>
      </w:pPr>
      <w:r w:rsidRPr="00CF6520">
        <w:rPr>
          <w:noProof/>
        </w:rPr>
        <w:t>61.</w:t>
      </w:r>
      <w:r w:rsidRPr="00CF6520">
        <w:rPr>
          <w:noProof/>
        </w:rPr>
        <w:tab/>
        <w:t xml:space="preserve">Van Ravenswaay, E.O. and J.P. Hoehn, </w:t>
      </w:r>
      <w:r w:rsidRPr="00CF6520">
        <w:rPr>
          <w:i/>
          <w:noProof/>
        </w:rPr>
        <w:t>The impact of health risk information on food demand: a case study of alar and apples</w:t>
      </w:r>
      <w:r w:rsidRPr="00CF6520">
        <w:rPr>
          <w:noProof/>
        </w:rPr>
        <w:t xml:space="preserve">, in </w:t>
      </w:r>
      <w:r w:rsidRPr="00CF6520">
        <w:rPr>
          <w:i/>
          <w:noProof/>
        </w:rPr>
        <w:t>Economics of food safety</w:t>
      </w:r>
      <w:r w:rsidRPr="00CF6520">
        <w:rPr>
          <w:noProof/>
        </w:rPr>
        <w:t>. 1991, Springer. p. 155-174.</w:t>
      </w:r>
    </w:p>
    <w:p w14:paraId="504F0E1B" w14:textId="77777777" w:rsidR="00CF6520" w:rsidRPr="00CF6520" w:rsidRDefault="00CF6520" w:rsidP="00CF6520">
      <w:pPr>
        <w:pStyle w:val="EndNoteBibliography"/>
        <w:ind w:left="720" w:hanging="720"/>
        <w:rPr>
          <w:noProof/>
        </w:rPr>
      </w:pPr>
      <w:r w:rsidRPr="00CF6520">
        <w:rPr>
          <w:noProof/>
        </w:rPr>
        <w:t>62.</w:t>
      </w:r>
      <w:r w:rsidRPr="00CF6520">
        <w:rPr>
          <w:noProof/>
        </w:rPr>
        <w:tab/>
        <w:t xml:space="preserve">Eom, Y.S., </w:t>
      </w:r>
      <w:r w:rsidRPr="00CF6520">
        <w:rPr>
          <w:i/>
          <w:noProof/>
        </w:rPr>
        <w:t>Pesticide residue risk and food safety valuation: A random utility approach.</w:t>
      </w:r>
      <w:r w:rsidRPr="00CF6520">
        <w:rPr>
          <w:noProof/>
        </w:rPr>
        <w:t xml:space="preserve"> American Journal of Agricultural Economics, 1994. </w:t>
      </w:r>
      <w:r w:rsidRPr="00CF6520">
        <w:rPr>
          <w:b/>
          <w:noProof/>
        </w:rPr>
        <w:t>76</w:t>
      </w:r>
      <w:r w:rsidRPr="00CF6520">
        <w:rPr>
          <w:noProof/>
        </w:rPr>
        <w:t>(4): p. 760-771.</w:t>
      </w:r>
    </w:p>
    <w:p w14:paraId="264DBF53" w14:textId="77777777" w:rsidR="00CF6520" w:rsidRPr="00CF6520" w:rsidRDefault="00CF6520" w:rsidP="00CF6520">
      <w:pPr>
        <w:pStyle w:val="EndNoteBibliography"/>
        <w:ind w:left="720" w:hanging="720"/>
        <w:rPr>
          <w:noProof/>
        </w:rPr>
      </w:pPr>
      <w:r w:rsidRPr="00CF6520">
        <w:rPr>
          <w:noProof/>
        </w:rPr>
        <w:t>63.</w:t>
      </w:r>
      <w:r w:rsidRPr="00CF6520">
        <w:rPr>
          <w:noProof/>
        </w:rPr>
        <w:tab/>
        <w:t xml:space="preserve">Buzby, J.C., R.C. Ready, and J.R. Skees, </w:t>
      </w:r>
      <w:r w:rsidRPr="00CF6520">
        <w:rPr>
          <w:i/>
          <w:noProof/>
        </w:rPr>
        <w:t>Contingent valuation in food policy analysis: a case study of a pesticide-residue risk reduction.</w:t>
      </w:r>
      <w:r w:rsidRPr="00CF6520">
        <w:rPr>
          <w:noProof/>
        </w:rPr>
        <w:t xml:space="preserve"> Journal of Agricultural and Applied Economics, 1995. </w:t>
      </w:r>
      <w:r w:rsidRPr="00CF6520">
        <w:rPr>
          <w:b/>
          <w:noProof/>
        </w:rPr>
        <w:t>27</w:t>
      </w:r>
      <w:r w:rsidRPr="00CF6520">
        <w:rPr>
          <w:noProof/>
        </w:rPr>
        <w:t>(2): p. 613-625.</w:t>
      </w:r>
    </w:p>
    <w:p w14:paraId="3BBD4CCA" w14:textId="77777777" w:rsidR="00CF6520" w:rsidRPr="00CF6520" w:rsidRDefault="00CF6520" w:rsidP="00CF6520">
      <w:pPr>
        <w:pStyle w:val="EndNoteBibliography"/>
        <w:ind w:left="720" w:hanging="720"/>
        <w:rPr>
          <w:noProof/>
        </w:rPr>
      </w:pPr>
      <w:r w:rsidRPr="00CF6520">
        <w:rPr>
          <w:noProof/>
        </w:rPr>
        <w:t>64.</w:t>
      </w:r>
      <w:r w:rsidRPr="00CF6520">
        <w:rPr>
          <w:noProof/>
        </w:rPr>
        <w:tab/>
        <w:t xml:space="preserve">Fu, T.T., J.T. Liu, and J.K. Hammitt, </w:t>
      </w:r>
      <w:r w:rsidRPr="00CF6520">
        <w:rPr>
          <w:i/>
          <w:noProof/>
        </w:rPr>
        <w:t>Consumer willingness to pay for low‐pesticide fresh produce in Taiwan.</w:t>
      </w:r>
      <w:r w:rsidRPr="00CF6520">
        <w:rPr>
          <w:noProof/>
        </w:rPr>
        <w:t xml:space="preserve"> Journal of Agricultural Economics, 1999. </w:t>
      </w:r>
      <w:r w:rsidRPr="00CF6520">
        <w:rPr>
          <w:b/>
          <w:noProof/>
        </w:rPr>
        <w:t>50</w:t>
      </w:r>
      <w:r w:rsidRPr="00CF6520">
        <w:rPr>
          <w:noProof/>
        </w:rPr>
        <w:t>(2): p. 220-233.</w:t>
      </w:r>
    </w:p>
    <w:p w14:paraId="3E949A2E" w14:textId="77777777" w:rsidR="00CF6520" w:rsidRPr="00CF6520" w:rsidRDefault="00CF6520" w:rsidP="00CF6520">
      <w:pPr>
        <w:pStyle w:val="EndNoteBibliography"/>
        <w:ind w:left="720" w:hanging="720"/>
        <w:rPr>
          <w:noProof/>
        </w:rPr>
      </w:pPr>
      <w:r w:rsidRPr="00CF6520">
        <w:rPr>
          <w:noProof/>
        </w:rPr>
        <w:t>65.</w:t>
      </w:r>
      <w:r w:rsidRPr="00CF6520">
        <w:rPr>
          <w:noProof/>
        </w:rPr>
        <w:tab/>
        <w:t xml:space="preserve">Baker, G.A., </w:t>
      </w:r>
      <w:r w:rsidRPr="00CF6520">
        <w:rPr>
          <w:i/>
          <w:noProof/>
        </w:rPr>
        <w:t>Consumer preferences for food safety attributes in fresh apples: Market segments, consumer characteristics, and marketing opportunities.</w:t>
      </w:r>
      <w:r w:rsidRPr="00CF6520">
        <w:rPr>
          <w:noProof/>
        </w:rPr>
        <w:t xml:space="preserve"> Journal of Agricultural and Resource Economics, 1999: p. 80-97.</w:t>
      </w:r>
    </w:p>
    <w:p w14:paraId="6F57FB4F" w14:textId="77777777" w:rsidR="00CF6520" w:rsidRPr="00CF6520" w:rsidRDefault="00CF6520" w:rsidP="00CF6520">
      <w:pPr>
        <w:pStyle w:val="EndNoteBibliography"/>
        <w:ind w:left="720" w:hanging="720"/>
        <w:rPr>
          <w:noProof/>
        </w:rPr>
      </w:pPr>
      <w:r w:rsidRPr="00CF6520">
        <w:rPr>
          <w:noProof/>
        </w:rPr>
        <w:t>66.</w:t>
      </w:r>
      <w:r w:rsidRPr="00CF6520">
        <w:rPr>
          <w:noProof/>
        </w:rPr>
        <w:tab/>
        <w:t xml:space="preserve">Baker, G.A. and P.J. Crosbie, </w:t>
      </w:r>
      <w:r w:rsidRPr="00CF6520">
        <w:rPr>
          <w:i/>
          <w:noProof/>
        </w:rPr>
        <w:t>Measuring food safety preferences: identifying consumer segments.</w:t>
      </w:r>
      <w:r w:rsidRPr="00CF6520">
        <w:rPr>
          <w:noProof/>
        </w:rPr>
        <w:t xml:space="preserve"> Journal of Agricultural and Resource Economics, 1993: p. 277-287.</w:t>
      </w:r>
    </w:p>
    <w:p w14:paraId="55F0D6B9" w14:textId="77777777" w:rsidR="00CF6520" w:rsidRPr="00CF6520" w:rsidRDefault="00CF6520" w:rsidP="00CF6520">
      <w:pPr>
        <w:pStyle w:val="EndNoteBibliography"/>
        <w:ind w:left="720" w:hanging="720"/>
        <w:rPr>
          <w:noProof/>
        </w:rPr>
      </w:pPr>
      <w:r w:rsidRPr="00CF6520">
        <w:rPr>
          <w:noProof/>
        </w:rPr>
        <w:t>67.</w:t>
      </w:r>
      <w:r w:rsidRPr="00CF6520">
        <w:rPr>
          <w:noProof/>
        </w:rPr>
        <w:tab/>
        <w:t xml:space="preserve">Misra, S.K., C.L. Huang, and S.L. Ott, </w:t>
      </w:r>
      <w:r w:rsidRPr="00CF6520">
        <w:rPr>
          <w:i/>
          <w:noProof/>
        </w:rPr>
        <w:t>Consumer willingness to pay for pesticide-free fresh produce.</w:t>
      </w:r>
      <w:r w:rsidRPr="00CF6520">
        <w:rPr>
          <w:noProof/>
        </w:rPr>
        <w:t xml:space="preserve"> Western Journal of Agricultural Economics, 1991: p. 218-227.</w:t>
      </w:r>
    </w:p>
    <w:p w14:paraId="742F22F0" w14:textId="77777777" w:rsidR="00CF6520" w:rsidRPr="00CF6520" w:rsidRDefault="00CF6520" w:rsidP="00CF6520">
      <w:pPr>
        <w:pStyle w:val="EndNoteBibliography"/>
        <w:ind w:left="720" w:hanging="720"/>
        <w:rPr>
          <w:noProof/>
        </w:rPr>
      </w:pPr>
      <w:r w:rsidRPr="00CF6520">
        <w:rPr>
          <w:noProof/>
        </w:rPr>
        <w:lastRenderedPageBreak/>
        <w:t>68.</w:t>
      </w:r>
      <w:r w:rsidRPr="00CF6520">
        <w:rPr>
          <w:noProof/>
        </w:rPr>
        <w:tab/>
        <w:t xml:space="preserve">Roosen, J., et al., </w:t>
      </w:r>
      <w:r w:rsidRPr="00CF6520">
        <w:rPr>
          <w:i/>
          <w:noProof/>
        </w:rPr>
        <w:t>Consumers' valuation of insecticide use restrictions: an application to apples.</w:t>
      </w:r>
      <w:r w:rsidRPr="00CF6520">
        <w:rPr>
          <w:noProof/>
        </w:rPr>
        <w:t xml:space="preserve"> Journal of Agricultural and Resource Economics, 1998: p. 367-384.</w:t>
      </w:r>
    </w:p>
    <w:p w14:paraId="0F03F9C2" w14:textId="77777777" w:rsidR="00CF6520" w:rsidRPr="00CF6520" w:rsidRDefault="00CF6520" w:rsidP="00CF6520">
      <w:pPr>
        <w:pStyle w:val="EndNoteBibliography"/>
        <w:ind w:left="720" w:hanging="720"/>
        <w:rPr>
          <w:noProof/>
        </w:rPr>
      </w:pPr>
      <w:r w:rsidRPr="00CF6520">
        <w:rPr>
          <w:noProof/>
        </w:rPr>
        <w:t>69.</w:t>
      </w:r>
      <w:r w:rsidRPr="00CF6520">
        <w:rPr>
          <w:noProof/>
        </w:rPr>
        <w:tab/>
        <w:t xml:space="preserve">Ravenswaay, E.O.v. and J.P. Hoehn, </w:t>
      </w:r>
      <w:r w:rsidRPr="00CF6520">
        <w:rPr>
          <w:i/>
          <w:noProof/>
        </w:rPr>
        <w:t>Contingent Valuation and Food Safety: The Case of Pesticide Residues in Food</w:t>
      </w:r>
      <w:r w:rsidRPr="00CF6520">
        <w:rPr>
          <w:noProof/>
        </w:rPr>
        <w:t>. 1991.</w:t>
      </w:r>
    </w:p>
    <w:p w14:paraId="1E47C4EC" w14:textId="77777777" w:rsidR="00CF6520" w:rsidRPr="00CF6520" w:rsidRDefault="00CF6520" w:rsidP="00CF6520">
      <w:pPr>
        <w:pStyle w:val="EndNoteBibliography"/>
        <w:ind w:left="720" w:hanging="720"/>
        <w:rPr>
          <w:noProof/>
        </w:rPr>
      </w:pPr>
      <w:r w:rsidRPr="00CF6520">
        <w:rPr>
          <w:noProof/>
        </w:rPr>
        <w:t>70.</w:t>
      </w:r>
      <w:r w:rsidRPr="00CF6520">
        <w:rPr>
          <w:noProof/>
        </w:rPr>
        <w:tab/>
        <w:t xml:space="preserve">Júnior, D.A.B., et al., </w:t>
      </w:r>
      <w:r w:rsidRPr="00CF6520">
        <w:rPr>
          <w:i/>
          <w:noProof/>
        </w:rPr>
        <w:t>Preferência por alimentos seguros: estudo de caso do consumo de morango em um município de minas gerais.</w:t>
      </w:r>
      <w:r w:rsidRPr="00CF6520">
        <w:rPr>
          <w:noProof/>
        </w:rPr>
        <w:t xml:space="preserve"> Revista de Economia e Agronegócio, 2012. </w:t>
      </w:r>
      <w:r w:rsidRPr="00CF6520">
        <w:rPr>
          <w:b/>
          <w:noProof/>
        </w:rPr>
        <w:t>10</w:t>
      </w:r>
      <w:r w:rsidRPr="00CF6520">
        <w:rPr>
          <w:noProof/>
        </w:rPr>
        <w:t>(2).</w:t>
      </w:r>
    </w:p>
    <w:p w14:paraId="348A6196" w14:textId="77777777" w:rsidR="00CF6520" w:rsidRPr="00CF6520" w:rsidRDefault="00CF6520" w:rsidP="00CF6520">
      <w:pPr>
        <w:pStyle w:val="EndNoteBibliography"/>
        <w:ind w:left="720" w:hanging="720"/>
        <w:rPr>
          <w:noProof/>
        </w:rPr>
      </w:pPr>
      <w:r w:rsidRPr="00CF6520">
        <w:rPr>
          <w:noProof/>
        </w:rPr>
        <w:t>71.</w:t>
      </w:r>
      <w:r w:rsidRPr="00CF6520">
        <w:rPr>
          <w:noProof/>
        </w:rPr>
        <w:tab/>
        <w:t xml:space="preserve">Gallardo, R.K. and Q. Wang, </w:t>
      </w:r>
      <w:r w:rsidRPr="00CF6520">
        <w:rPr>
          <w:i/>
          <w:noProof/>
        </w:rPr>
        <w:t>Willingness to pay for pesticides' environmental features and social desirability bias: The case of apple and pear growers.</w:t>
      </w:r>
      <w:r w:rsidRPr="00CF6520">
        <w:rPr>
          <w:noProof/>
        </w:rPr>
        <w:t xml:space="preserve"> Journal of Agricultural and Resource Economics, 2013: p. 124-139.</w:t>
      </w:r>
    </w:p>
    <w:p w14:paraId="7DE6C457" w14:textId="77777777" w:rsidR="00CF6520" w:rsidRPr="00CF6520" w:rsidRDefault="00CF6520" w:rsidP="00CF6520">
      <w:pPr>
        <w:pStyle w:val="EndNoteBibliography"/>
        <w:ind w:left="720" w:hanging="720"/>
        <w:rPr>
          <w:noProof/>
        </w:rPr>
      </w:pPr>
      <w:r w:rsidRPr="00CF6520">
        <w:rPr>
          <w:noProof/>
        </w:rPr>
        <w:t>72.</w:t>
      </w:r>
      <w:r w:rsidRPr="00CF6520">
        <w:rPr>
          <w:noProof/>
        </w:rPr>
        <w:tab/>
        <w:t xml:space="preserve">Garcia-Yi, J., </w:t>
      </w:r>
      <w:r w:rsidRPr="00CF6520">
        <w:rPr>
          <w:i/>
          <w:noProof/>
        </w:rPr>
        <w:t>Willingness to pay for organic and Fairtrade certified yellow chili peppers: Evidence from middle and high income districts in Lima, Peru.</w:t>
      </w:r>
      <w:r w:rsidRPr="00CF6520">
        <w:rPr>
          <w:noProof/>
        </w:rPr>
        <w:t xml:space="preserve"> British Food Journal, 2015. </w:t>
      </w:r>
      <w:r w:rsidRPr="00CF6520">
        <w:rPr>
          <w:b/>
          <w:noProof/>
        </w:rPr>
        <w:t>117</w:t>
      </w:r>
      <w:r w:rsidRPr="00CF6520">
        <w:rPr>
          <w:noProof/>
        </w:rPr>
        <w:t>(2): p. 929-942.</w:t>
      </w:r>
    </w:p>
    <w:p w14:paraId="1ADBD2E0" w14:textId="77777777" w:rsidR="00CF6520" w:rsidRPr="00CF6520" w:rsidRDefault="00CF6520" w:rsidP="00CF6520">
      <w:pPr>
        <w:pStyle w:val="EndNoteBibliography"/>
        <w:ind w:left="720" w:hanging="720"/>
        <w:rPr>
          <w:noProof/>
        </w:rPr>
      </w:pPr>
      <w:r w:rsidRPr="00CF6520">
        <w:rPr>
          <w:noProof/>
        </w:rPr>
        <w:t>73.</w:t>
      </w:r>
      <w:r w:rsidRPr="00CF6520">
        <w:rPr>
          <w:noProof/>
        </w:rPr>
        <w:tab/>
        <w:t xml:space="preserve">Lima, M.A., </w:t>
      </w:r>
      <w:r w:rsidRPr="00CF6520">
        <w:rPr>
          <w:i/>
          <w:noProof/>
        </w:rPr>
        <w:t>Qualidade de morango quanto à segurança.</w:t>
      </w:r>
      <w:r w:rsidRPr="00CF6520">
        <w:rPr>
          <w:noProof/>
        </w:rPr>
        <w:t xml:space="preserve"> Vigilância Sanitária em Debate: Sociedade, Ciência &amp; Tecnologia, 2015. </w:t>
      </w:r>
      <w:r w:rsidRPr="00CF6520">
        <w:rPr>
          <w:b/>
          <w:noProof/>
        </w:rPr>
        <w:t>3</w:t>
      </w:r>
      <w:r w:rsidRPr="00CF6520">
        <w:rPr>
          <w:noProof/>
        </w:rPr>
        <w:t>(4): p. 50-54.</w:t>
      </w:r>
    </w:p>
    <w:p w14:paraId="68068F3E" w14:textId="77777777" w:rsidR="00CF6520" w:rsidRPr="00CF6520" w:rsidRDefault="00CF6520" w:rsidP="00CF6520">
      <w:pPr>
        <w:pStyle w:val="EndNoteBibliography"/>
        <w:ind w:left="720" w:hanging="720"/>
        <w:rPr>
          <w:noProof/>
        </w:rPr>
      </w:pPr>
      <w:r w:rsidRPr="00CF6520">
        <w:rPr>
          <w:noProof/>
        </w:rPr>
        <w:t>74.</w:t>
      </w:r>
      <w:r w:rsidRPr="00CF6520">
        <w:rPr>
          <w:noProof/>
        </w:rPr>
        <w:tab/>
        <w:t xml:space="preserve">WHO, </w:t>
      </w:r>
      <w:r w:rsidRPr="00CF6520">
        <w:rPr>
          <w:i/>
          <w:noProof/>
        </w:rPr>
        <w:t>The WHO recommended classification of pesticides by hazard and guidelines to classification 2004</w:t>
      </w:r>
      <w:r w:rsidRPr="00CF6520">
        <w:rPr>
          <w:noProof/>
        </w:rPr>
        <w:t>. 2005: World Health Organization.</w:t>
      </w:r>
    </w:p>
    <w:p w14:paraId="285F3302" w14:textId="77777777" w:rsidR="00CF6520" w:rsidRPr="00CF6520" w:rsidRDefault="00CF6520" w:rsidP="00CF6520">
      <w:pPr>
        <w:pStyle w:val="EndNoteBibliography"/>
        <w:ind w:left="720" w:hanging="720"/>
        <w:rPr>
          <w:noProof/>
        </w:rPr>
      </w:pPr>
      <w:r w:rsidRPr="00CF6520">
        <w:rPr>
          <w:noProof/>
        </w:rPr>
        <w:t>75.</w:t>
      </w:r>
      <w:r w:rsidRPr="00CF6520">
        <w:rPr>
          <w:noProof/>
        </w:rPr>
        <w:tab/>
        <w:t xml:space="preserve">Lewis, K.A., et al., </w:t>
      </w:r>
      <w:r w:rsidRPr="00CF6520">
        <w:rPr>
          <w:i/>
          <w:noProof/>
        </w:rPr>
        <w:t>An international database for pesticide risk assessments and management.</w:t>
      </w:r>
      <w:r w:rsidRPr="00CF6520">
        <w:rPr>
          <w:noProof/>
        </w:rPr>
        <w:t xml:space="preserve"> Human and Ecological Risk Assessment: An International Journal, 2016. </w:t>
      </w:r>
      <w:r w:rsidRPr="00CF6520">
        <w:rPr>
          <w:b/>
          <w:noProof/>
        </w:rPr>
        <w:t>22</w:t>
      </w:r>
      <w:r w:rsidRPr="00CF6520">
        <w:rPr>
          <w:noProof/>
        </w:rPr>
        <w:t>(4): p. 1050-1064.</w:t>
      </w:r>
    </w:p>
    <w:p w14:paraId="36677F07" w14:textId="77777777" w:rsidR="00CF6520" w:rsidRPr="00CF6520" w:rsidRDefault="00CF6520" w:rsidP="00CF6520">
      <w:pPr>
        <w:pStyle w:val="EndNoteBibliography"/>
        <w:ind w:left="720" w:hanging="720"/>
        <w:rPr>
          <w:noProof/>
        </w:rPr>
      </w:pPr>
      <w:r w:rsidRPr="00CF6520">
        <w:rPr>
          <w:noProof/>
        </w:rPr>
        <w:t>76.</w:t>
      </w:r>
      <w:r w:rsidRPr="00CF6520">
        <w:rPr>
          <w:noProof/>
        </w:rPr>
        <w:tab/>
        <w:t xml:space="preserve">Servicio Nacional de Sanidad Agraria, </w:t>
      </w:r>
      <w:r w:rsidRPr="00CF6520">
        <w:rPr>
          <w:i/>
          <w:noProof/>
        </w:rPr>
        <w:t>Informe del Monitoreo de residuos quimicos y otros contaminantes en Alimentos Agropecuarios Primarios, año 2019</w:t>
      </w:r>
      <w:r w:rsidRPr="00CF6520">
        <w:rPr>
          <w:noProof/>
        </w:rPr>
        <w:t xml:space="preserve">, in </w:t>
      </w:r>
      <w:r w:rsidRPr="00CF6520">
        <w:rPr>
          <w:i/>
          <w:noProof/>
        </w:rPr>
        <w:t>Informe del Monitoreo de contaminantes en Alimentos Agropecuarios Primarios, año 2019</w:t>
      </w:r>
      <w:r w:rsidRPr="00CF6520">
        <w:rPr>
          <w:noProof/>
        </w:rPr>
        <w:t>. 2019, Ministerio de Agricultura y Riego Peru: senasa.gob.pe. p. 1-41.</w:t>
      </w:r>
    </w:p>
    <w:p w14:paraId="2FAA7812" w14:textId="68A8FFBA" w:rsidR="00C2702E" w:rsidRDefault="00C653FF">
      <w:r>
        <w:fldChar w:fldCharType="end"/>
      </w:r>
    </w:p>
    <w:sectPr w:rsidR="00C2702E" w:rsidSect="00D87925">
      <w:pgSz w:w="12240" w:h="15840"/>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36767792"/>
      <w:docPartObj>
        <w:docPartGallery w:val="Page Numbers (Bottom of Page)"/>
        <w:docPartUnique/>
      </w:docPartObj>
    </w:sdtPr>
    <w:sdtContent>
      <w:p w14:paraId="6AE8B55E" w14:textId="77777777" w:rsidR="00000000" w:rsidRDefault="00000000" w:rsidP="001B1CA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82C597"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5802612"/>
      <w:docPartObj>
        <w:docPartGallery w:val="Page Numbers (Bottom of Page)"/>
        <w:docPartUnique/>
      </w:docPartObj>
    </w:sdtPr>
    <w:sdtContent>
      <w:p w14:paraId="08830C88" w14:textId="77777777" w:rsidR="00000000" w:rsidRDefault="00000000" w:rsidP="001B1CA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84602D"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272EF"/>
    <w:multiLevelType w:val="hybridMultilevel"/>
    <w:tmpl w:val="37C26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7648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pstftvvb2s0x4e5tetxztsizs92vtrvp2vx&quot;&gt;EndNote_meta_analysis&lt;record-ids&gt;&lt;item&gt;65&lt;/item&gt;&lt;item&gt;66&lt;/item&gt;&lt;item&gt;67&lt;/item&gt;&lt;item&gt;68&lt;/item&gt;&lt;item&gt;69&lt;/item&gt;&lt;item&gt;70&lt;/item&gt;&lt;item&gt;72&lt;/item&gt;&lt;item&gt;73&lt;/item&gt;&lt;item&gt;74&lt;/item&gt;&lt;item&gt;75&lt;/item&gt;&lt;item&gt;76&lt;/item&gt;&lt;item&gt;77&lt;/item&gt;&lt;item&gt;92&lt;/item&gt;&lt;item&gt;94&lt;/item&gt;&lt;item&gt;96&lt;/item&gt;&lt;item&gt;104&lt;/item&gt;&lt;item&gt;133&lt;/item&gt;&lt;item&gt;134&lt;/item&gt;&lt;item&gt;137&lt;/item&gt;&lt;item&gt;138&lt;/item&gt;&lt;item&gt;139&lt;/item&gt;&lt;item&gt;140&lt;/item&gt;&lt;item&gt;146&lt;/item&gt;&lt;item&gt;147&lt;/item&gt;&lt;item&gt;148&lt;/item&gt;&lt;item&gt;149&lt;/item&gt;&lt;item&gt;150&lt;/item&gt;&lt;item&gt;152&lt;/item&gt;&lt;item&gt;153&lt;/item&gt;&lt;item&gt;154&lt;/item&gt;&lt;item&gt;158&lt;/item&gt;&lt;item&gt;160&lt;/item&gt;&lt;item&gt;161&lt;/item&gt;&lt;item&gt;164&lt;/item&gt;&lt;item&gt;165&lt;/item&gt;&lt;item&gt;167&lt;/item&gt;&lt;item&gt;169&lt;/item&gt;&lt;item&gt;170&lt;/item&gt;&lt;item&gt;171&lt;/item&gt;&lt;item&gt;172&lt;/item&gt;&lt;item&gt;174&lt;/item&gt;&lt;item&gt;175&lt;/item&gt;&lt;item&gt;280&lt;/item&gt;&lt;item&gt;281&lt;/item&gt;&lt;item&gt;282&lt;/item&gt;&lt;item&gt;283&lt;/item&gt;&lt;item&gt;285&lt;/item&gt;&lt;item&gt;286&lt;/item&gt;&lt;item&gt;287&lt;/item&gt;&lt;item&gt;288&lt;/item&gt;&lt;item&gt;289&lt;/item&gt;&lt;item&gt;290&lt;/item&gt;&lt;item&gt;291&lt;/item&gt;&lt;item&gt;292&lt;/item&gt;&lt;item&gt;294&lt;/item&gt;&lt;item&gt;295&lt;/item&gt;&lt;item&gt;296&lt;/item&gt;&lt;item&gt;297&lt;/item&gt;&lt;item&gt;298&lt;/item&gt;&lt;item&gt;299&lt;/item&gt;&lt;item&gt;301&lt;/item&gt;&lt;item&gt;302&lt;/item&gt;&lt;item&gt;303&lt;/item&gt;&lt;item&gt;304&lt;/item&gt;&lt;item&gt;305&lt;/item&gt;&lt;item&gt;306&lt;/item&gt;&lt;item&gt;307&lt;/item&gt;&lt;item&gt;309&lt;/item&gt;&lt;item&gt;310&lt;/item&gt;&lt;item&gt;313&lt;/item&gt;&lt;item&gt;339&lt;/item&gt;&lt;/record-ids&gt;&lt;/item&gt;&lt;/Libraries&gt;"/>
  </w:docVars>
  <w:rsids>
    <w:rsidRoot w:val="00D87925"/>
    <w:rsid w:val="000150AB"/>
    <w:rsid w:val="00044FE7"/>
    <w:rsid w:val="000B5E3C"/>
    <w:rsid w:val="000C39FE"/>
    <w:rsid w:val="000D2685"/>
    <w:rsid w:val="001006C6"/>
    <w:rsid w:val="001C42A1"/>
    <w:rsid w:val="002B0AE1"/>
    <w:rsid w:val="002D0B45"/>
    <w:rsid w:val="0034591E"/>
    <w:rsid w:val="003C4E35"/>
    <w:rsid w:val="00467F4D"/>
    <w:rsid w:val="004D4B4A"/>
    <w:rsid w:val="00551FAF"/>
    <w:rsid w:val="0057234C"/>
    <w:rsid w:val="005B3ABE"/>
    <w:rsid w:val="005B5812"/>
    <w:rsid w:val="005F0FD3"/>
    <w:rsid w:val="00642A94"/>
    <w:rsid w:val="00654530"/>
    <w:rsid w:val="00663A96"/>
    <w:rsid w:val="006C6A3A"/>
    <w:rsid w:val="00727174"/>
    <w:rsid w:val="0074481A"/>
    <w:rsid w:val="007B2925"/>
    <w:rsid w:val="007B7721"/>
    <w:rsid w:val="007C4D79"/>
    <w:rsid w:val="00854B0F"/>
    <w:rsid w:val="008557EA"/>
    <w:rsid w:val="00863799"/>
    <w:rsid w:val="008738E0"/>
    <w:rsid w:val="008D5AD1"/>
    <w:rsid w:val="00930DAE"/>
    <w:rsid w:val="009320FF"/>
    <w:rsid w:val="00935C91"/>
    <w:rsid w:val="00945DC4"/>
    <w:rsid w:val="00A1424C"/>
    <w:rsid w:val="00A328F3"/>
    <w:rsid w:val="00B536BB"/>
    <w:rsid w:val="00B6304C"/>
    <w:rsid w:val="00BC67A9"/>
    <w:rsid w:val="00BF3A90"/>
    <w:rsid w:val="00C2702E"/>
    <w:rsid w:val="00C2752D"/>
    <w:rsid w:val="00C55293"/>
    <w:rsid w:val="00C61C30"/>
    <w:rsid w:val="00C653FF"/>
    <w:rsid w:val="00C817C1"/>
    <w:rsid w:val="00CF6520"/>
    <w:rsid w:val="00D76B7C"/>
    <w:rsid w:val="00D87925"/>
    <w:rsid w:val="00DF4BE8"/>
    <w:rsid w:val="00E04797"/>
    <w:rsid w:val="00E30685"/>
    <w:rsid w:val="00E55D5C"/>
    <w:rsid w:val="00EA2CB2"/>
    <w:rsid w:val="00EF37B6"/>
    <w:rsid w:val="00FF41BD"/>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097492D2"/>
  <w15:chartTrackingRefBased/>
  <w15:docId w15:val="{C68E97D5-1E61-E149-9213-032D813A1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925"/>
    <w:pPr>
      <w:spacing w:after="0" w:line="240" w:lineRule="auto"/>
    </w:pPr>
    <w:rPr>
      <w:rFonts w:ascii="Times New Roman" w:eastAsia="Times New Roman" w:hAnsi="Times New Roman" w:cs="Times New Roman"/>
      <w:kern w:val="0"/>
      <w:lang w:val="en-US"/>
      <w14:ligatures w14:val="none"/>
    </w:rPr>
  </w:style>
  <w:style w:type="paragraph" w:styleId="Heading2">
    <w:name w:val="heading 2"/>
    <w:basedOn w:val="Normal"/>
    <w:next w:val="Normal"/>
    <w:link w:val="Heading2Char"/>
    <w:uiPriority w:val="9"/>
    <w:unhideWhenUsed/>
    <w:qFormat/>
    <w:rsid w:val="00D87925"/>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7925"/>
    <w:rPr>
      <w:rFonts w:asciiTheme="majorHAnsi" w:eastAsiaTheme="majorEastAsia" w:hAnsiTheme="majorHAnsi" w:cstheme="majorBidi"/>
      <w:color w:val="0F4761" w:themeColor="accent1" w:themeShade="BF"/>
      <w:kern w:val="0"/>
      <w:sz w:val="26"/>
      <w:szCs w:val="26"/>
      <w:lang w:val="en-US"/>
      <w14:ligatures w14:val="none"/>
    </w:rPr>
  </w:style>
  <w:style w:type="paragraph" w:styleId="Footer">
    <w:name w:val="footer"/>
    <w:basedOn w:val="Normal"/>
    <w:link w:val="FooterChar"/>
    <w:uiPriority w:val="99"/>
    <w:unhideWhenUsed/>
    <w:rsid w:val="00D87925"/>
    <w:pPr>
      <w:tabs>
        <w:tab w:val="center" w:pos="4680"/>
        <w:tab w:val="right" w:pos="9360"/>
      </w:tabs>
    </w:pPr>
  </w:style>
  <w:style w:type="character" w:customStyle="1" w:styleId="FooterChar">
    <w:name w:val="Footer Char"/>
    <w:basedOn w:val="DefaultParagraphFont"/>
    <w:link w:val="Footer"/>
    <w:uiPriority w:val="99"/>
    <w:rsid w:val="00D87925"/>
    <w:rPr>
      <w:rFonts w:ascii="Times New Roman" w:eastAsia="Times New Roman" w:hAnsi="Times New Roman" w:cs="Times New Roman"/>
      <w:kern w:val="0"/>
      <w:lang w:val="en-US"/>
      <w14:ligatures w14:val="none"/>
    </w:rPr>
  </w:style>
  <w:style w:type="paragraph" w:styleId="ListParagraph">
    <w:name w:val="List Paragraph"/>
    <w:basedOn w:val="Normal"/>
    <w:link w:val="ListParagraphChar"/>
    <w:uiPriority w:val="34"/>
    <w:qFormat/>
    <w:rsid w:val="00D87925"/>
    <w:pPr>
      <w:ind w:left="720"/>
      <w:contextualSpacing/>
    </w:pPr>
  </w:style>
  <w:style w:type="paragraph" w:styleId="Caption">
    <w:name w:val="caption"/>
    <w:basedOn w:val="Normal"/>
    <w:next w:val="Normal"/>
    <w:uiPriority w:val="35"/>
    <w:unhideWhenUsed/>
    <w:qFormat/>
    <w:rsid w:val="00D87925"/>
    <w:pPr>
      <w:spacing w:after="200"/>
    </w:pPr>
    <w:rPr>
      <w:i/>
      <w:iCs/>
      <w:color w:val="0E2841" w:themeColor="text2"/>
      <w:sz w:val="18"/>
      <w:szCs w:val="18"/>
    </w:rPr>
  </w:style>
  <w:style w:type="character" w:customStyle="1" w:styleId="ListParagraphChar">
    <w:name w:val="List Paragraph Char"/>
    <w:basedOn w:val="DefaultParagraphFont"/>
    <w:link w:val="ListParagraph"/>
    <w:uiPriority w:val="34"/>
    <w:rsid w:val="00D87925"/>
    <w:rPr>
      <w:rFonts w:ascii="Times New Roman" w:eastAsia="Times New Roman" w:hAnsi="Times New Roman" w:cs="Times New Roman"/>
      <w:kern w:val="0"/>
      <w:lang w:val="en-US"/>
      <w14:ligatures w14:val="none"/>
    </w:rPr>
  </w:style>
  <w:style w:type="table" w:styleId="TableGrid">
    <w:name w:val="Table Grid"/>
    <w:basedOn w:val="TableNormal"/>
    <w:uiPriority w:val="39"/>
    <w:rsid w:val="00D87925"/>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D87925"/>
  </w:style>
  <w:style w:type="paragraph" w:customStyle="1" w:styleId="EndNoteBibliographyTitle">
    <w:name w:val="EndNote Bibliography Title"/>
    <w:basedOn w:val="Normal"/>
    <w:link w:val="EndNoteBibliographyTitleChar"/>
    <w:rsid w:val="00C653FF"/>
    <w:pPr>
      <w:jc w:val="center"/>
    </w:pPr>
  </w:style>
  <w:style w:type="character" w:customStyle="1" w:styleId="EndNoteBibliographyTitleChar">
    <w:name w:val="EndNote Bibliography Title Char"/>
    <w:basedOn w:val="DefaultParagraphFont"/>
    <w:link w:val="EndNoteBibliographyTitle"/>
    <w:rsid w:val="00C653FF"/>
    <w:rPr>
      <w:rFonts w:ascii="Times New Roman" w:eastAsia="Times New Roman" w:hAnsi="Times New Roman" w:cs="Times New Roman"/>
      <w:kern w:val="0"/>
      <w:lang w:val="en-US"/>
      <w14:ligatures w14:val="none"/>
    </w:rPr>
  </w:style>
  <w:style w:type="paragraph" w:customStyle="1" w:styleId="EndNoteBibliography">
    <w:name w:val="EndNote Bibliography"/>
    <w:basedOn w:val="Normal"/>
    <w:link w:val="EndNoteBibliographyChar"/>
    <w:rsid w:val="00C653FF"/>
  </w:style>
  <w:style w:type="character" w:customStyle="1" w:styleId="EndNoteBibliographyChar">
    <w:name w:val="EndNote Bibliography Char"/>
    <w:basedOn w:val="DefaultParagraphFont"/>
    <w:link w:val="EndNoteBibliography"/>
    <w:rsid w:val="00C653FF"/>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16</Pages>
  <Words>13843</Words>
  <Characters>78906</Characters>
  <Application>Microsoft Office Word</Application>
  <DocSecurity>0</DocSecurity>
  <Lines>657</Lines>
  <Paragraphs>185</Paragraphs>
  <ScaleCrop>false</ScaleCrop>
  <Company/>
  <LinksUpToDate>false</LinksUpToDate>
  <CharactersWithSpaces>92564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Rufo Jimenez, E. (Elvia)</cp:lastModifiedBy>
  <cp:revision>46</cp:revision>
  <dcterms:created xsi:type="dcterms:W3CDTF">2024-07-19T10:39:00Z</dcterms:created>
  <dcterms:modified xsi:type="dcterms:W3CDTF">2024-08-09T12:14:00Z</dcterms:modified>
</cp:coreProperties>
</file>