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Arial" w:hAnsi="Arial" w:cs="Arial"/>
          <w:b/>
          <w:bCs/>
          <w:color w:val="auto"/>
        </w:rPr>
      </w:pPr>
      <w:r>
        <w:rPr>
          <w:rFonts w:ascii="Arial" w:hAnsi="Arial" w:cs="Arial"/>
          <w:b/>
          <w:bCs/>
          <w:color w:val="auto"/>
        </w:rPr>
        <w:t>Supplementary information</w:t>
      </w:r>
    </w:p>
    <w:p>
      <w:pPr>
        <w:rPr>
          <w:rFonts w:ascii="Arial" w:hAnsi="Arial" w:cs="Arial"/>
          <w:color w:val="auto"/>
        </w:rPr>
      </w:pPr>
      <w:r>
        <w:rPr>
          <w:rFonts w:ascii="Arial" w:hAnsi="Arial" w:cs="Arial"/>
          <w:color w:val="auto"/>
        </w:rPr>
        <w:drawing>
          <wp:inline distT="0" distB="0" distL="114300" distR="114300">
            <wp:extent cx="5269230" cy="8523605"/>
            <wp:effectExtent l="0" t="0" r="13970" b="10795"/>
            <wp:docPr id="18" name="图片 18" descr="Supplementary fig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Supplementary figure1"/>
                    <pic:cNvPicPr>
                      <a:picLocks noChangeAspect="1"/>
                    </pic:cNvPicPr>
                  </pic:nvPicPr>
                  <pic:blipFill>
                    <a:blip r:embed="rId4"/>
                    <a:stretch>
                      <a:fillRect/>
                    </a:stretch>
                  </pic:blipFill>
                  <pic:spPr>
                    <a:xfrm>
                      <a:off x="0" y="0"/>
                      <a:ext cx="5269230" cy="8523605"/>
                    </a:xfrm>
                    <a:prstGeom prst="rect">
                      <a:avLst/>
                    </a:prstGeom>
                  </pic:spPr>
                </pic:pic>
              </a:graphicData>
            </a:graphic>
          </wp:inline>
        </w:drawing>
      </w:r>
    </w:p>
    <w:p>
      <w:pPr>
        <w:spacing w:line="360" w:lineRule="auto"/>
        <w:rPr>
          <w:rFonts w:ascii="Arial" w:hAnsi="Arial" w:cs="Arial"/>
          <w:color w:val="auto"/>
          <w:sz w:val="20"/>
          <w:szCs w:val="22"/>
        </w:rPr>
      </w:pPr>
      <w:r>
        <w:rPr>
          <w:rFonts w:ascii="Arial" w:hAnsi="Arial" w:cs="Arial"/>
          <w:color w:val="auto"/>
          <w:sz w:val="20"/>
          <w:szCs w:val="22"/>
        </w:rPr>
        <w:t xml:space="preserve">Supplementary Figure1 </w:t>
      </w:r>
    </w:p>
    <w:p>
      <w:pPr>
        <w:numPr>
          <w:ilvl w:val="255"/>
          <w:numId w:val="0"/>
        </w:numPr>
        <w:spacing w:line="360" w:lineRule="auto"/>
        <w:rPr>
          <w:rFonts w:ascii="Arial" w:hAnsi="Arial" w:cs="Arial"/>
          <w:color w:val="auto"/>
          <w:sz w:val="20"/>
          <w:szCs w:val="22"/>
        </w:rPr>
      </w:pPr>
      <w:r>
        <w:rPr>
          <w:rFonts w:ascii="Arial" w:hAnsi="Arial" w:cs="Arial"/>
          <w:color w:val="auto"/>
          <w:sz w:val="20"/>
          <w:szCs w:val="22"/>
        </w:rPr>
        <w:t xml:space="preserve">(A-C) The relative abundance of (A) </w:t>
      </w:r>
      <w:r>
        <w:rPr>
          <w:rFonts w:ascii="Arial" w:hAnsi="Arial" w:cs="Arial"/>
          <w:i/>
          <w:iCs/>
          <w:color w:val="auto"/>
          <w:sz w:val="20"/>
          <w:szCs w:val="22"/>
        </w:rPr>
        <w:t>Lactobacillus</w:t>
      </w:r>
      <w:r>
        <w:rPr>
          <w:rFonts w:ascii="Arial" w:hAnsi="Arial" w:cs="Arial"/>
          <w:color w:val="auto"/>
          <w:sz w:val="20"/>
          <w:szCs w:val="22"/>
        </w:rPr>
        <w:t xml:space="preserve"> (B) </w:t>
      </w:r>
      <w:r>
        <w:rPr>
          <w:rFonts w:ascii="Arial" w:hAnsi="Arial" w:cs="Arial"/>
          <w:i/>
          <w:iCs/>
          <w:color w:val="auto"/>
          <w:sz w:val="20"/>
          <w:szCs w:val="22"/>
        </w:rPr>
        <w:t xml:space="preserve">L. johnsonii </w:t>
      </w:r>
      <w:r>
        <w:rPr>
          <w:rFonts w:ascii="Arial" w:hAnsi="Arial" w:cs="Arial"/>
          <w:color w:val="auto"/>
          <w:sz w:val="20"/>
          <w:szCs w:val="22"/>
        </w:rPr>
        <w:t xml:space="preserve">(C) </w:t>
      </w:r>
      <w:r>
        <w:rPr>
          <w:rFonts w:ascii="Arial" w:hAnsi="Arial" w:cs="Arial"/>
          <w:i/>
          <w:iCs/>
          <w:color w:val="auto"/>
          <w:sz w:val="20"/>
          <w:szCs w:val="22"/>
        </w:rPr>
        <w:t xml:space="preserve">L. reuteri </w:t>
      </w:r>
      <w:r>
        <w:rPr>
          <w:rFonts w:ascii="Arial" w:hAnsi="Arial" w:cs="Arial"/>
          <w:color w:val="auto"/>
          <w:sz w:val="20"/>
          <w:szCs w:val="22"/>
        </w:rPr>
        <w:t xml:space="preserve">in tumor tissues and normal tissues of GC patients. </w:t>
      </w:r>
      <w:r>
        <w:rPr>
          <w:rFonts w:ascii="Arial Regular" w:hAnsi="Arial Regular" w:cs="Arial Regular"/>
          <w:color w:val="auto"/>
          <w:sz w:val="20"/>
          <w:szCs w:val="22"/>
        </w:rPr>
        <w:t>ns p</w:t>
      </w:r>
      <w:r>
        <w:rPr>
          <w:rFonts w:ascii="Arial Regular" w:hAnsi="Arial Regular" w:eastAsia="宋体" w:cs="Arial Regular"/>
          <w:color w:val="auto"/>
          <w:sz w:val="20"/>
          <w:szCs w:val="22"/>
        </w:rPr>
        <w:t>≧</w:t>
      </w:r>
      <w:r>
        <w:rPr>
          <w:rFonts w:ascii="Arial Regular" w:hAnsi="Arial Regular" w:cs="Arial Regular"/>
          <w:color w:val="auto"/>
          <w:sz w:val="20"/>
          <w:szCs w:val="22"/>
        </w:rPr>
        <w:t xml:space="preserve">0.05, </w:t>
      </w:r>
      <w:r>
        <w:rPr>
          <w:rFonts w:ascii="Arial" w:hAnsi="Arial" w:cs="Arial"/>
          <w:color w:val="auto"/>
          <w:sz w:val="20"/>
          <w:szCs w:val="22"/>
        </w:rPr>
        <w:t>*p &lt; 0.05, ** p &lt; 0.01, ***p &lt; 0.001, **** p &lt; 0.0001.</w:t>
      </w:r>
    </w:p>
    <w:p>
      <w:pPr>
        <w:numPr>
          <w:ilvl w:val="0"/>
          <w:numId w:val="1"/>
        </w:numPr>
        <w:spacing w:line="360" w:lineRule="auto"/>
        <w:rPr>
          <w:rFonts w:ascii="Arial" w:hAnsi="Arial" w:cs="Arial"/>
          <w:color w:val="auto"/>
          <w:sz w:val="20"/>
          <w:szCs w:val="22"/>
        </w:rPr>
      </w:pPr>
      <w:r>
        <w:rPr>
          <w:rFonts w:ascii="Arial" w:hAnsi="Arial" w:cs="Arial"/>
          <w:color w:val="auto"/>
          <w:sz w:val="20"/>
          <w:szCs w:val="22"/>
        </w:rPr>
        <w:t xml:space="preserve">PCR was used to determined the colonization of </w:t>
      </w:r>
      <w:r>
        <w:rPr>
          <w:rFonts w:ascii="Arial" w:hAnsi="Arial" w:cs="Arial"/>
          <w:i/>
          <w:iCs/>
          <w:color w:val="auto"/>
          <w:sz w:val="20"/>
          <w:szCs w:val="22"/>
        </w:rPr>
        <w:t xml:space="preserve">L. paracasei </w:t>
      </w:r>
      <w:r>
        <w:rPr>
          <w:rFonts w:ascii="Arial" w:hAnsi="Arial" w:cs="Arial"/>
          <w:color w:val="auto"/>
          <w:sz w:val="20"/>
          <w:szCs w:val="22"/>
        </w:rPr>
        <w:t xml:space="preserve">in both tumor or </w:t>
      </w:r>
      <w:r>
        <w:rPr>
          <w:rFonts w:hint="eastAsia" w:ascii="Arial" w:hAnsi="Arial" w:cs="Arial"/>
          <w:color w:val="auto"/>
          <w:sz w:val="20"/>
          <w:szCs w:val="22"/>
        </w:rPr>
        <w:t>normal</w:t>
      </w:r>
      <w:r>
        <w:rPr>
          <w:rFonts w:ascii="Arial" w:hAnsi="Arial" w:cs="Arial"/>
          <w:color w:val="auto"/>
          <w:sz w:val="20"/>
          <w:szCs w:val="22"/>
        </w:rPr>
        <w:t xml:space="preserve"> tissues of GC patients. </w:t>
      </w:r>
    </w:p>
    <w:p>
      <w:pPr>
        <w:numPr>
          <w:ilvl w:val="0"/>
          <w:numId w:val="1"/>
        </w:numPr>
        <w:spacing w:line="360" w:lineRule="auto"/>
        <w:rPr>
          <w:rFonts w:ascii="Arial" w:hAnsi="Arial" w:cs="Arial"/>
          <w:color w:val="auto"/>
          <w:sz w:val="20"/>
          <w:szCs w:val="22"/>
        </w:rPr>
      </w:pPr>
      <w:r>
        <w:rPr>
          <w:rFonts w:ascii="Arial" w:hAnsi="Arial" w:cs="Arial"/>
          <w:color w:val="auto"/>
          <w:sz w:val="20"/>
          <w:szCs w:val="22"/>
        </w:rPr>
        <w:t xml:space="preserve">PCR was used to determined the colonization of </w:t>
      </w:r>
      <w:r>
        <w:rPr>
          <w:rFonts w:ascii="Arial" w:hAnsi="Arial" w:cs="Arial"/>
          <w:i/>
          <w:iCs/>
          <w:color w:val="auto"/>
          <w:sz w:val="20"/>
          <w:szCs w:val="22"/>
        </w:rPr>
        <w:t xml:space="preserve">L. paracasei </w:t>
      </w:r>
      <w:r>
        <w:rPr>
          <w:rFonts w:ascii="Arial" w:hAnsi="Arial" w:cs="Arial"/>
          <w:color w:val="auto"/>
          <w:sz w:val="20"/>
          <w:szCs w:val="22"/>
        </w:rPr>
        <w:t>in tumor tissues of HGC27 xenograft.</w:t>
      </w:r>
    </w:p>
    <w:p>
      <w:pPr>
        <w:numPr>
          <w:ilvl w:val="0"/>
          <w:numId w:val="1"/>
        </w:numPr>
        <w:spacing w:line="360" w:lineRule="auto"/>
        <w:ind w:left="0" w:leftChars="0" w:firstLine="0" w:firstLineChars="0"/>
        <w:rPr>
          <w:rFonts w:ascii="Arial" w:hAnsi="Arial" w:cs="Arial"/>
          <w:color w:val="auto"/>
          <w:sz w:val="20"/>
          <w:szCs w:val="22"/>
        </w:rPr>
      </w:pPr>
      <w:bookmarkStart w:id="0" w:name="_GoBack"/>
      <w:bookmarkEnd w:id="0"/>
      <w:r>
        <w:rPr>
          <w:rFonts w:ascii="Arial" w:hAnsi="Arial" w:cs="Arial"/>
          <w:color w:val="auto"/>
          <w:sz w:val="20"/>
          <w:szCs w:val="22"/>
        </w:rPr>
        <w:t xml:space="preserve">The body weight curve of HGC27 xenograft injected with PBS, Lp, IAA, CH223191 and CH223191+IAA. </w:t>
      </w:r>
    </w:p>
    <w:p>
      <w:pPr>
        <w:rPr>
          <w:rFonts w:ascii="Arial" w:hAnsi="Arial" w:cs="Arial"/>
          <w:color w:val="auto"/>
        </w:rPr>
      </w:pPr>
    </w:p>
    <w:p>
      <w:pPr>
        <w:rPr>
          <w:rFonts w:ascii="Arial" w:hAnsi="Arial" w:cs="Arial"/>
          <w:color w:val="auto"/>
        </w:rPr>
      </w:pPr>
    </w:p>
    <w:p>
      <w:pPr>
        <w:rPr>
          <w:rFonts w:ascii="Arial" w:hAnsi="Arial" w:cs="Arial"/>
          <w:color w:val="auto"/>
        </w:rPr>
      </w:pPr>
      <w:r>
        <w:rPr>
          <w:rFonts w:hint="eastAsia" w:ascii="Arial" w:hAnsi="Arial" w:cs="Arial"/>
          <w:color w:val="auto"/>
        </w:rPr>
        <w:drawing>
          <wp:inline distT="0" distB="0" distL="114300" distR="114300">
            <wp:extent cx="5269230" cy="6454140"/>
            <wp:effectExtent l="0" t="0" r="13970" b="22860"/>
            <wp:docPr id="12" name="图片 12" descr="Supplementary figu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Supplementary figure2"/>
                    <pic:cNvPicPr>
                      <a:picLocks noChangeAspect="1"/>
                    </pic:cNvPicPr>
                  </pic:nvPicPr>
                  <pic:blipFill>
                    <a:blip r:embed="rId5"/>
                    <a:stretch>
                      <a:fillRect/>
                    </a:stretch>
                  </pic:blipFill>
                  <pic:spPr>
                    <a:xfrm>
                      <a:off x="0" y="0"/>
                      <a:ext cx="5269230" cy="6454140"/>
                    </a:xfrm>
                    <a:prstGeom prst="rect">
                      <a:avLst/>
                    </a:prstGeom>
                  </pic:spPr>
                </pic:pic>
              </a:graphicData>
            </a:graphic>
          </wp:inline>
        </w:drawing>
      </w:r>
    </w:p>
    <w:p>
      <w:pPr>
        <w:rPr>
          <w:rFonts w:ascii="Arial Regular" w:hAnsi="Arial Regular" w:cs="Arial Regular"/>
          <w:color w:val="auto"/>
          <w:sz w:val="20"/>
          <w:szCs w:val="22"/>
        </w:rPr>
      </w:pPr>
      <w:r>
        <w:rPr>
          <w:rFonts w:ascii="Arial Regular" w:hAnsi="Arial Regular" w:cs="Arial Regular"/>
          <w:color w:val="auto"/>
          <w:sz w:val="20"/>
          <w:szCs w:val="22"/>
        </w:rPr>
        <w:t xml:space="preserve">Supplementary Figure2 </w:t>
      </w:r>
    </w:p>
    <w:p>
      <w:pPr>
        <w:numPr>
          <w:ilvl w:val="0"/>
          <w:numId w:val="2"/>
        </w:numPr>
        <w:spacing w:line="360" w:lineRule="auto"/>
        <w:rPr>
          <w:rFonts w:ascii="Arial Regular" w:hAnsi="Arial Regular" w:cs="Arial Regular"/>
          <w:color w:val="auto"/>
          <w:sz w:val="20"/>
          <w:szCs w:val="22"/>
        </w:rPr>
      </w:pPr>
      <w:r>
        <w:rPr>
          <w:rFonts w:ascii="Arial Regular" w:hAnsi="Arial Regular" w:cs="Arial Regular"/>
          <w:color w:val="auto"/>
          <w:sz w:val="20"/>
          <w:szCs w:val="22"/>
        </w:rPr>
        <w:t>The knockdown effect of AHR of human GC cells through qPCR.</w:t>
      </w:r>
    </w:p>
    <w:p>
      <w:pPr>
        <w:spacing w:line="360" w:lineRule="auto"/>
        <w:rPr>
          <w:rFonts w:ascii="Arial Regular" w:hAnsi="Arial Regular" w:cs="Arial Regular"/>
          <w:color w:val="auto"/>
          <w:sz w:val="20"/>
          <w:szCs w:val="22"/>
        </w:rPr>
      </w:pPr>
      <w:r>
        <w:rPr>
          <w:rFonts w:ascii="Arial Regular" w:hAnsi="Arial Regular" w:cs="Arial Regular"/>
          <w:color w:val="auto"/>
          <w:sz w:val="20"/>
          <w:szCs w:val="22"/>
        </w:rPr>
        <w:t>(B, C) (B)Cell viability at OD450nm (C) colony formation of human GC cells with PBS, IAA, siAHR and siAHR+IAA.</w:t>
      </w:r>
    </w:p>
    <w:p>
      <w:pPr>
        <w:spacing w:line="360" w:lineRule="auto"/>
        <w:rPr>
          <w:rFonts w:ascii="Arial Regular" w:hAnsi="Arial Regular" w:cs="Arial Regular"/>
          <w:color w:val="auto"/>
          <w:sz w:val="20"/>
          <w:szCs w:val="22"/>
        </w:rPr>
      </w:pPr>
      <w:r>
        <w:rPr>
          <w:rFonts w:ascii="Arial Regular" w:hAnsi="Arial Regular" w:cs="Arial Regular"/>
          <w:color w:val="auto"/>
          <w:sz w:val="20"/>
          <w:szCs w:val="22"/>
        </w:rPr>
        <w:t>(D)The mRNA level of AHR and CYP1A1 of HGC27 with siAHR and IAA.</w:t>
      </w:r>
    </w:p>
    <w:p>
      <w:pPr>
        <w:rPr>
          <w:rFonts w:ascii="Arial" w:hAnsi="Arial" w:cs="Arial"/>
          <w:color w:val="auto"/>
        </w:rPr>
      </w:pPr>
    </w:p>
    <w:p>
      <w:pPr>
        <w:rPr>
          <w:rFonts w:ascii="Arial" w:hAnsi="Arial" w:cs="Arial"/>
          <w:color w:val="auto"/>
        </w:rPr>
      </w:pPr>
    </w:p>
    <w:p>
      <w:pPr>
        <w:rPr>
          <w:rFonts w:ascii="Arial" w:hAnsi="Arial" w:cs="Arial"/>
          <w:color w:val="auto"/>
        </w:rPr>
      </w:pPr>
      <w:r>
        <w:rPr>
          <w:rFonts w:hint="eastAsia" w:ascii="Arial" w:hAnsi="Arial" w:cs="Arial"/>
          <w:color w:val="auto"/>
        </w:rPr>
        <w:drawing>
          <wp:inline distT="0" distB="0" distL="114300" distR="114300">
            <wp:extent cx="5266690" cy="7078345"/>
            <wp:effectExtent l="0" t="0" r="16510" b="8255"/>
            <wp:docPr id="5" name="图片 5" descr="Supplementary figur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upplementary figure3"/>
                    <pic:cNvPicPr>
                      <a:picLocks noChangeAspect="1"/>
                    </pic:cNvPicPr>
                  </pic:nvPicPr>
                  <pic:blipFill>
                    <a:blip r:embed="rId6"/>
                    <a:stretch>
                      <a:fillRect/>
                    </a:stretch>
                  </pic:blipFill>
                  <pic:spPr>
                    <a:xfrm>
                      <a:off x="0" y="0"/>
                      <a:ext cx="5266690" cy="7078345"/>
                    </a:xfrm>
                    <a:prstGeom prst="rect">
                      <a:avLst/>
                    </a:prstGeom>
                  </pic:spPr>
                </pic:pic>
              </a:graphicData>
            </a:graphic>
          </wp:inline>
        </w:drawing>
      </w:r>
    </w:p>
    <w:p>
      <w:pPr>
        <w:spacing w:line="360" w:lineRule="auto"/>
        <w:rPr>
          <w:rFonts w:ascii="Arial" w:hAnsi="Arial" w:cs="Arial"/>
          <w:color w:val="auto"/>
          <w:sz w:val="20"/>
          <w:szCs w:val="22"/>
        </w:rPr>
      </w:pPr>
      <w:r>
        <w:rPr>
          <w:rFonts w:ascii="Arial" w:hAnsi="Arial" w:cs="Arial"/>
          <w:color w:val="auto"/>
          <w:sz w:val="20"/>
          <w:szCs w:val="22"/>
        </w:rPr>
        <w:t xml:space="preserve">Supplementary Figure3 </w:t>
      </w:r>
    </w:p>
    <w:p>
      <w:pPr>
        <w:spacing w:line="360" w:lineRule="auto"/>
        <w:rPr>
          <w:rFonts w:ascii="Arial" w:hAnsi="Arial" w:cs="Arial"/>
          <w:color w:val="auto"/>
          <w:sz w:val="20"/>
          <w:szCs w:val="22"/>
        </w:rPr>
      </w:pPr>
      <w:r>
        <w:rPr>
          <w:rFonts w:ascii="Arial" w:hAnsi="Arial" w:cs="Arial"/>
          <w:color w:val="auto"/>
          <w:sz w:val="20"/>
          <w:szCs w:val="22"/>
        </w:rPr>
        <w:t>(A, B) The 3D structure of (A)MTDH and (B)AHR using ChimeraX.</w:t>
      </w:r>
    </w:p>
    <w:p>
      <w:pPr>
        <w:spacing w:line="360" w:lineRule="auto"/>
        <w:rPr>
          <w:rFonts w:ascii="Arial" w:hAnsi="Arial" w:cs="Arial"/>
          <w:color w:val="auto"/>
          <w:sz w:val="20"/>
          <w:szCs w:val="22"/>
        </w:rPr>
      </w:pPr>
      <w:r>
        <w:rPr>
          <w:rFonts w:ascii="Arial" w:hAnsi="Arial" w:cs="Arial"/>
          <w:color w:val="auto"/>
          <w:sz w:val="20"/>
          <w:szCs w:val="22"/>
        </w:rPr>
        <w:t>(C) The receptor protein is located above, and the ligand protein is located below. Each row contains an amino acid residue, with the yellow region indicating the predicted binding region. HSDC is predicted for hydrogen bonding, BSA is the area of interaction encapsulation, and the more vertical lines there are, the higher the degree of encapsulation, indicating a tighter interaction.</w:t>
      </w:r>
    </w:p>
    <w:p>
      <w:pPr>
        <w:spacing w:line="360" w:lineRule="auto"/>
        <w:rPr>
          <w:rFonts w:ascii="Arial" w:hAnsi="Arial" w:cs="Arial"/>
          <w:color w:val="auto"/>
          <w:sz w:val="20"/>
          <w:szCs w:val="22"/>
        </w:rPr>
      </w:pPr>
      <w:r>
        <w:rPr>
          <w:rFonts w:ascii="Arial" w:hAnsi="Arial" w:cs="Arial"/>
          <w:color w:val="auto"/>
          <w:sz w:val="20"/>
          <w:szCs w:val="22"/>
        </w:rPr>
        <w:t>T</w:t>
      </w:r>
      <w:r>
        <w:rPr>
          <w:rFonts w:hint="eastAsia" w:ascii="Arial" w:hAnsi="Arial" w:cs="Arial"/>
          <w:color w:val="auto"/>
          <w:sz w:val="20"/>
          <w:szCs w:val="22"/>
        </w:rPr>
        <w:t xml:space="preserve">able 1 </w:t>
      </w:r>
      <w:r>
        <w:rPr>
          <w:rFonts w:ascii="Arial" w:hAnsi="Arial" w:cs="Arial"/>
          <w:color w:val="auto"/>
          <w:sz w:val="20"/>
          <w:szCs w:val="22"/>
        </w:rPr>
        <w:t>T</w:t>
      </w:r>
      <w:r>
        <w:rPr>
          <w:rFonts w:hint="eastAsia" w:ascii="Arial" w:hAnsi="Arial" w:cs="Arial"/>
          <w:color w:val="auto"/>
          <w:sz w:val="20"/>
          <w:szCs w:val="22"/>
        </w:rPr>
        <w:t>he</w:t>
      </w:r>
      <w:r>
        <w:rPr>
          <w:rFonts w:ascii="Arial" w:hAnsi="Arial" w:cs="Arial"/>
          <w:color w:val="auto"/>
          <w:sz w:val="20"/>
          <w:szCs w:val="22"/>
        </w:rPr>
        <w:t xml:space="preserve"> proteins </w:t>
      </w:r>
      <w:r>
        <w:rPr>
          <w:rFonts w:hint="eastAsia" w:ascii="Arial" w:hAnsi="Arial" w:cs="Arial"/>
          <w:color w:val="auto"/>
          <w:sz w:val="20"/>
          <w:szCs w:val="22"/>
        </w:rPr>
        <w:t xml:space="preserve">binding to </w:t>
      </w:r>
      <w:r>
        <w:rPr>
          <w:rFonts w:ascii="Arial" w:hAnsi="Arial" w:cs="Arial"/>
          <w:color w:val="auto"/>
          <w:sz w:val="20"/>
          <w:szCs w:val="22"/>
        </w:rPr>
        <w:t xml:space="preserve">AHR </w:t>
      </w:r>
      <w:r>
        <w:rPr>
          <w:rFonts w:hint="eastAsia" w:ascii="Arial" w:hAnsi="Arial" w:cs="Arial"/>
          <w:color w:val="auto"/>
          <w:sz w:val="20"/>
          <w:szCs w:val="22"/>
        </w:rPr>
        <w:t xml:space="preserve">by </w:t>
      </w:r>
      <w:r>
        <w:rPr>
          <w:rFonts w:ascii="Arial" w:hAnsi="Arial" w:cs="Arial"/>
          <w:color w:val="auto"/>
          <w:sz w:val="20"/>
          <w:szCs w:val="22"/>
        </w:rPr>
        <w:t>COIP</w:t>
      </w:r>
    </w:p>
    <w:p>
      <w:pPr>
        <w:spacing w:line="360" w:lineRule="auto"/>
        <w:rPr>
          <w:color w:val="auto"/>
        </w:rPr>
      </w:pPr>
      <w:r>
        <w:rPr>
          <w:color w:val="auto"/>
        </w:rPr>
        <w:drawing>
          <wp:inline distT="0" distB="0" distL="114300" distR="114300">
            <wp:extent cx="5260340" cy="5857875"/>
            <wp:effectExtent l="0" t="0" r="22860" b="952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7"/>
                    <a:stretch>
                      <a:fillRect/>
                    </a:stretch>
                  </pic:blipFill>
                  <pic:spPr>
                    <a:xfrm>
                      <a:off x="0" y="0"/>
                      <a:ext cx="5260340" cy="5857875"/>
                    </a:xfrm>
                    <a:prstGeom prst="rect">
                      <a:avLst/>
                    </a:prstGeom>
                    <a:noFill/>
                    <a:ln>
                      <a:noFill/>
                    </a:ln>
                  </pic:spPr>
                </pic:pic>
              </a:graphicData>
            </a:graphic>
          </wp:inline>
        </w:drawing>
      </w:r>
    </w:p>
    <w:p>
      <w:pPr>
        <w:spacing w:line="360" w:lineRule="auto"/>
        <w:rPr>
          <w:color w:val="auto"/>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Regular">
    <w:panose1 w:val="020B07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FB420F"/>
    <w:multiLevelType w:val="singleLevel"/>
    <w:tmpl w:val="D7FB420F"/>
    <w:lvl w:ilvl="0" w:tentative="0">
      <w:start w:val="1"/>
      <w:numFmt w:val="upperLetter"/>
      <w:suff w:val="space"/>
      <w:lvlText w:val="(%1)"/>
      <w:lvlJc w:val="left"/>
    </w:lvl>
  </w:abstractNum>
  <w:abstractNum w:abstractNumId="1">
    <w:nsid w:val="D849A483"/>
    <w:multiLevelType w:val="singleLevel"/>
    <w:tmpl w:val="D849A483"/>
    <w:lvl w:ilvl="0" w:tentative="0">
      <w:start w:val="1"/>
      <w:numFmt w:val="upperLetter"/>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D72B3D"/>
    <w:rsid w:val="FDB6895F"/>
    <w:rsid w:val="FED72B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2024-06-25T04:52:00Z</dcterms:created>
  <dc:creator>42</dc:creator>
  <cp:lastModifiedBy>42</cp:lastModifiedBy>
  <dcterms:modified xsi:type="dcterms:W3CDTF">2024-07-09T14:54:23Z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6F51A3F9469FB28F1D6C79668D6550C4_41</vt:lpwstr>
  </property>
</Properties>
</file>