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93E7B" w14:textId="77777777" w:rsidR="00EE3BF3" w:rsidRPr="007B41DA" w:rsidRDefault="00EE3BF3" w:rsidP="00761A3A">
      <w:pPr>
        <w:spacing w:before="240" w:after="20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information</w:t>
      </w:r>
    </w:p>
    <w:p w14:paraId="66CED052" w14:textId="77777777" w:rsidR="00EE3BF3" w:rsidRPr="007B41DA" w:rsidRDefault="00EE3BF3" w:rsidP="00761A3A">
      <w:pPr>
        <w:spacing w:before="240" w:after="10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S1:</w:t>
      </w:r>
    </w:p>
    <w:p w14:paraId="271AB940" w14:textId="77777777" w:rsidR="00EE3BF3" w:rsidRDefault="00EE3BF3" w:rsidP="00761A3A">
      <w:pPr>
        <w:spacing w:after="20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S1: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Effects of PARP inhibitors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 xml:space="preserve"> and adavosertib in Ewing’s sarcoma cells. Cells were exposed to </w:t>
      </w:r>
      <w:r>
        <w:rPr>
          <w:rFonts w:ascii="Times New Roman" w:hAnsi="Times New Roman" w:cs="Times New Roman"/>
          <w:sz w:val="24"/>
          <w:szCs w:val="24"/>
          <w:lang w:val="en-GB"/>
        </w:rPr>
        <w:t>drugs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 xml:space="preserve"> for 48 h. 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E4282E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 xml:space="preserve">Cell death </w:t>
      </w:r>
      <w:r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E4282E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>Δ</w:t>
      </w:r>
      <w:r w:rsidRPr="007B41DA">
        <w:rPr>
          <w:rFonts w:ascii="Times New Roman" w:hAnsi="Times New Roman" w:cs="Times New Roman"/>
          <w:i/>
          <w:sz w:val="24"/>
          <w:szCs w:val="24"/>
          <w:lang w:val="en-GB"/>
        </w:rPr>
        <w:t>ψ</w:t>
      </w:r>
      <w:r w:rsidRPr="007B41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 xml:space="preserve">oss </w:t>
      </w:r>
      <w:r>
        <w:rPr>
          <w:rFonts w:ascii="Times New Roman" w:hAnsi="Times New Roman" w:cs="Times New Roman"/>
          <w:sz w:val="24"/>
          <w:szCs w:val="24"/>
          <w:lang w:val="en-GB"/>
        </w:rPr>
        <w:t>were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 xml:space="preserve"> determined b</w:t>
      </w:r>
      <w:r>
        <w:rPr>
          <w:rFonts w:ascii="Times New Roman" w:hAnsi="Times New Roman" w:cs="Times New Roman"/>
          <w:sz w:val="24"/>
          <w:szCs w:val="24"/>
          <w:lang w:val="en-GB"/>
        </w:rPr>
        <w:t>y flow-cytometric analysis of propidium iodide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 xml:space="preserve"> uptake</w:t>
      </w:r>
      <w:r w:rsidRPr="00E428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>DiOC</w:t>
      </w:r>
      <w:r w:rsidRPr="007B41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>(3) staining</w:t>
      </w:r>
      <w:r>
        <w:rPr>
          <w:rFonts w:ascii="Times New Roman" w:hAnsi="Times New Roman" w:cs="Times New Roman"/>
          <w:sz w:val="24"/>
          <w:szCs w:val="24"/>
          <w:lang w:val="en-GB"/>
        </w:rPr>
        <w:t>, respectively</w:t>
      </w:r>
      <w:r w:rsidRPr="007B41DA">
        <w:rPr>
          <w:rFonts w:ascii="Times New Roman" w:hAnsi="Times New Roman" w:cs="Times New Roman"/>
          <w:sz w:val="24"/>
          <w:szCs w:val="24"/>
          <w:lang w:val="en-GB"/>
        </w:rPr>
        <w:t>. Means ± SEM of each three independent measurements are shown.</w:t>
      </w:r>
    </w:p>
    <w:p w14:paraId="47418F76" w14:textId="77777777" w:rsidR="00EE3BF3" w:rsidRPr="007B41DA" w:rsidRDefault="00EE3BF3" w:rsidP="00761A3A">
      <w:pPr>
        <w:spacing w:before="240" w:after="10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</w:p>
    <w:p w14:paraId="39297916" w14:textId="77777777" w:rsidR="00EE3BF3" w:rsidRDefault="00EE3BF3" w:rsidP="00761A3A">
      <w:pPr>
        <w:spacing w:after="20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448C7">
        <w:rPr>
          <w:rFonts w:ascii="Times New Roman" w:hAnsi="Times New Roman" w:cs="Times New Roman"/>
          <w:b/>
          <w:sz w:val="24"/>
          <w:szCs w:val="24"/>
          <w:lang w:val="en-GB"/>
        </w:rPr>
        <w:t>Table S1:</w:t>
      </w:r>
      <w:r w:rsidRPr="00E448C7">
        <w:rPr>
          <w:rFonts w:ascii="Times New Roman" w:hAnsi="Times New Roman" w:cs="Times New Roman"/>
          <w:sz w:val="24"/>
          <w:szCs w:val="24"/>
          <w:lang w:val="en-GB"/>
        </w:rPr>
        <w:t xml:space="preserve"> CI values for olaparib plus adavosertib in WE-68 cells. Based on data from Fig. S1, CI values were calculated with the Chou-Talalay method. CI values in bold indicate a synergistic interaction (CI values &gt; 0.8 were not considered synergistic).</w:t>
      </w:r>
    </w:p>
    <w:p w14:paraId="071704F5" w14:textId="77777777" w:rsidR="00EE3BF3" w:rsidRPr="007B41DA" w:rsidRDefault="00EE3BF3" w:rsidP="00761A3A">
      <w:pPr>
        <w:spacing w:before="24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</w:p>
    <w:p w14:paraId="1925D4D1" w14:textId="77777777" w:rsidR="00EE3BF3" w:rsidRPr="00E448C7" w:rsidRDefault="00EE3BF3" w:rsidP="00761A3A">
      <w:pPr>
        <w:spacing w:after="20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448C7">
        <w:rPr>
          <w:rFonts w:ascii="Times New Roman" w:hAnsi="Times New Roman" w:cs="Times New Roman"/>
          <w:b/>
          <w:sz w:val="24"/>
          <w:szCs w:val="24"/>
          <w:lang w:val="en-GB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E448C7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E448C7">
        <w:rPr>
          <w:rFonts w:ascii="Times New Roman" w:hAnsi="Times New Roman" w:cs="Times New Roman"/>
          <w:sz w:val="24"/>
          <w:szCs w:val="24"/>
          <w:lang w:val="en-GB"/>
        </w:rPr>
        <w:t xml:space="preserve"> CI values for </w:t>
      </w:r>
      <w:r>
        <w:rPr>
          <w:rFonts w:ascii="Times New Roman" w:hAnsi="Times New Roman" w:cs="Times New Roman"/>
          <w:sz w:val="24"/>
          <w:szCs w:val="24"/>
          <w:lang w:val="en-GB"/>
        </w:rPr>
        <w:t>veliparib</w:t>
      </w:r>
      <w:r w:rsidRPr="00E448C7">
        <w:rPr>
          <w:rFonts w:ascii="Times New Roman" w:hAnsi="Times New Roman" w:cs="Times New Roman"/>
          <w:sz w:val="24"/>
          <w:szCs w:val="24"/>
          <w:lang w:val="en-GB"/>
        </w:rPr>
        <w:t xml:space="preserve"> plus adavosertib in WE-68 cells. Based on data from Fig. S1, CI values were calculated with the Chou-Talalay method. CI values in bold indicate a synergistic interaction (CI values &gt; 0.8 were not considered synergistic).</w:t>
      </w:r>
    </w:p>
    <w:p w14:paraId="5B62170A" w14:textId="77777777" w:rsidR="00EE3BF3" w:rsidRPr="007B41DA" w:rsidRDefault="00EE3BF3" w:rsidP="00761A3A">
      <w:pPr>
        <w:tabs>
          <w:tab w:val="left" w:pos="2601"/>
        </w:tabs>
        <w:spacing w:before="24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</w:p>
    <w:p w14:paraId="5D1AAE8D" w14:textId="77777777" w:rsidR="00EE3BF3" w:rsidRPr="00E448C7" w:rsidRDefault="00EE3BF3" w:rsidP="00761A3A">
      <w:pPr>
        <w:spacing w:after="20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448C7">
        <w:rPr>
          <w:rFonts w:ascii="Times New Roman" w:hAnsi="Times New Roman" w:cs="Times New Roman"/>
          <w:b/>
          <w:sz w:val="24"/>
          <w:szCs w:val="24"/>
          <w:lang w:val="en-GB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E448C7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E448C7">
        <w:rPr>
          <w:rFonts w:ascii="Times New Roman" w:hAnsi="Times New Roman" w:cs="Times New Roman"/>
          <w:sz w:val="24"/>
          <w:szCs w:val="24"/>
          <w:lang w:val="en-GB"/>
        </w:rPr>
        <w:t xml:space="preserve"> CI values for olaparib plus adavosertib in </w:t>
      </w:r>
      <w:r>
        <w:rPr>
          <w:rFonts w:ascii="Times New Roman" w:hAnsi="Times New Roman" w:cs="Times New Roman"/>
          <w:sz w:val="24"/>
          <w:szCs w:val="24"/>
          <w:lang w:val="en-GB"/>
        </w:rPr>
        <w:t>SK-ES-1</w:t>
      </w:r>
      <w:r w:rsidRPr="00E448C7">
        <w:rPr>
          <w:rFonts w:ascii="Times New Roman" w:hAnsi="Times New Roman" w:cs="Times New Roman"/>
          <w:sz w:val="24"/>
          <w:szCs w:val="24"/>
          <w:lang w:val="en-GB"/>
        </w:rPr>
        <w:t xml:space="preserve"> cells. Based on data from Fig. S1, CI values were calculated with the Chou-Talalay method. CI values in bold indicate a synergistic interaction (CI values &gt; 0.8 were not considered synergistic).</w:t>
      </w:r>
    </w:p>
    <w:p w14:paraId="63A741D8" w14:textId="77777777" w:rsidR="00EE3BF3" w:rsidRPr="007B41DA" w:rsidRDefault="00EE3BF3" w:rsidP="00761A3A">
      <w:pPr>
        <w:spacing w:before="240"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</w:p>
    <w:p w14:paraId="2295E784" w14:textId="77777777" w:rsidR="00EE3BF3" w:rsidRPr="007B41DA" w:rsidRDefault="00EE3BF3" w:rsidP="00761A3A">
      <w:pPr>
        <w:spacing w:after="20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448C7">
        <w:rPr>
          <w:rFonts w:ascii="Times New Roman" w:hAnsi="Times New Roman" w:cs="Times New Roman"/>
          <w:b/>
          <w:sz w:val="24"/>
          <w:szCs w:val="24"/>
          <w:lang w:val="en-GB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E448C7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E448C7">
        <w:rPr>
          <w:rFonts w:ascii="Times New Roman" w:hAnsi="Times New Roman" w:cs="Times New Roman"/>
          <w:sz w:val="24"/>
          <w:szCs w:val="24"/>
          <w:lang w:val="en-GB"/>
        </w:rPr>
        <w:t xml:space="preserve"> CI values for </w:t>
      </w:r>
      <w:r>
        <w:rPr>
          <w:rFonts w:ascii="Times New Roman" w:hAnsi="Times New Roman" w:cs="Times New Roman"/>
          <w:sz w:val="24"/>
          <w:szCs w:val="24"/>
          <w:lang w:val="en-GB"/>
        </w:rPr>
        <w:t>veliparib</w:t>
      </w:r>
      <w:r w:rsidRPr="00E448C7">
        <w:rPr>
          <w:rFonts w:ascii="Times New Roman" w:hAnsi="Times New Roman" w:cs="Times New Roman"/>
          <w:sz w:val="24"/>
          <w:szCs w:val="24"/>
          <w:lang w:val="en-GB"/>
        </w:rPr>
        <w:t xml:space="preserve"> plus adavosertib in </w:t>
      </w:r>
      <w:r>
        <w:rPr>
          <w:rFonts w:ascii="Times New Roman" w:hAnsi="Times New Roman" w:cs="Times New Roman"/>
          <w:sz w:val="24"/>
          <w:szCs w:val="24"/>
          <w:lang w:val="en-GB"/>
        </w:rPr>
        <w:t>SK-ES-1</w:t>
      </w:r>
      <w:r w:rsidRPr="00E448C7">
        <w:rPr>
          <w:rFonts w:ascii="Times New Roman" w:hAnsi="Times New Roman" w:cs="Times New Roman"/>
          <w:sz w:val="24"/>
          <w:szCs w:val="24"/>
          <w:lang w:val="en-GB"/>
        </w:rPr>
        <w:t xml:space="preserve"> cells. Based on data from Fig. S1, CI values were calculated with the Chou-Talalay method. CI values in bold indicate a synergistic interaction (CI values &gt; 0.8 were not considered synergistic).</w:t>
      </w:r>
      <w:r w:rsidRPr="007B41DA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sectPr w:rsidR="00EE3BF3" w:rsidRPr="007B41DA" w:rsidSect="00566FF9">
      <w:footerReference w:type="default" r:id="rId7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3F2B3" w14:textId="77777777" w:rsidR="00E9211E" w:rsidRDefault="00E9211E">
      <w:pPr>
        <w:spacing w:after="0" w:line="240" w:lineRule="auto"/>
      </w:pPr>
      <w:r>
        <w:separator/>
      </w:r>
    </w:p>
  </w:endnote>
  <w:endnote w:type="continuationSeparator" w:id="0">
    <w:p w14:paraId="690B7EA6" w14:textId="77777777" w:rsidR="00E9211E" w:rsidRDefault="00E9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8966791"/>
      <w:docPartObj>
        <w:docPartGallery w:val="Page Numbers (Bottom of Page)"/>
        <w:docPartUnique/>
      </w:docPartObj>
    </w:sdtPr>
    <w:sdtContent>
      <w:p w14:paraId="5A226338" w14:textId="77777777" w:rsidR="00E93B95" w:rsidRDefault="00E93B9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6B5" w:rsidRPr="000366B5">
          <w:rPr>
            <w:noProof/>
            <w:lang w:val="de-DE"/>
          </w:rPr>
          <w:t>17</w:t>
        </w:r>
        <w:r>
          <w:fldChar w:fldCharType="end"/>
        </w:r>
      </w:p>
    </w:sdtContent>
  </w:sdt>
  <w:p w14:paraId="744534E1" w14:textId="77777777" w:rsidR="00E93B95" w:rsidRDefault="00E93B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24725" w14:textId="77777777" w:rsidR="00E9211E" w:rsidRDefault="00E9211E">
      <w:pPr>
        <w:spacing w:after="0" w:line="240" w:lineRule="auto"/>
      </w:pPr>
      <w:r>
        <w:separator/>
      </w:r>
    </w:p>
  </w:footnote>
  <w:footnote w:type="continuationSeparator" w:id="0">
    <w:p w14:paraId="61DC9DFD" w14:textId="77777777" w:rsidR="00E9211E" w:rsidRDefault="00E92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4B3C"/>
    <w:multiLevelType w:val="hybridMultilevel"/>
    <w:tmpl w:val="E3909E0A"/>
    <w:lvl w:ilvl="0" w:tplc="BFEC648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03639"/>
    <w:multiLevelType w:val="multilevel"/>
    <w:tmpl w:val="EC3C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A0CEC"/>
    <w:multiLevelType w:val="hybridMultilevel"/>
    <w:tmpl w:val="79E6EFEE"/>
    <w:lvl w:ilvl="0" w:tplc="5E5434A8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109471">
    <w:abstractNumId w:val="2"/>
  </w:num>
  <w:num w:numId="2" w16cid:durableId="694304963">
    <w:abstractNumId w:val="0"/>
  </w:num>
  <w:num w:numId="3" w16cid:durableId="691414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E3BF3"/>
    <w:rsid w:val="000366B5"/>
    <w:rsid w:val="001328CA"/>
    <w:rsid w:val="001C55E8"/>
    <w:rsid w:val="001E7506"/>
    <w:rsid w:val="001F3F6E"/>
    <w:rsid w:val="002173AE"/>
    <w:rsid w:val="0023181F"/>
    <w:rsid w:val="00261555"/>
    <w:rsid w:val="002C225F"/>
    <w:rsid w:val="003276E4"/>
    <w:rsid w:val="00380141"/>
    <w:rsid w:val="003A5011"/>
    <w:rsid w:val="00410BE8"/>
    <w:rsid w:val="0048384B"/>
    <w:rsid w:val="004D21E6"/>
    <w:rsid w:val="0054055E"/>
    <w:rsid w:val="0054382A"/>
    <w:rsid w:val="00566FF9"/>
    <w:rsid w:val="005832A4"/>
    <w:rsid w:val="005B7FF9"/>
    <w:rsid w:val="00616EF9"/>
    <w:rsid w:val="006A46EC"/>
    <w:rsid w:val="0071729E"/>
    <w:rsid w:val="00761A3A"/>
    <w:rsid w:val="00761F42"/>
    <w:rsid w:val="008256D6"/>
    <w:rsid w:val="0086091F"/>
    <w:rsid w:val="00875283"/>
    <w:rsid w:val="00915529"/>
    <w:rsid w:val="00953FD6"/>
    <w:rsid w:val="00966AE2"/>
    <w:rsid w:val="00986187"/>
    <w:rsid w:val="009B73E6"/>
    <w:rsid w:val="00A0425F"/>
    <w:rsid w:val="00A12BC5"/>
    <w:rsid w:val="00A82D79"/>
    <w:rsid w:val="00B54E52"/>
    <w:rsid w:val="00B75070"/>
    <w:rsid w:val="00C256D7"/>
    <w:rsid w:val="00C749AE"/>
    <w:rsid w:val="00CA1BA6"/>
    <w:rsid w:val="00CC3BF2"/>
    <w:rsid w:val="00DC3159"/>
    <w:rsid w:val="00DC68D2"/>
    <w:rsid w:val="00DD789D"/>
    <w:rsid w:val="00E23DC9"/>
    <w:rsid w:val="00E72FA4"/>
    <w:rsid w:val="00E9211E"/>
    <w:rsid w:val="00E93B95"/>
    <w:rsid w:val="00EE3BF3"/>
    <w:rsid w:val="00F10B18"/>
    <w:rsid w:val="00F52EA4"/>
    <w:rsid w:val="00F85A3A"/>
    <w:rsid w:val="00FB58BE"/>
    <w:rsid w:val="00FD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B8D6E"/>
  <w15:chartTrackingRefBased/>
  <w15:docId w15:val="{2E44CB91-1951-42A3-8BB3-AE487BF94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BF3"/>
    <w:rPr>
      <w:kern w:val="2"/>
      <w:lang w:val="en-US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EE3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BF3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EE3BF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EE3BF3"/>
    <w:rPr>
      <w:rFonts w:ascii="Calibri" w:hAnsi="Calibri" w:cs="Calibri"/>
      <w:noProof/>
      <w:kern w:val="2"/>
      <w:lang w:val="en-US"/>
      <w14:ligatures w14:val="standardContextual"/>
    </w:rPr>
  </w:style>
  <w:style w:type="paragraph" w:customStyle="1" w:styleId="EndNoteBibliography">
    <w:name w:val="EndNote Bibliography"/>
    <w:basedOn w:val="Normal"/>
    <w:link w:val="EndNoteBibliographyZchn"/>
    <w:rsid w:val="00EE3BF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EE3BF3"/>
    <w:rPr>
      <w:rFonts w:ascii="Calibri" w:hAnsi="Calibri" w:cs="Calibri"/>
      <w:noProof/>
      <w:kern w:val="2"/>
      <w:lang w:val="en-US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E3BF3"/>
    <w:rPr>
      <w:color w:val="808080"/>
    </w:rPr>
  </w:style>
  <w:style w:type="table" w:styleId="TableGrid">
    <w:name w:val="Table Grid"/>
    <w:basedOn w:val="TableNormal"/>
    <w:rsid w:val="00EE3BF3"/>
    <w:pPr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3B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3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B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BF3"/>
    <w:rPr>
      <w:kern w:val="2"/>
      <w:sz w:val="20"/>
      <w:szCs w:val="20"/>
      <w:lang w:val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BF3"/>
    <w:rPr>
      <w:b/>
      <w:bCs/>
      <w:kern w:val="2"/>
      <w:sz w:val="20"/>
      <w:szCs w:val="20"/>
      <w:lang w:val="en-U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BF3"/>
    <w:rPr>
      <w:rFonts w:ascii="Segoe UI" w:hAnsi="Segoe UI" w:cs="Segoe UI"/>
      <w:kern w:val="2"/>
      <w:sz w:val="18"/>
      <w:szCs w:val="18"/>
      <w:lang w:val="en-US"/>
      <w14:ligatures w14:val="standardContextual"/>
    </w:rPr>
  </w:style>
  <w:style w:type="paragraph" w:styleId="Revision">
    <w:name w:val="Revision"/>
    <w:hidden/>
    <w:uiPriority w:val="99"/>
    <w:semiHidden/>
    <w:rsid w:val="00EE3BF3"/>
    <w:pPr>
      <w:spacing w:after="0" w:line="240" w:lineRule="auto"/>
    </w:pPr>
    <w:rPr>
      <w:kern w:val="2"/>
      <w:lang w:val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EE3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BF3"/>
    <w:rPr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E3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BF3"/>
    <w:rPr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E3BF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EE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Emphasis">
    <w:name w:val="Emphasis"/>
    <w:basedOn w:val="DefaultParagraphFont"/>
    <w:uiPriority w:val="20"/>
    <w:qFormat/>
    <w:rsid w:val="00EE3BF3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3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de-DE" w:eastAsia="de-DE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3BF3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DefaultParagraphFont"/>
    <w:rsid w:val="00EE3BF3"/>
  </w:style>
  <w:style w:type="character" w:styleId="LineNumber">
    <w:name w:val="line number"/>
    <w:basedOn w:val="DefaultParagraphFont"/>
    <w:uiPriority w:val="99"/>
    <w:semiHidden/>
    <w:unhideWhenUsed/>
    <w:rsid w:val="00EE3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Sonnemann, Jürgen</dc:creator>
  <cp:keywords/>
  <dc:description/>
  <cp:lastModifiedBy>Trupti Sudge</cp:lastModifiedBy>
  <cp:revision>2</cp:revision>
  <cp:lastPrinted>2024-09-06T09:37:00Z</cp:lastPrinted>
  <dcterms:created xsi:type="dcterms:W3CDTF">2024-09-06T09:52:00Z</dcterms:created>
  <dcterms:modified xsi:type="dcterms:W3CDTF">2024-09-06T09:52:00Z</dcterms:modified>
</cp:coreProperties>
</file>