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/>
          <w:b/>
          <w:bCs/>
          <w:color w:val="auto"/>
        </w:rPr>
      </w:pPr>
      <w:r>
        <w:rPr>
          <w:rFonts w:hint="eastAsia" w:ascii="Times New Roman" w:hAnsi="Times New Roman"/>
          <w:b/>
          <w:bCs/>
          <w:color w:val="auto"/>
          <w:szCs w:val="21"/>
        </w:rPr>
        <w:t>Supplementary Table</w:t>
      </w:r>
      <w:r>
        <w:rPr>
          <w:rFonts w:hint="eastAsia" w:ascii="Times New Roman" w:hAnsi="Times New Roman"/>
          <w:b/>
          <w:bCs/>
          <w:color w:val="auto"/>
        </w:rPr>
        <w:t xml:space="preserve"> 1. Patient parameters.</w:t>
      </w:r>
    </w:p>
    <w:tbl>
      <w:tblPr>
        <w:tblStyle w:val="3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1942"/>
        <w:gridCol w:w="2258"/>
        <w:gridCol w:w="2017"/>
        <w:gridCol w:w="15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Parameters</w:t>
            </w:r>
          </w:p>
        </w:tc>
        <w:tc>
          <w:tcPr>
            <w:tcW w:w="22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nMetS-KOA</w:t>
            </w:r>
          </w:p>
        </w:tc>
        <w:tc>
          <w:tcPr>
            <w:tcW w:w="201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MetS-KOA</w:t>
            </w:r>
          </w:p>
        </w:tc>
        <w:tc>
          <w:tcPr>
            <w:tcW w:w="156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i/>
                <w:iCs/>
                <w:color w:val="auto"/>
              </w:rPr>
              <w:t>P</w:t>
            </w:r>
            <w:r>
              <w:rPr>
                <w:rFonts w:hint="eastAsia" w:ascii="Times New Roman" w:hAnsi="Times New Roman"/>
                <w:color w:val="auto"/>
              </w:rPr>
              <w:t xml:space="preserve">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5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n</w:t>
            </w:r>
          </w:p>
        </w:tc>
        <w:tc>
          <w:tcPr>
            <w:tcW w:w="2258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10</w:t>
            </w:r>
          </w:p>
        </w:tc>
        <w:tc>
          <w:tcPr>
            <w:tcW w:w="2017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10</w:t>
            </w:r>
          </w:p>
        </w:tc>
        <w:tc>
          <w:tcPr>
            <w:tcW w:w="1568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Age (years)</w:t>
            </w:r>
          </w:p>
        </w:tc>
        <w:tc>
          <w:tcPr>
            <w:tcW w:w="22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62.40 ± 4.99</w:t>
            </w:r>
          </w:p>
        </w:tc>
        <w:tc>
          <w:tcPr>
            <w:tcW w:w="20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62.00 ± 3.46</w:t>
            </w:r>
          </w:p>
        </w:tc>
        <w:tc>
          <w:tcPr>
            <w:tcW w:w="15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0.837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Height (cm)</w:t>
            </w:r>
          </w:p>
        </w:tc>
        <w:tc>
          <w:tcPr>
            <w:tcW w:w="22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157.30 ± 5.46</w:t>
            </w:r>
          </w:p>
        </w:tc>
        <w:tc>
          <w:tcPr>
            <w:tcW w:w="20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156.40 ± 5.36</w:t>
            </w:r>
          </w:p>
        </w:tc>
        <w:tc>
          <w:tcPr>
            <w:tcW w:w="15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0.714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Weight (kg)</w:t>
            </w:r>
          </w:p>
        </w:tc>
        <w:tc>
          <w:tcPr>
            <w:tcW w:w="22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63.60 ± 15.63</w:t>
            </w:r>
          </w:p>
        </w:tc>
        <w:tc>
          <w:tcPr>
            <w:tcW w:w="20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67.20 ± 6.23</w:t>
            </w:r>
          </w:p>
        </w:tc>
        <w:tc>
          <w:tcPr>
            <w:tcW w:w="15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0.512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BMI</w:t>
            </w:r>
            <w:r>
              <w:rPr>
                <w:rFonts w:ascii="Times New Roman" w:hAnsi="Times New Roman"/>
                <w:color w:val="auto"/>
              </w:rPr>
              <w:t xml:space="preserve"> (kg/m</w:t>
            </w:r>
            <w:r>
              <w:rPr>
                <w:rFonts w:ascii="Times New Roman" w:hAnsi="Times New Roman"/>
                <w:color w:val="auto"/>
                <w:vertAlign w:val="superscript"/>
              </w:rPr>
              <w:t>2</w:t>
            </w:r>
            <w:r>
              <w:rPr>
                <w:rFonts w:ascii="Times New Roman" w:hAnsi="Times New Roman"/>
                <w:color w:val="auto"/>
              </w:rPr>
              <w:t>)</w:t>
            </w:r>
          </w:p>
        </w:tc>
        <w:tc>
          <w:tcPr>
            <w:tcW w:w="22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25.68 ± 6.055</w:t>
            </w:r>
          </w:p>
        </w:tc>
        <w:tc>
          <w:tcPr>
            <w:tcW w:w="20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27.56 ± 3.10</w:t>
            </w:r>
          </w:p>
        </w:tc>
        <w:tc>
          <w:tcPr>
            <w:tcW w:w="15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0.398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WC (cm)</w:t>
            </w:r>
          </w:p>
        </w:tc>
        <w:tc>
          <w:tcPr>
            <w:tcW w:w="22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91.10 ± 14.02</w:t>
            </w:r>
          </w:p>
        </w:tc>
        <w:tc>
          <w:tcPr>
            <w:tcW w:w="20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94.00 ± 7.18</w:t>
            </w:r>
          </w:p>
        </w:tc>
        <w:tc>
          <w:tcPr>
            <w:tcW w:w="15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0.568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BP</w:t>
            </w:r>
          </w:p>
        </w:tc>
        <w:tc>
          <w:tcPr>
            <w:tcW w:w="22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0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5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Times New Roman" w:hAnsi="Times New Roman"/>
                <w:color w:val="auto"/>
              </w:rPr>
            </w:pPr>
          </w:p>
        </w:tc>
        <w:tc>
          <w:tcPr>
            <w:tcW w:w="19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SP (mmHg)</w:t>
            </w:r>
          </w:p>
        </w:tc>
        <w:tc>
          <w:tcPr>
            <w:tcW w:w="22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127.58 ± 11.85</w:t>
            </w:r>
          </w:p>
        </w:tc>
        <w:tc>
          <w:tcPr>
            <w:tcW w:w="20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133.30 ± 15.36</w:t>
            </w:r>
          </w:p>
        </w:tc>
        <w:tc>
          <w:tcPr>
            <w:tcW w:w="15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0.363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Times New Roman" w:hAnsi="Times New Roman"/>
                <w:color w:val="auto"/>
              </w:rPr>
            </w:pPr>
          </w:p>
        </w:tc>
        <w:tc>
          <w:tcPr>
            <w:tcW w:w="19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DP (mmHg)</w:t>
            </w:r>
          </w:p>
        </w:tc>
        <w:tc>
          <w:tcPr>
            <w:tcW w:w="22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79.79 ± 7.08</w:t>
            </w:r>
          </w:p>
        </w:tc>
        <w:tc>
          <w:tcPr>
            <w:tcW w:w="20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81.57 ± 9.66</w:t>
            </w:r>
          </w:p>
        </w:tc>
        <w:tc>
          <w:tcPr>
            <w:tcW w:w="15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0.644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 xml:space="preserve">FBG (mg/dl) </w:t>
            </w:r>
          </w:p>
        </w:tc>
        <w:tc>
          <w:tcPr>
            <w:tcW w:w="22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98.51 ± 7.45</w:t>
            </w:r>
          </w:p>
        </w:tc>
        <w:tc>
          <w:tcPr>
            <w:tcW w:w="20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111.20 ± 15.72</w:t>
            </w:r>
          </w:p>
        </w:tc>
        <w:tc>
          <w:tcPr>
            <w:tcW w:w="15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0.038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 xml:space="preserve">TG (mg/dl) </w:t>
            </w:r>
          </w:p>
        </w:tc>
        <w:tc>
          <w:tcPr>
            <w:tcW w:w="22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97.84 ± 33.39</w:t>
            </w:r>
          </w:p>
        </w:tc>
        <w:tc>
          <w:tcPr>
            <w:tcW w:w="20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218.71 ± 42.47</w:t>
            </w:r>
          </w:p>
        </w:tc>
        <w:tc>
          <w:tcPr>
            <w:tcW w:w="15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0.000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5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HDL-C (mg/dl)</w:t>
            </w:r>
          </w:p>
        </w:tc>
        <w:tc>
          <w:tcPr>
            <w:tcW w:w="225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58.12 ± 6.58</w:t>
            </w:r>
          </w:p>
        </w:tc>
        <w:tc>
          <w:tcPr>
            <w:tcW w:w="2017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45.05 ± 11.04</w:t>
            </w:r>
          </w:p>
        </w:tc>
        <w:tc>
          <w:tcPr>
            <w:tcW w:w="156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0.005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/>
          <w:color w:val="auto"/>
        </w:rPr>
      </w:pPr>
      <w:r>
        <w:rPr>
          <w:rFonts w:ascii="Times New Roman" w:hAnsi="Times New Roman"/>
          <w:color w:val="auto"/>
        </w:rPr>
        <w:t xml:space="preserve">Note: Data are </w:t>
      </w:r>
      <w:r>
        <w:rPr>
          <w:rFonts w:hint="eastAsia" w:ascii="Times New Roman" w:hAnsi="Times New Roman"/>
          <w:color w:val="auto"/>
        </w:rPr>
        <w:t>means ± s.e.m</w:t>
      </w:r>
      <w:r>
        <w:rPr>
          <w:rFonts w:ascii="Times New Roman" w:hAnsi="Times New Roman"/>
          <w:color w:val="auto"/>
        </w:rPr>
        <w:t xml:space="preserve"> unless otherwise indicated.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rPr>
          <w:rFonts w:ascii="Times New Roman" w:hAnsi="Times New Roman"/>
          <w:color w:val="auto"/>
        </w:rPr>
        <w:t>Abbreviations: MetS</w:t>
      </w:r>
      <w:r>
        <w:rPr>
          <w:rFonts w:hint="eastAsia" w:ascii="Times New Roman" w:hAnsi="Times New Roman"/>
          <w:color w:val="auto"/>
        </w:rPr>
        <w:t>-KOA</w:t>
      </w:r>
      <w:r>
        <w:rPr>
          <w:rFonts w:ascii="Times New Roman" w:hAnsi="Times New Roman"/>
          <w:color w:val="auto"/>
        </w:rPr>
        <w:t xml:space="preserve">, </w:t>
      </w:r>
      <w:r>
        <w:rPr>
          <w:rFonts w:hint="eastAsia" w:ascii="Times New Roman" w:hAnsi="Times New Roman"/>
          <w:color w:val="auto"/>
          <w:szCs w:val="21"/>
        </w:rPr>
        <w:t>metabolic syndrome-associated knee osteoarthritis</w:t>
      </w:r>
      <w:r>
        <w:rPr>
          <w:rFonts w:ascii="Times New Roman" w:hAnsi="Times New Roman"/>
          <w:color w:val="auto"/>
        </w:rPr>
        <w:t>; nMetS</w:t>
      </w:r>
      <w:r>
        <w:rPr>
          <w:rFonts w:hint="eastAsia" w:ascii="Times New Roman" w:hAnsi="Times New Roman"/>
          <w:color w:val="auto"/>
        </w:rPr>
        <w:t>-KOA</w:t>
      </w:r>
      <w:r>
        <w:rPr>
          <w:rFonts w:ascii="Times New Roman" w:hAnsi="Times New Roman"/>
          <w:color w:val="auto"/>
        </w:rPr>
        <w:t xml:space="preserve">, </w:t>
      </w:r>
      <w:r>
        <w:rPr>
          <w:rFonts w:hint="eastAsia" w:ascii="Times New Roman" w:hAnsi="Times New Roman"/>
          <w:color w:val="auto"/>
          <w:szCs w:val="21"/>
        </w:rPr>
        <w:t>non-metabolic syndrome-associated knee osteoarthritis</w:t>
      </w:r>
      <w:r>
        <w:rPr>
          <w:rFonts w:ascii="Times New Roman" w:hAnsi="Times New Roman"/>
          <w:color w:val="auto"/>
        </w:rPr>
        <w:t>;</w:t>
      </w:r>
      <w:r>
        <w:rPr>
          <w:rFonts w:hint="eastAsia" w:ascii="Times New Roman" w:hAnsi="Times New Roman"/>
          <w:color w:val="auto"/>
        </w:rPr>
        <w:t xml:space="preserve"> </w:t>
      </w:r>
      <w:r>
        <w:rPr>
          <w:rFonts w:ascii="Times New Roman" w:hAnsi="Times New Roman"/>
          <w:color w:val="auto"/>
        </w:rPr>
        <w:t>BMI, body mass index; WC, waist circumference; BP, blood pressure; SP, systolic</w:t>
      </w:r>
      <w:r>
        <w:rPr>
          <w:rFonts w:hint="eastAsia" w:ascii="Times New Roman" w:hAnsi="Times New Roman"/>
          <w:color w:val="auto"/>
        </w:rPr>
        <w:t xml:space="preserve"> </w:t>
      </w:r>
      <w:r>
        <w:rPr>
          <w:rFonts w:ascii="Times New Roman" w:hAnsi="Times New Roman"/>
          <w:color w:val="auto"/>
        </w:rPr>
        <w:t>pressure; DP, diastolic pressure; FBG, fasting blood glucose; TG, triglycerides; HDL-C,</w:t>
      </w:r>
      <w:r>
        <w:rPr>
          <w:rFonts w:hint="eastAsia" w:ascii="Times New Roman" w:hAnsi="Times New Roman"/>
          <w:color w:val="auto"/>
        </w:rPr>
        <w:t xml:space="preserve"> </w:t>
      </w:r>
      <w:r>
        <w:rPr>
          <w:rFonts w:ascii="Times New Roman" w:hAnsi="Times New Roman"/>
          <w:color w:val="auto"/>
        </w:rPr>
        <w:t>high-density lipoprotein-cholesterol</w:t>
      </w:r>
      <w:r>
        <w:rPr>
          <w:rFonts w:hint="eastAsia" w:ascii="Times New Roman" w:hAnsi="Times New Roman"/>
          <w:color w:val="auto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Times New Roman" w:hAnsi="Times New Roman"/>
          <w:b/>
          <w:bCs/>
          <w:color w:val="auto"/>
          <w:szCs w:val="21"/>
        </w:rPr>
      </w:pPr>
      <w:r>
        <w:rPr>
          <w:rFonts w:hint="eastAsia" w:ascii="Times New Roman" w:hAnsi="Times New Roman"/>
          <w:b/>
          <w:bCs/>
          <w:color w:val="auto"/>
          <w:szCs w:val="21"/>
        </w:rPr>
        <w:t>Supplementary Table</w:t>
      </w:r>
      <w:r>
        <w:rPr>
          <w:rFonts w:ascii="Times New Roman" w:hAnsi="Times New Roman"/>
          <w:b/>
          <w:bCs/>
          <w:color w:val="auto"/>
          <w:szCs w:val="21"/>
        </w:rPr>
        <w:t xml:space="preserve"> </w:t>
      </w:r>
      <w:r>
        <w:rPr>
          <w:rFonts w:hint="eastAsia" w:ascii="Times New Roman" w:hAnsi="Times New Roman"/>
          <w:b/>
          <w:bCs/>
          <w:color w:val="auto"/>
          <w:szCs w:val="21"/>
        </w:rPr>
        <w:t>2</w:t>
      </w:r>
      <w:r>
        <w:rPr>
          <w:rFonts w:ascii="Times New Roman" w:hAnsi="Times New Roman"/>
          <w:b/>
          <w:bCs/>
          <w:color w:val="auto"/>
          <w:szCs w:val="21"/>
        </w:rPr>
        <w:t>.</w:t>
      </w:r>
      <w:r>
        <w:rPr>
          <w:rFonts w:hint="eastAsia" w:ascii="Times New Roman" w:hAnsi="Times New Roman"/>
          <w:b/>
          <w:bCs/>
          <w:color w:val="auto"/>
          <w:szCs w:val="21"/>
        </w:rPr>
        <w:t xml:space="preserve"> S</w:t>
      </w:r>
      <w:r>
        <w:rPr>
          <w:rFonts w:ascii="Times New Roman" w:hAnsi="Times New Roman"/>
          <w:b/>
          <w:bCs/>
          <w:color w:val="auto"/>
          <w:szCs w:val="21"/>
        </w:rPr>
        <w:t>equence information</w:t>
      </w:r>
      <w:r>
        <w:rPr>
          <w:rFonts w:hint="eastAsia" w:ascii="Times New Roman" w:hAnsi="Times New Roman"/>
          <w:b/>
          <w:bCs/>
          <w:color w:val="auto"/>
          <w:szCs w:val="21"/>
        </w:rPr>
        <w:t xml:space="preserve"> of </w:t>
      </w:r>
      <w:r>
        <w:rPr>
          <w:rFonts w:hint="eastAsia" w:ascii="Times New Roman" w:hAnsi="Times New Roman"/>
          <w:b/>
          <w:bCs/>
          <w:i/>
          <w:iCs/>
          <w:color w:val="auto"/>
          <w:szCs w:val="21"/>
        </w:rPr>
        <w:t>CAP1</w:t>
      </w:r>
      <w:r>
        <w:rPr>
          <w:rFonts w:hint="eastAsia" w:ascii="Times New Roman" w:hAnsi="Times New Roman"/>
          <w:b/>
          <w:bCs/>
          <w:color w:val="auto"/>
          <w:szCs w:val="21"/>
        </w:rPr>
        <w:t>-siRNA</w:t>
      </w:r>
    </w:p>
    <w:tbl>
      <w:tblPr>
        <w:tblStyle w:val="3"/>
        <w:tblW w:w="858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7"/>
        <w:gridCol w:w="3682"/>
        <w:gridCol w:w="900"/>
        <w:gridCol w:w="1037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36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S</w:t>
            </w:r>
            <w:r>
              <w:rPr>
                <w:rFonts w:ascii="Times New Roman" w:hAnsi="Times New Roman"/>
                <w:color w:val="auto"/>
                <w:szCs w:val="21"/>
              </w:rPr>
              <w:t>equence（5’ to 3’）</w:t>
            </w: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Length</w:t>
            </w:r>
          </w:p>
        </w:tc>
        <w:tc>
          <w:tcPr>
            <w:tcW w:w="103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Tm℃</w:t>
            </w: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GC%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7" w:type="dxa"/>
            <w:vMerge w:val="restart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i/>
                <w:iCs/>
                <w:color w:val="auto"/>
                <w:szCs w:val="21"/>
              </w:rPr>
              <w:t>CAP1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-</w:t>
            </w:r>
            <w:r>
              <w:rPr>
                <w:rFonts w:ascii="Times New Roman" w:hAnsi="Times New Roman"/>
                <w:color w:val="auto"/>
                <w:szCs w:val="21"/>
              </w:rPr>
              <w:t>siRNA-631</w:t>
            </w:r>
          </w:p>
        </w:tc>
        <w:tc>
          <w:tcPr>
            <w:tcW w:w="3682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GGACAGAGCUGCAGGCUUATT</w:t>
            </w:r>
          </w:p>
        </w:tc>
        <w:tc>
          <w:tcPr>
            <w:tcW w:w="900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21</w:t>
            </w:r>
          </w:p>
        </w:tc>
        <w:tc>
          <w:tcPr>
            <w:tcW w:w="1037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54.4</w:t>
            </w:r>
          </w:p>
        </w:tc>
        <w:tc>
          <w:tcPr>
            <w:tcW w:w="1080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52.4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36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UAAGCCUGCAGCUCUGUCCTT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21</w:t>
            </w:r>
          </w:p>
        </w:tc>
        <w:tc>
          <w:tcPr>
            <w:tcW w:w="1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54.4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52.4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7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i/>
                <w:iCs/>
                <w:color w:val="auto"/>
                <w:szCs w:val="21"/>
              </w:rPr>
              <w:t>CAP1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-</w:t>
            </w:r>
            <w:r>
              <w:rPr>
                <w:rFonts w:ascii="Times New Roman" w:hAnsi="Times New Roman"/>
                <w:color w:val="auto"/>
                <w:szCs w:val="21"/>
              </w:rPr>
              <w:t>siRNA-574</w:t>
            </w:r>
          </w:p>
        </w:tc>
        <w:tc>
          <w:tcPr>
            <w:tcW w:w="36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AGUACAAAGAUGUGGAUAATT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21</w:t>
            </w:r>
          </w:p>
        </w:tc>
        <w:tc>
          <w:tcPr>
            <w:tcW w:w="1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44.6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28.6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36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UUAUCCACAUCUUUGUACUTT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21</w:t>
            </w:r>
          </w:p>
        </w:tc>
        <w:tc>
          <w:tcPr>
            <w:tcW w:w="1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44.6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28.6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7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i/>
                <w:iCs/>
                <w:color w:val="auto"/>
                <w:szCs w:val="21"/>
              </w:rPr>
              <w:t>CAP1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-</w:t>
            </w:r>
            <w:r>
              <w:rPr>
                <w:rFonts w:ascii="Times New Roman" w:hAnsi="Times New Roman"/>
                <w:color w:val="auto"/>
                <w:szCs w:val="21"/>
              </w:rPr>
              <w:t>siRNA-1471</w:t>
            </w:r>
          </w:p>
        </w:tc>
        <w:tc>
          <w:tcPr>
            <w:tcW w:w="36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UGACAGAAAUUGCUGGAUATT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21</w:t>
            </w:r>
          </w:p>
        </w:tc>
        <w:tc>
          <w:tcPr>
            <w:tcW w:w="1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46.5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33.3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36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UAUCCAGCAAUUUCUGUCATT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21</w:t>
            </w:r>
          </w:p>
        </w:tc>
        <w:tc>
          <w:tcPr>
            <w:tcW w:w="1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46.5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33.3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7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Control</w:t>
            </w:r>
          </w:p>
        </w:tc>
        <w:tc>
          <w:tcPr>
            <w:tcW w:w="36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UUCUCCGAACGUGUCACGUTT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21</w:t>
            </w:r>
          </w:p>
        </w:tc>
        <w:tc>
          <w:tcPr>
            <w:tcW w:w="1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52.4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47.6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7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368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ACGUGACACGUUCGGAGAATT</w:t>
            </w:r>
          </w:p>
        </w:tc>
        <w:tc>
          <w:tcPr>
            <w:tcW w:w="90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21</w:t>
            </w:r>
          </w:p>
        </w:tc>
        <w:tc>
          <w:tcPr>
            <w:tcW w:w="1037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52.4</w:t>
            </w:r>
          </w:p>
        </w:tc>
        <w:tc>
          <w:tcPr>
            <w:tcW w:w="108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47.6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Times New Roman" w:hAnsi="Times New Roman"/>
          <w:b/>
          <w:bCs/>
          <w:color w:val="auto"/>
          <w:szCs w:val="21"/>
        </w:rPr>
      </w:pPr>
      <w:r>
        <w:rPr>
          <w:rFonts w:hint="eastAsia" w:ascii="Times New Roman" w:hAnsi="Times New Roman"/>
          <w:b/>
          <w:bCs/>
          <w:color w:val="auto"/>
          <w:szCs w:val="21"/>
        </w:rPr>
        <w:t>Supplementary Table</w:t>
      </w:r>
      <w:r>
        <w:rPr>
          <w:rFonts w:ascii="Times New Roman" w:hAnsi="Times New Roman"/>
          <w:b/>
          <w:bCs/>
          <w:color w:val="auto"/>
          <w:szCs w:val="21"/>
        </w:rPr>
        <w:t xml:space="preserve"> 3. Detailed sequence information of primers</w:t>
      </w:r>
      <w:r>
        <w:rPr>
          <w:rFonts w:hint="eastAsia" w:ascii="Times New Roman" w:hAnsi="Times New Roman"/>
          <w:b/>
          <w:bCs/>
          <w:color w:val="auto"/>
          <w:szCs w:val="21"/>
        </w:rPr>
        <w:t>.</w:t>
      </w:r>
    </w:p>
    <w:tbl>
      <w:tblPr>
        <w:tblStyle w:val="3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8"/>
        <w:gridCol w:w="1551"/>
        <w:gridCol w:w="47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bCs/>
                <w:color w:val="auto"/>
                <w:szCs w:val="21"/>
              </w:rPr>
              <w:t>P</w:t>
            </w:r>
            <w:r>
              <w:rPr>
                <w:rFonts w:ascii="Times New Roman" w:hAnsi="Times New Roman"/>
                <w:bCs/>
                <w:color w:val="auto"/>
                <w:szCs w:val="21"/>
              </w:rPr>
              <w:t>rimers</w:t>
            </w:r>
          </w:p>
        </w:tc>
        <w:tc>
          <w:tcPr>
            <w:tcW w:w="155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476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bCs/>
                <w:color w:val="auto"/>
                <w:szCs w:val="21"/>
              </w:rPr>
              <w:t>S</w:t>
            </w:r>
            <w:r>
              <w:rPr>
                <w:rFonts w:ascii="Times New Roman" w:hAnsi="Times New Roman"/>
                <w:bCs/>
                <w:color w:val="auto"/>
                <w:szCs w:val="21"/>
              </w:rPr>
              <w:t>equence</w:t>
            </w:r>
            <w:r>
              <w:rPr>
                <w:rFonts w:ascii="Times New Roman" w:hAnsi="Times New Roman"/>
                <w:color w:val="auto"/>
                <w:szCs w:val="21"/>
              </w:rPr>
              <w:t>（5’ to 3’）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restart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color w:val="auto"/>
                <w:szCs w:val="21"/>
              </w:rPr>
              <w:t>CCL2</w:t>
            </w:r>
          </w:p>
        </w:tc>
        <w:tc>
          <w:tcPr>
            <w:tcW w:w="155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Forward</w:t>
            </w:r>
          </w:p>
        </w:tc>
        <w:tc>
          <w:tcPr>
            <w:tcW w:w="476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CAGCCAGATGCAATCAATGCC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Reverse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TGGAATCCTGAACCCACTTCT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color w:val="auto"/>
                <w:szCs w:val="21"/>
              </w:rPr>
              <w:t>CCL3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Forward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CGTGTGACCTCCACAGCTAC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Reverse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TGCCTACACAGGCTGATGAC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color w:val="auto"/>
                <w:szCs w:val="21"/>
              </w:rPr>
              <w:t>CXCL8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Forward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TTTTGCCAAGGAGTGCTAAAGA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Reverse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AACCCTCTGCACCCAGTTTTC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color w:val="auto"/>
                <w:szCs w:val="21"/>
              </w:rPr>
              <w:t>ICAM1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Forward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ATGCCCAGACATCTGTGTCC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Reverse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GGGGTCTCTATGCCCAACAA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color w:val="auto"/>
                <w:szCs w:val="21"/>
              </w:rPr>
              <w:t>VCAM1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Forward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ACCACATCTACGCTGACAATGAATCC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Reverse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AACACTTGACTGTGATCGGCTTCC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color w:val="auto"/>
                <w:szCs w:val="21"/>
              </w:rPr>
              <w:t>TNFα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Forward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CGAGTGACAAGCCTGTAGC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Reverse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GGTGTGGGTGAGGAGCACAT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color w:val="auto"/>
                <w:szCs w:val="21"/>
              </w:rPr>
              <w:t>IL-6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Forward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CCTTCGGTCCAGTTGCCTTCTC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Reverse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CCAGTGCCTCTTTGCTGCTTTC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color w:val="auto"/>
                <w:szCs w:val="21"/>
              </w:rPr>
              <w:t>MMP1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Forward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AAAATTACACGCCAGATTTGCC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Reverse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GGTGTGACATTACTCCAGAGTTG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color w:val="auto"/>
                <w:szCs w:val="21"/>
              </w:rPr>
              <w:t>MMP3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Forward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AGTCTTCCAATCCTACTGTTGCT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Reverse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TCCCCGTCACCTCCAATCC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color w:val="auto"/>
                <w:szCs w:val="21"/>
              </w:rPr>
              <w:t>MMP13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Forward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TGGTCCAGGAGATGAAGACC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Reverse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TCCTCGGAGACTGGTAATGG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color w:val="auto"/>
                <w:szCs w:val="21"/>
              </w:rPr>
              <w:t>ADAMTS4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Forward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GGCTAAAGCGCTACCTGCTA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Reverse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GAGTCACCACCAAGCTGACA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color w:val="auto"/>
                <w:szCs w:val="21"/>
              </w:rPr>
              <w:t>ADAMTS5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Forward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CAAGATGCAACAATGGAAAGG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Reverse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TACCACGAATTGTGAACAAAGG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color w:val="auto"/>
                <w:szCs w:val="21"/>
              </w:rPr>
              <w:t>FGF</w:t>
            </w:r>
            <w:r>
              <w:rPr>
                <w:rFonts w:hint="eastAsia" w:ascii="Times New Roman" w:hAnsi="Times New Roman"/>
                <w:i/>
                <w:iCs/>
                <w:color w:val="auto"/>
                <w:szCs w:val="21"/>
              </w:rPr>
              <w:t>2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Forward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AGAAGAGCGACCCTCACATCA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Reverse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CGGTTAGCACACACTCCTTTG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color w:val="auto"/>
                <w:szCs w:val="21"/>
              </w:rPr>
              <w:t>HK2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Forward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AGGAGTAGGAAAGGGGCAGAG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Reverse</w:t>
            </w:r>
          </w:p>
        </w:tc>
        <w:tc>
          <w:tcPr>
            <w:tcW w:w="4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CTGGAGCCCATTGTCCGTTA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color w:val="auto"/>
                <w:szCs w:val="21"/>
              </w:rPr>
              <w:t>LDHA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Forward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ATCTTGACCTACGTGGCTTGGA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Reverse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CCATACAGGCACACTGGAATCTC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color w:val="auto"/>
                <w:szCs w:val="21"/>
              </w:rPr>
              <w:t>CPT1A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Forward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TCCAGTTGGCTTATCGTGGTG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Reverse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TCCAGAGTCCGATTGATTTTTGC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color w:val="auto"/>
                <w:szCs w:val="21"/>
              </w:rPr>
              <w:t>β-</w:t>
            </w:r>
            <w:r>
              <w:rPr>
                <w:rFonts w:hint="eastAsia" w:ascii="Times New Roman" w:hAnsi="Times New Roman"/>
                <w:i/>
                <w:iCs/>
                <w:color w:val="auto"/>
                <w:szCs w:val="21"/>
              </w:rPr>
              <w:t>ACTIN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Forward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CATGTACGTTGCTATCCAGGC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Reverse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CTCCTTAATGTCACGCACGAT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 xml:space="preserve">Human </w:t>
            </w:r>
            <w:r>
              <w:rPr>
                <w:rFonts w:ascii="Times New Roman" w:hAnsi="Times New Roman"/>
                <w:i/>
                <w:iCs/>
                <w:color w:val="auto"/>
                <w:szCs w:val="21"/>
              </w:rPr>
              <w:t>VEGF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Forward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GAGGGCAGAATCATCACGAAGTGG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0" w:type="auto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Reverse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textAlignment w:val="auto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ATCGCATCAGGGGCACACAGGAT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br w:type="page"/>
      </w:r>
    </w:p>
    <w:p>
      <w:pPr>
        <w:spacing w:line="360" w:lineRule="auto"/>
        <w:rPr>
          <w:rFonts w:hint="eastAsia" w:ascii="Times New Roman" w:hAnsi="Times New Roman" w:eastAsia="宋体"/>
          <w:b/>
          <w:bCs/>
          <w:color w:val="auto"/>
          <w:lang w:eastAsia="zh-CN"/>
        </w:rPr>
      </w:pPr>
      <w:r>
        <w:rPr>
          <w:rFonts w:hint="eastAsia" w:ascii="Times New Roman" w:hAnsi="Times New Roman" w:eastAsia="宋体"/>
          <w:b/>
          <w:bCs/>
          <w:color w:val="auto"/>
          <w:lang w:eastAsia="zh-CN"/>
        </w:rPr>
        <w:drawing>
          <wp:inline distT="0" distB="0" distL="114300" distR="114300">
            <wp:extent cx="5271135" cy="2651760"/>
            <wp:effectExtent l="0" t="0" r="12065" b="2540"/>
            <wp:docPr id="1" name="图片 1" descr="Supplementary Fi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65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ascii="Times New Roman" w:hAnsi="Times New Roman"/>
          <w:b/>
          <w:bCs/>
          <w:color w:val="auto"/>
        </w:rPr>
      </w:pPr>
      <w:r>
        <w:rPr>
          <w:rFonts w:hint="eastAsia" w:ascii="Times New Roman" w:hAnsi="Times New Roman" w:eastAsia="宋体"/>
          <w:b/>
          <w:bCs/>
          <w:color w:val="auto"/>
          <w:lang w:eastAsia="zh-CN"/>
        </w:rPr>
        <w:t>Supplementary Fig.</w:t>
      </w:r>
      <w:r>
        <w:rPr>
          <w:rFonts w:ascii="Times New Roman" w:hAnsi="Times New Roman"/>
          <w:b/>
          <w:bCs/>
          <w:color w:val="auto"/>
        </w:rPr>
        <w:t xml:space="preserve"> </w:t>
      </w:r>
      <w:r>
        <w:rPr>
          <w:rFonts w:hint="eastAsia" w:ascii="Times New Roman" w:hAnsi="Times New Roman"/>
          <w:b/>
          <w:bCs/>
          <w:color w:val="auto"/>
          <w:lang w:val="en-US" w:eastAsia="zh-CN"/>
        </w:rPr>
        <w:t>1</w:t>
      </w:r>
      <w:r>
        <w:rPr>
          <w:rFonts w:ascii="Times New Roman" w:hAnsi="Times New Roman"/>
          <w:b/>
          <w:bCs/>
          <w:color w:val="auto"/>
        </w:rPr>
        <w:t xml:space="preserve"> Dose-dependent effects of resistin on apoptosis, proliferation, and inflammation in MetS-KOA-FLS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/>
          <w:color w:val="auto"/>
          <w:szCs w:val="21"/>
        </w:rPr>
      </w:pPr>
      <w:r>
        <w:rPr>
          <w:rFonts w:ascii="Times New Roman" w:hAnsi="Times New Roman"/>
          <w:b/>
          <w:bCs/>
          <w:color w:val="auto"/>
        </w:rPr>
        <w:t>a</w:t>
      </w:r>
      <w:r>
        <w:rPr>
          <w:rFonts w:ascii="Times New Roman" w:hAnsi="Times New Roman"/>
          <w:color w:val="auto"/>
        </w:rPr>
        <w:t xml:space="preserve">, MetS-KOA-FLS were stimulated with different concentrations of resistin (0 ng/ml, 100 ng/ml, 200 ng/ml, 500 ng/ml) for 24 h, and apoptosis was detected by flow cytometry. n = 3. </w:t>
      </w:r>
      <w:r>
        <w:rPr>
          <w:rFonts w:ascii="Times New Roman" w:hAnsi="Times New Roman"/>
          <w:b/>
          <w:bCs/>
          <w:color w:val="auto"/>
        </w:rPr>
        <w:t>b</w:t>
      </w:r>
      <w:r>
        <w:rPr>
          <w:rFonts w:ascii="Times New Roman" w:hAnsi="Times New Roman"/>
          <w:color w:val="auto"/>
        </w:rPr>
        <w:t xml:space="preserve">, MetS-KOA-FLS was stimulated with different concentrations of resistin (0 ng/ml, 100 ng/ml, 200 ng/ml, 500 ng/ml). The proliferation of MetS-KOA-FLS was detected by CCK-8 at 6, 12, 24, 48, and 72 h . n = 3. </w:t>
      </w:r>
      <w:r>
        <w:rPr>
          <w:rFonts w:ascii="Times New Roman" w:hAnsi="Times New Roman"/>
          <w:b/>
          <w:bCs/>
          <w:color w:val="auto"/>
        </w:rPr>
        <w:t>c</w:t>
      </w:r>
      <w:r>
        <w:rPr>
          <w:rFonts w:ascii="Times New Roman" w:hAnsi="Times New Roman"/>
          <w:color w:val="auto"/>
        </w:rPr>
        <w:t xml:space="preserve">, </w:t>
      </w:r>
      <w:r>
        <w:rPr>
          <w:rFonts w:hint="eastAsia" w:ascii="Times New Roman" w:hAnsi="Times New Roman"/>
          <w:color w:val="auto"/>
        </w:rPr>
        <w:t>E</w:t>
      </w:r>
      <w:r>
        <w:rPr>
          <w:rFonts w:ascii="Times New Roman" w:hAnsi="Times New Roman"/>
          <w:color w:val="auto"/>
        </w:rPr>
        <w:t xml:space="preserve">xpression of </w:t>
      </w:r>
      <w:r>
        <w:rPr>
          <w:rFonts w:ascii="Times New Roman" w:hAnsi="Times New Roman"/>
          <w:i/>
          <w:iCs/>
          <w:color w:val="auto"/>
        </w:rPr>
        <w:t xml:space="preserve">TNFα </w:t>
      </w:r>
      <w:r>
        <w:rPr>
          <w:rFonts w:ascii="Times New Roman" w:hAnsi="Times New Roman"/>
          <w:color w:val="auto"/>
        </w:rPr>
        <w:t xml:space="preserve">24 </w:t>
      </w:r>
      <w:r>
        <w:rPr>
          <w:rFonts w:hint="eastAsia" w:ascii="Times New Roman" w:hAnsi="Times New Roman"/>
          <w:color w:val="auto"/>
        </w:rPr>
        <w:t>h</w:t>
      </w:r>
      <w:r>
        <w:rPr>
          <w:rFonts w:ascii="Times New Roman" w:hAnsi="Times New Roman"/>
          <w:color w:val="auto"/>
        </w:rPr>
        <w:t xml:space="preserve"> </w:t>
      </w:r>
      <w:r>
        <w:rPr>
          <w:rFonts w:hint="eastAsia" w:ascii="Times New Roman" w:hAnsi="Times New Roman"/>
          <w:color w:val="auto"/>
        </w:rPr>
        <w:t>after</w:t>
      </w:r>
      <w:r>
        <w:rPr>
          <w:rFonts w:ascii="Times New Roman" w:hAnsi="Times New Roman"/>
          <w:color w:val="auto"/>
        </w:rPr>
        <w:t xml:space="preserve"> stimulation of MetS-KOA-FLS with various concentrations of resistin (0 ng/ml, 100 ng/ml, 200 ng/ml, 500 ng/ml). n = 3. Data are expressed as means ± s.e.m. Statistical significance is indicated as *</w:t>
      </w:r>
      <w:r>
        <w:rPr>
          <w:rFonts w:ascii="Times New Roman" w:hAnsi="Times New Roman"/>
          <w:i/>
          <w:iCs/>
          <w:color w:val="auto"/>
        </w:rPr>
        <w:t>P</w:t>
      </w:r>
      <w:r>
        <w:rPr>
          <w:rFonts w:ascii="Times New Roman" w:hAnsi="Times New Roman"/>
          <w:color w:val="auto"/>
        </w:rPr>
        <w:t>&lt;0.05, **</w:t>
      </w:r>
      <w:r>
        <w:rPr>
          <w:rFonts w:ascii="Times New Roman" w:hAnsi="Times New Roman"/>
          <w:i/>
          <w:iCs/>
          <w:color w:val="auto"/>
        </w:rPr>
        <w:t>P</w:t>
      </w:r>
      <w:r>
        <w:rPr>
          <w:rFonts w:ascii="Times New Roman" w:hAnsi="Times New Roman"/>
          <w:color w:val="auto"/>
        </w:rPr>
        <w:t>&lt;0.01, (compared with the 0 ng/ml group), or #</w:t>
      </w:r>
      <w:r>
        <w:rPr>
          <w:rFonts w:ascii="Times New Roman" w:hAnsi="Times New Roman"/>
          <w:i/>
          <w:iCs/>
          <w:color w:val="auto"/>
        </w:rPr>
        <w:t>P</w:t>
      </w:r>
      <w:r>
        <w:rPr>
          <w:rFonts w:ascii="Times New Roman" w:hAnsi="Times New Roman"/>
          <w:color w:val="auto"/>
        </w:rPr>
        <w:t>&lt;0.05 (compared with the 200 ng/ml group), as according to matched samples t- test.</w:t>
      </w:r>
      <w:r>
        <w:rPr>
          <w:rFonts w:ascii="Times New Roman" w:hAnsi="Times New Roman"/>
          <w:color w:val="auto"/>
          <w:szCs w:val="21"/>
        </w:rPr>
        <w:br w:type="page"/>
      </w:r>
    </w:p>
    <w:p>
      <w:pPr>
        <w:spacing w:line="360" w:lineRule="auto"/>
        <w:jc w:val="center"/>
        <w:rPr>
          <w:rFonts w:hint="eastAsia" w:ascii="Times New Roman" w:hAnsi="Times New Roman" w:eastAsia="宋体"/>
          <w:color w:val="auto"/>
          <w:szCs w:val="21"/>
          <w:lang w:eastAsia="zh-CN"/>
        </w:rPr>
      </w:pPr>
      <w:bookmarkStart w:id="0" w:name="_GoBack"/>
      <w:r>
        <w:rPr>
          <w:rFonts w:hint="eastAsia" w:ascii="Times New Roman" w:hAnsi="Times New Roman" w:eastAsia="宋体"/>
          <w:color w:val="auto"/>
          <w:szCs w:val="21"/>
          <w:lang w:eastAsia="zh-CN"/>
        </w:rPr>
        <w:drawing>
          <wp:inline distT="0" distB="0" distL="114300" distR="114300">
            <wp:extent cx="5269230" cy="5474335"/>
            <wp:effectExtent l="0" t="0" r="1270" b="12065"/>
            <wp:docPr id="2" name="图片 2" descr="Supplementary Fig 2 改备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ary Fig 2 改备份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47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spacing w:line="240" w:lineRule="auto"/>
        <w:rPr>
          <w:rFonts w:ascii="Times New Roman" w:hAnsi="Times New Roman"/>
          <w:b/>
          <w:bCs/>
          <w:color w:val="auto"/>
        </w:rPr>
      </w:pPr>
      <w:r>
        <w:rPr>
          <w:rFonts w:hint="eastAsia" w:ascii="Times New Roman" w:hAnsi="Times New Roman" w:eastAsia="宋体"/>
          <w:b/>
          <w:bCs/>
          <w:color w:val="auto"/>
          <w:lang w:eastAsia="zh-CN"/>
        </w:rPr>
        <w:t>Supplementary Fig.</w:t>
      </w:r>
      <w:r>
        <w:rPr>
          <w:rFonts w:ascii="Times New Roman" w:hAnsi="Times New Roman"/>
          <w:b/>
          <w:bCs/>
          <w:color w:val="auto"/>
        </w:rPr>
        <w:t xml:space="preserve"> </w:t>
      </w:r>
      <w:r>
        <w:rPr>
          <w:rFonts w:hint="eastAsia" w:ascii="Times New Roman" w:hAnsi="Times New Roman"/>
          <w:b/>
          <w:bCs/>
          <w:color w:val="auto"/>
          <w:lang w:val="en-US" w:eastAsia="zh-CN"/>
        </w:rPr>
        <w:t>2</w:t>
      </w:r>
      <w:r>
        <w:rPr>
          <w:rFonts w:ascii="Times New Roman" w:hAnsi="Times New Roman"/>
          <w:b/>
          <w:bCs/>
          <w:color w:val="auto"/>
        </w:rPr>
        <w:t xml:space="preserve"> 2-DG </w:t>
      </w:r>
      <w:r>
        <w:rPr>
          <w:rFonts w:ascii="Times New Roman" w:hAnsi="Times New Roman"/>
          <w:b/>
          <w:bCs/>
          <w:color w:val="auto"/>
          <w:highlight w:val="none"/>
        </w:rPr>
        <w:t>d</w:t>
      </w:r>
      <w:r>
        <w:rPr>
          <w:rFonts w:hint="eastAsia" w:ascii="Times New Roman" w:hAnsi="Times New Roman"/>
          <w:b/>
          <w:bCs/>
          <w:color w:val="auto"/>
          <w:highlight w:val="none"/>
          <w:lang w:val="en-US" w:eastAsia="zh-CN"/>
        </w:rPr>
        <w:t>oes</w:t>
      </w:r>
      <w:r>
        <w:rPr>
          <w:rFonts w:ascii="Times New Roman" w:hAnsi="Times New Roman"/>
          <w:b/>
          <w:bCs/>
          <w:color w:val="auto"/>
          <w:highlight w:val="none"/>
        </w:rPr>
        <w:t xml:space="preserve"> </w:t>
      </w:r>
      <w:r>
        <w:rPr>
          <w:rFonts w:ascii="Times New Roman" w:hAnsi="Times New Roman"/>
          <w:b/>
          <w:bCs/>
          <w:color w:val="auto"/>
        </w:rPr>
        <w:t>not inhibit resistin-mediated inflammation and catabolism of MetS-KOA-FLS.</w:t>
      </w:r>
    </w:p>
    <w:p>
      <w:pPr>
        <w:spacing w:line="240" w:lineRule="auto"/>
        <w:jc w:val="both"/>
        <w:rPr>
          <w:rFonts w:ascii="Times New Roman" w:hAnsi="Times New Roman"/>
          <w:color w:val="auto"/>
          <w:szCs w:val="21"/>
        </w:rPr>
      </w:pPr>
      <w:r>
        <w:rPr>
          <w:rFonts w:ascii="Times New Roman" w:hAnsi="Times New Roman"/>
          <w:color w:val="auto"/>
        </w:rPr>
        <w:t>MetS-KOA-FLS were pretreated with 10 mM 2-DG for 2 h and then incubated with 200 ng/ml resistin for 24 h to detect changes in inflammation and catabolism.</w:t>
      </w:r>
      <w:r>
        <w:rPr>
          <w:rFonts w:ascii="Times New Roman" w:hAnsi="Times New Roman"/>
          <w:color w:val="auto"/>
          <w:szCs w:val="21"/>
        </w:rPr>
        <w:t xml:space="preserve"> 2-DG, </w:t>
      </w:r>
      <w:r>
        <w:rPr>
          <w:rFonts w:ascii="Times New Roman" w:hAnsi="Times New Roman" w:eastAsia="Cambria"/>
          <w:color w:val="auto"/>
          <w:szCs w:val="21"/>
          <w:shd w:val="clear" w:color="auto" w:fill="FFFFFF"/>
        </w:rPr>
        <w:t>2-deoxy-</w:t>
      </w:r>
      <w:r>
        <w:rPr>
          <w:rFonts w:ascii="Times New Roman" w:hAnsi="Times New Roman" w:eastAsia="Cambria"/>
          <w:smallCaps/>
          <w:color w:val="auto"/>
          <w:spacing w:val="4"/>
          <w:szCs w:val="21"/>
          <w:shd w:val="clear" w:color="auto" w:fill="FFFFFF"/>
        </w:rPr>
        <w:t>d</w:t>
      </w:r>
      <w:r>
        <w:rPr>
          <w:rFonts w:ascii="Times New Roman" w:hAnsi="Times New Roman" w:eastAsia="Cambria"/>
          <w:color w:val="auto"/>
          <w:szCs w:val="21"/>
          <w:shd w:val="clear" w:color="auto" w:fill="FFFFFF"/>
        </w:rPr>
        <w:t>-glucose</w:t>
      </w:r>
      <w:r>
        <w:rPr>
          <w:rFonts w:ascii="Times New Roman" w:hAnsi="Times New Roman"/>
          <w:color w:val="auto"/>
          <w:szCs w:val="21"/>
        </w:rPr>
        <w:t>.</w:t>
      </w:r>
      <w:r>
        <w:rPr>
          <w:rFonts w:ascii="Times New Roman" w:hAnsi="Times New Roman"/>
          <w:color w:val="auto"/>
        </w:rPr>
        <w:t xml:space="preserve"> n = 5.</w:t>
      </w:r>
      <w:r>
        <w:rPr>
          <w:rFonts w:ascii="Times New Roman" w:hAnsi="Times New Roman"/>
          <w:color w:val="auto"/>
          <w:szCs w:val="21"/>
        </w:rPr>
        <w:t xml:space="preserve"> </w:t>
      </w:r>
      <w:r>
        <w:rPr>
          <w:rFonts w:ascii="Times New Roman" w:hAnsi="Times New Roman"/>
          <w:b/>
          <w:bCs/>
          <w:color w:val="auto"/>
          <w:szCs w:val="21"/>
        </w:rPr>
        <w:t>a</w:t>
      </w:r>
      <w:r>
        <w:rPr>
          <w:rFonts w:ascii="Times New Roman" w:hAnsi="Times New Roman"/>
          <w:color w:val="auto"/>
          <w:szCs w:val="21"/>
        </w:rPr>
        <w:t xml:space="preserve">, </w:t>
      </w:r>
      <w:r>
        <w:rPr>
          <w:rFonts w:ascii="Times New Roman" w:hAnsi="Times New Roman"/>
          <w:color w:val="auto"/>
        </w:rPr>
        <w:t xml:space="preserve">mRNA levels of </w:t>
      </w:r>
      <w:r>
        <w:rPr>
          <w:rFonts w:ascii="Times New Roman" w:hAnsi="Times New Roman"/>
          <w:i/>
          <w:iCs/>
          <w:color w:val="auto"/>
        </w:rPr>
        <w:t>CCL3</w:t>
      </w:r>
      <w:r>
        <w:rPr>
          <w:rFonts w:ascii="Times New Roman" w:hAnsi="Times New Roman"/>
          <w:color w:val="auto"/>
        </w:rPr>
        <w:t xml:space="preserve">, </w:t>
      </w:r>
      <w:r>
        <w:rPr>
          <w:rFonts w:ascii="Times New Roman" w:hAnsi="Times New Roman"/>
          <w:i/>
          <w:iCs/>
          <w:color w:val="auto"/>
        </w:rPr>
        <w:t>ICAM1,</w:t>
      </w:r>
      <w:r>
        <w:rPr>
          <w:rFonts w:ascii="Times New Roman" w:hAnsi="Times New Roman"/>
          <w:color w:val="auto"/>
        </w:rPr>
        <w:t xml:space="preserve"> and </w:t>
      </w:r>
      <w:r>
        <w:rPr>
          <w:rFonts w:ascii="Times New Roman" w:hAnsi="Times New Roman"/>
          <w:i/>
          <w:iCs/>
          <w:color w:val="auto"/>
        </w:rPr>
        <w:t>TNFα</w:t>
      </w:r>
      <w:r>
        <w:rPr>
          <w:rFonts w:hint="eastAsia" w:ascii="Times New Roman" w:hAnsi="Times New Roman"/>
          <w:color w:val="auto"/>
          <w:lang w:val="en-US" w:eastAsia="zh-CN"/>
        </w:rPr>
        <w:t xml:space="preserve"> and</w:t>
      </w:r>
      <w:r>
        <w:rPr>
          <w:rFonts w:ascii="Times New Roman" w:hAnsi="Times New Roman"/>
          <w:color w:val="auto"/>
        </w:rPr>
        <w:t xml:space="preserve"> </w:t>
      </w:r>
      <w:r>
        <w:rPr>
          <w:rFonts w:hint="eastAsia" w:ascii="Times New Roman" w:hAnsi="Times New Roman"/>
          <w:color w:val="auto"/>
          <w:lang w:val="en-US" w:eastAsia="zh-CN"/>
        </w:rPr>
        <w:t>p</w:t>
      </w:r>
      <w:r>
        <w:rPr>
          <w:rFonts w:ascii="Times New Roman" w:hAnsi="Times New Roman"/>
          <w:color w:val="auto"/>
        </w:rPr>
        <w:t xml:space="preserve">rotein levels of CCL3 in the supernatant. </w:t>
      </w:r>
      <w:r>
        <w:rPr>
          <w:rFonts w:hint="eastAsia" w:ascii="Times New Roman" w:hAnsi="Times New Roman"/>
          <w:b/>
          <w:bCs/>
          <w:color w:val="auto"/>
          <w:lang w:val="en-US" w:eastAsia="zh-CN"/>
        </w:rPr>
        <w:t>b</w:t>
      </w:r>
      <w:r>
        <w:rPr>
          <w:rFonts w:ascii="Times New Roman" w:hAnsi="Times New Roman"/>
          <w:color w:val="auto"/>
        </w:rPr>
        <w:t xml:space="preserve">, mRNA levels of </w:t>
      </w:r>
      <w:r>
        <w:rPr>
          <w:rFonts w:ascii="Times New Roman" w:hAnsi="Times New Roman"/>
          <w:i/>
          <w:iCs/>
          <w:color w:val="auto"/>
        </w:rPr>
        <w:t xml:space="preserve">MMP13 </w:t>
      </w:r>
      <w:r>
        <w:rPr>
          <w:rFonts w:ascii="Times New Roman" w:hAnsi="Times New Roman"/>
          <w:color w:val="auto"/>
        </w:rPr>
        <w:t>and</w:t>
      </w:r>
      <w:r>
        <w:rPr>
          <w:rFonts w:ascii="Times New Roman" w:hAnsi="Times New Roman"/>
          <w:i/>
          <w:iCs/>
          <w:color w:val="auto"/>
        </w:rPr>
        <w:t xml:space="preserve"> ADAMTS4</w:t>
      </w:r>
      <w:r>
        <w:rPr>
          <w:rFonts w:hint="eastAsia" w:ascii="Times New Roman" w:hAnsi="Times New Roman"/>
          <w:color w:val="auto"/>
          <w:lang w:val="en-US" w:eastAsia="zh-CN"/>
        </w:rPr>
        <w:t xml:space="preserve"> and</w:t>
      </w:r>
      <w:r>
        <w:rPr>
          <w:rFonts w:ascii="Times New Roman" w:hAnsi="Times New Roman"/>
          <w:color w:val="auto"/>
        </w:rPr>
        <w:t xml:space="preserve"> </w:t>
      </w:r>
      <w:r>
        <w:rPr>
          <w:rFonts w:hint="eastAsia" w:ascii="Times New Roman" w:hAnsi="Times New Roman"/>
          <w:color w:val="auto"/>
          <w:szCs w:val="21"/>
          <w:lang w:val="en-US" w:eastAsia="zh-CN"/>
        </w:rPr>
        <w:t>p</w:t>
      </w:r>
      <w:r>
        <w:rPr>
          <w:rFonts w:ascii="Times New Roman" w:hAnsi="Times New Roman"/>
          <w:color w:val="auto"/>
          <w:szCs w:val="21"/>
        </w:rPr>
        <w:t xml:space="preserve">rotein levels of MMP13 and ADAMTS4 in the supernatant. </w:t>
      </w:r>
      <w:r>
        <w:rPr>
          <w:rFonts w:hint="eastAsia" w:ascii="Times New Roman" w:hAnsi="Times New Roman"/>
          <w:b/>
          <w:bCs/>
          <w:color w:val="auto"/>
          <w:lang w:val="en-US" w:eastAsia="zh-CN"/>
        </w:rPr>
        <w:t>c</w:t>
      </w:r>
      <w:r>
        <w:rPr>
          <w:rFonts w:ascii="Times New Roman" w:hAnsi="Times New Roman"/>
          <w:color w:val="auto"/>
        </w:rPr>
        <w:t>, MetS-KOA-FLS was pretreated with 10 mM 2-DG for 2 h and then incubated with 200 ng/ml resistin for 24 h</w:t>
      </w:r>
      <w:r>
        <w:rPr>
          <w:rFonts w:hint="eastAsia" w:ascii="Times New Roman" w:hAnsi="Times New Roman"/>
          <w:color w:val="auto"/>
        </w:rPr>
        <w:t xml:space="preserve">. </w:t>
      </w:r>
      <w:r>
        <w:rPr>
          <w:rFonts w:ascii="Times New Roman" w:hAnsi="Times New Roman"/>
          <w:color w:val="auto"/>
        </w:rPr>
        <w:t xml:space="preserve">Count of THP-1 co-cultured (3:1) with MetS-KOA-FLS for 6 h is shown in the right pane. </w:t>
      </w:r>
      <w:r>
        <w:rPr>
          <w:rFonts w:hint="eastAsia" w:ascii="Times New Roman" w:hAnsi="Times New Roman"/>
          <w:b/>
          <w:bCs/>
          <w:color w:val="auto"/>
          <w:lang w:val="en-US" w:eastAsia="zh-CN"/>
        </w:rPr>
        <w:t>d</w:t>
      </w:r>
      <w:r>
        <w:rPr>
          <w:rFonts w:ascii="Times New Roman" w:hAnsi="Times New Roman"/>
          <w:color w:val="auto"/>
        </w:rPr>
        <w:t xml:space="preserve">, MetS-KOA-FLS were pretreated with 10 mM 2-DG for 2 h and then incubated with 200 ng/ml resistin for </w:t>
      </w:r>
      <w:r>
        <w:rPr>
          <w:rFonts w:hint="eastAsia" w:ascii="Times New Roman" w:hAnsi="Times New Roman"/>
          <w:color w:val="auto"/>
        </w:rPr>
        <w:t>72</w:t>
      </w:r>
      <w:r>
        <w:rPr>
          <w:rFonts w:ascii="Times New Roman" w:hAnsi="Times New Roman"/>
          <w:color w:val="auto"/>
        </w:rPr>
        <w:t xml:space="preserve"> h</w:t>
      </w:r>
      <w:r>
        <w:rPr>
          <w:rFonts w:hint="eastAsia" w:ascii="Times New Roman" w:hAnsi="Times New Roman"/>
          <w:color w:val="auto"/>
        </w:rPr>
        <w:t xml:space="preserve"> in matrigel. </w:t>
      </w:r>
      <w:r>
        <w:rPr>
          <w:rFonts w:ascii="Times New Roman" w:hAnsi="Times New Roman"/>
          <w:color w:val="auto"/>
        </w:rPr>
        <w:t>Count of invasive MetS-KOA-FLS is shown in the right pane. Data are expressed as means ± s.e.m. Statistical significance is indicated as *</w:t>
      </w:r>
      <w:r>
        <w:rPr>
          <w:rFonts w:ascii="Times New Roman" w:hAnsi="Times New Roman"/>
          <w:i/>
          <w:iCs/>
          <w:color w:val="auto"/>
        </w:rPr>
        <w:t>P</w:t>
      </w:r>
      <w:r>
        <w:rPr>
          <w:rFonts w:ascii="Times New Roman" w:hAnsi="Times New Roman"/>
          <w:color w:val="auto"/>
        </w:rPr>
        <w:t>&lt;0.05, **</w:t>
      </w:r>
      <w:r>
        <w:rPr>
          <w:rFonts w:ascii="Times New Roman" w:hAnsi="Times New Roman"/>
          <w:i/>
          <w:iCs/>
          <w:color w:val="auto"/>
        </w:rPr>
        <w:t>P</w:t>
      </w:r>
      <w:r>
        <w:rPr>
          <w:rFonts w:ascii="Times New Roman" w:hAnsi="Times New Roman"/>
          <w:color w:val="auto"/>
        </w:rPr>
        <w:t>&lt;0.01, ***</w:t>
      </w:r>
      <w:r>
        <w:rPr>
          <w:rFonts w:ascii="Times New Roman" w:hAnsi="Times New Roman"/>
          <w:i/>
          <w:iCs/>
          <w:color w:val="auto"/>
        </w:rPr>
        <w:t>P</w:t>
      </w:r>
      <w:r>
        <w:rPr>
          <w:rFonts w:ascii="Times New Roman" w:hAnsi="Times New Roman"/>
          <w:color w:val="auto"/>
        </w:rPr>
        <w:t>&lt;0.001, and ****</w:t>
      </w:r>
      <w:r>
        <w:rPr>
          <w:rFonts w:ascii="Times New Roman" w:hAnsi="Times New Roman"/>
          <w:i/>
          <w:iCs/>
          <w:color w:val="auto"/>
        </w:rPr>
        <w:t>P</w:t>
      </w:r>
      <w:r>
        <w:rPr>
          <w:rFonts w:ascii="Times New Roman" w:hAnsi="Times New Roman"/>
          <w:color w:val="auto"/>
        </w:rPr>
        <w:t>&lt;0.0001, as assessed by matched samples t- test.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yYjFlNWE5MTFkMWJmMmNmNGY2MWY4MDQ0ZjU4ZGUifQ=="/>
  </w:docVars>
  <w:rsids>
    <w:rsidRoot w:val="00000000"/>
    <w:rsid w:val="6059391C"/>
    <w:rsid w:val="7B3D4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2023-06-26T06:24:00Z</dcterms:created>
  <dc:creator>moons</dc:creator>
  <cp:lastModifiedBy>liuhaofirst</cp:lastModifiedBy>
  <dcterms:modified xsi:type="dcterms:W3CDTF">2023-09-15T00:41:22Z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C3A3FF7210B54506AD2D3C1BC0AAF42E_12</vt:lpwstr>
  </property>
</Properties>
</file>