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93E5B9" w14:textId="77777777" w:rsidR="00BD72F2" w:rsidRPr="007F1028" w:rsidRDefault="00BD72F2" w:rsidP="00BD72F2">
      <w:pPr>
        <w:widowControl/>
        <w:adjustRightInd w:val="0"/>
        <w:snapToGrid w:val="0"/>
        <w:spacing w:line="480" w:lineRule="auto"/>
        <w:rPr>
          <w:rFonts w:ascii="Arial" w:hAnsi="Arial" w:cs="Arial"/>
          <w:b/>
          <w:bCs/>
          <w:color w:val="000000" w:themeColor="text1"/>
          <w:sz w:val="22"/>
        </w:rPr>
      </w:pPr>
      <w:r>
        <w:rPr>
          <w:rFonts w:ascii="Arial" w:hAnsi="Arial" w:cs="Arial"/>
          <w:b/>
          <w:bCs/>
          <w:color w:val="000000" w:themeColor="text1"/>
          <w:sz w:val="22"/>
        </w:rPr>
        <w:t xml:space="preserve">FIGURE </w:t>
      </w:r>
      <w:r w:rsidRPr="007F1028">
        <w:rPr>
          <w:rFonts w:ascii="Arial" w:hAnsi="Arial" w:cs="Arial"/>
          <w:b/>
          <w:bCs/>
          <w:color w:val="000000" w:themeColor="text1"/>
          <w:sz w:val="22"/>
        </w:rPr>
        <w:t xml:space="preserve">LEGENDS OF </w:t>
      </w:r>
      <w:r>
        <w:rPr>
          <w:rFonts w:ascii="Arial" w:hAnsi="Arial" w:cs="Arial"/>
          <w:b/>
          <w:bCs/>
          <w:color w:val="000000" w:themeColor="text1"/>
          <w:sz w:val="22"/>
        </w:rPr>
        <w:t>SUPPLEMENTARY FIGURES</w:t>
      </w:r>
    </w:p>
    <w:p w14:paraId="7CE0B31C" w14:textId="77777777" w:rsidR="00BD72F2" w:rsidRPr="007F1028" w:rsidRDefault="00BD72F2" w:rsidP="00BD72F2">
      <w:pPr>
        <w:widowControl/>
        <w:adjustRightInd w:val="0"/>
        <w:snapToGrid w:val="0"/>
        <w:spacing w:line="480" w:lineRule="auto"/>
        <w:rPr>
          <w:rFonts w:ascii="Arial" w:hAnsi="Arial" w:cs="Arial"/>
          <w:b/>
          <w:bCs/>
          <w:color w:val="000000" w:themeColor="text1"/>
          <w:sz w:val="22"/>
        </w:rPr>
      </w:pPr>
      <w:r>
        <w:rPr>
          <w:rFonts w:ascii="Arial" w:hAnsi="Arial" w:cs="Arial" w:hint="eastAsia"/>
          <w:b/>
          <w:bCs/>
          <w:color w:val="000000" w:themeColor="text1"/>
          <w:sz w:val="22"/>
        </w:rPr>
        <w:t>Fig. S</w:t>
      </w:r>
      <w:r w:rsidRPr="007F1028">
        <w:rPr>
          <w:rFonts w:ascii="Arial" w:hAnsi="Arial" w:cs="Arial"/>
          <w:b/>
          <w:bCs/>
          <w:color w:val="000000" w:themeColor="text1"/>
          <w:sz w:val="22"/>
        </w:rPr>
        <w:t>1</w:t>
      </w:r>
      <w:r>
        <w:rPr>
          <w:rFonts w:ascii="Arial" w:hAnsi="Arial" w:cs="Arial"/>
          <w:b/>
          <w:bCs/>
          <w:color w:val="000000" w:themeColor="text1"/>
          <w:sz w:val="22"/>
        </w:rPr>
        <w:t>:</w:t>
      </w:r>
      <w:r w:rsidRPr="007F1028">
        <w:rPr>
          <w:rFonts w:ascii="Arial" w:hAnsi="Arial" w:cs="Arial"/>
          <w:b/>
          <w:bCs/>
          <w:color w:val="000000" w:themeColor="text1"/>
          <w:sz w:val="22"/>
        </w:rPr>
        <w:t xml:space="preserve"> Validation of CANTAC-seq in K562 cells</w:t>
      </w:r>
    </w:p>
    <w:p w14:paraId="53442F42" w14:textId="77777777" w:rsidR="00BD72F2" w:rsidRPr="007F1028" w:rsidRDefault="00BD72F2" w:rsidP="00BD72F2">
      <w:pPr>
        <w:widowControl/>
        <w:adjustRightInd w:val="0"/>
        <w:snapToGrid w:val="0"/>
        <w:spacing w:line="480" w:lineRule="auto"/>
        <w:rPr>
          <w:rFonts w:ascii="Arial" w:hAnsi="Arial" w:cs="Arial"/>
          <w:color w:val="000000" w:themeColor="text1"/>
          <w:sz w:val="22"/>
        </w:rPr>
      </w:pPr>
      <w:r>
        <w:rPr>
          <w:rFonts w:ascii="Arial" w:hAnsi="Arial" w:cs="Arial"/>
          <w:b/>
          <w:color w:val="000000" w:themeColor="text1"/>
          <w:sz w:val="22"/>
        </w:rPr>
        <w:t>a,</w:t>
      </w:r>
      <w:r w:rsidRPr="007F1028">
        <w:rPr>
          <w:rFonts w:ascii="Arial" w:hAnsi="Arial" w:cs="Arial"/>
          <w:color w:val="000000" w:themeColor="text1"/>
          <w:sz w:val="22"/>
        </w:rPr>
        <w:t xml:space="preserve"> Genome-wide comparison of standard ATAC-seq data with CANTAC-seq data generated from human K562 cells. The points indicate accessible regions identified by ATAC-seq and CANTAC-seq. </w:t>
      </w:r>
      <w:r w:rsidRPr="007F1028">
        <w:rPr>
          <w:rFonts w:ascii="Arial" w:hAnsi="Arial" w:cs="Arial" w:hint="eastAsia"/>
          <w:color w:val="000000" w:themeColor="text1"/>
          <w:sz w:val="22"/>
        </w:rPr>
        <w:t>X</w:t>
      </w:r>
      <w:r w:rsidRPr="007F1028">
        <w:rPr>
          <w:rFonts w:ascii="Arial" w:hAnsi="Arial" w:cs="Arial"/>
          <w:color w:val="000000" w:themeColor="text1"/>
          <w:sz w:val="22"/>
        </w:rPr>
        <w:t xml:space="preserve"> and Y axis represented the number of sequencing reads derived from the accessible regions.</w:t>
      </w:r>
    </w:p>
    <w:p w14:paraId="79D5DB01" w14:textId="77777777" w:rsidR="00BD72F2" w:rsidRPr="007F1028" w:rsidRDefault="00BD72F2" w:rsidP="00BD72F2">
      <w:pPr>
        <w:widowControl/>
        <w:adjustRightInd w:val="0"/>
        <w:snapToGrid w:val="0"/>
        <w:spacing w:line="480" w:lineRule="auto"/>
        <w:rPr>
          <w:rFonts w:ascii="Arial" w:hAnsi="Arial" w:cs="Arial"/>
          <w:color w:val="000000" w:themeColor="text1"/>
          <w:sz w:val="22"/>
        </w:rPr>
      </w:pPr>
      <w:r>
        <w:rPr>
          <w:rFonts w:ascii="Arial" w:hAnsi="Arial" w:cs="Arial"/>
          <w:b/>
          <w:color w:val="000000" w:themeColor="text1"/>
          <w:sz w:val="22"/>
        </w:rPr>
        <w:t>b,</w:t>
      </w:r>
      <w:r w:rsidRPr="007F1028">
        <w:rPr>
          <w:rFonts w:ascii="Arial" w:hAnsi="Arial" w:cs="Arial"/>
          <w:color w:val="000000" w:themeColor="text1"/>
          <w:sz w:val="22"/>
        </w:rPr>
        <w:t xml:space="preserve"> TSS enrichment of standard ATAC-seq data and CANTAC-seq data in K562 cells.</w:t>
      </w:r>
    </w:p>
    <w:p w14:paraId="1C3FA203" w14:textId="77777777" w:rsidR="00BD72F2" w:rsidRPr="007F1028" w:rsidRDefault="00BD72F2" w:rsidP="00BD72F2">
      <w:pPr>
        <w:widowControl/>
        <w:adjustRightInd w:val="0"/>
        <w:snapToGrid w:val="0"/>
        <w:spacing w:line="480" w:lineRule="auto"/>
        <w:rPr>
          <w:rFonts w:ascii="Arial" w:hAnsi="Arial" w:cs="Arial"/>
          <w:color w:val="000000" w:themeColor="text1"/>
          <w:sz w:val="22"/>
        </w:rPr>
      </w:pPr>
      <w:r>
        <w:rPr>
          <w:rFonts w:ascii="Arial" w:hAnsi="Arial" w:cs="Arial"/>
          <w:b/>
          <w:color w:val="000000" w:themeColor="text1"/>
          <w:sz w:val="22"/>
        </w:rPr>
        <w:t>c,</w:t>
      </w:r>
      <w:r w:rsidRPr="007F1028">
        <w:rPr>
          <w:rFonts w:ascii="Arial" w:hAnsi="Arial" w:cs="Arial"/>
          <w:color w:val="000000" w:themeColor="text1"/>
          <w:sz w:val="22"/>
        </w:rPr>
        <w:t xml:space="preserve"> Comparison of insert sizes generated from K562 cells using ATAC-seq and CANTAC-seq.</w:t>
      </w:r>
    </w:p>
    <w:p w14:paraId="50370F40" w14:textId="77777777" w:rsidR="00BD72F2" w:rsidRPr="007F1028" w:rsidRDefault="00BD72F2" w:rsidP="00BD72F2">
      <w:pPr>
        <w:widowControl/>
        <w:adjustRightInd w:val="0"/>
        <w:snapToGrid w:val="0"/>
        <w:spacing w:line="480" w:lineRule="auto"/>
        <w:rPr>
          <w:rFonts w:ascii="Arial" w:hAnsi="Arial" w:cs="Arial"/>
          <w:color w:val="000000" w:themeColor="text1"/>
          <w:sz w:val="22"/>
        </w:rPr>
      </w:pPr>
      <w:r>
        <w:rPr>
          <w:rFonts w:ascii="Arial" w:hAnsi="Arial" w:cs="Arial"/>
          <w:b/>
          <w:color w:val="000000" w:themeColor="text1"/>
          <w:sz w:val="22"/>
        </w:rPr>
        <w:t>d,</w:t>
      </w:r>
      <w:r w:rsidRPr="007F1028">
        <w:rPr>
          <w:rFonts w:ascii="Arial" w:hAnsi="Arial" w:cs="Arial"/>
          <w:color w:val="000000" w:themeColor="text1"/>
          <w:sz w:val="22"/>
        </w:rPr>
        <w:t xml:space="preserve"> Genome browser view of ATAC-seq and CANTAC-seq normalized read counts at human β-globin locus control region (LCR) and its downstream hemoglobin genes in K562 cells.</w:t>
      </w:r>
    </w:p>
    <w:p w14:paraId="6B50F2FF" w14:textId="77777777" w:rsidR="00BD72F2" w:rsidRPr="007F1028" w:rsidRDefault="00BD72F2" w:rsidP="00BD72F2">
      <w:pPr>
        <w:widowControl/>
        <w:adjustRightInd w:val="0"/>
        <w:snapToGrid w:val="0"/>
        <w:spacing w:line="480" w:lineRule="auto"/>
        <w:rPr>
          <w:rFonts w:ascii="Arial" w:hAnsi="Arial" w:cs="Arial"/>
          <w:b/>
          <w:bCs/>
          <w:color w:val="000000" w:themeColor="text1"/>
          <w:sz w:val="22"/>
        </w:rPr>
      </w:pPr>
    </w:p>
    <w:p w14:paraId="1B871E4B" w14:textId="77777777" w:rsidR="00BD72F2" w:rsidRPr="007F1028" w:rsidRDefault="00BD72F2" w:rsidP="00BD72F2">
      <w:pPr>
        <w:widowControl/>
        <w:adjustRightInd w:val="0"/>
        <w:snapToGrid w:val="0"/>
        <w:spacing w:line="480" w:lineRule="auto"/>
        <w:rPr>
          <w:rFonts w:ascii="Arial" w:hAnsi="Arial" w:cs="Arial"/>
          <w:b/>
          <w:bCs/>
          <w:color w:val="000000" w:themeColor="text1"/>
          <w:sz w:val="22"/>
        </w:rPr>
      </w:pPr>
      <w:r>
        <w:rPr>
          <w:rFonts w:ascii="Arial" w:hAnsi="Arial" w:cs="Arial" w:hint="eastAsia"/>
          <w:b/>
          <w:bCs/>
          <w:color w:val="000000" w:themeColor="text1"/>
          <w:sz w:val="22"/>
        </w:rPr>
        <w:t>Fig. S</w:t>
      </w:r>
      <w:r w:rsidRPr="007F1028">
        <w:rPr>
          <w:rFonts w:ascii="Arial" w:hAnsi="Arial" w:cs="Arial"/>
          <w:b/>
          <w:bCs/>
          <w:color w:val="000000" w:themeColor="text1"/>
          <w:sz w:val="22"/>
        </w:rPr>
        <w:t>2</w:t>
      </w:r>
      <w:r>
        <w:rPr>
          <w:rFonts w:ascii="Arial" w:hAnsi="Arial" w:cs="Arial"/>
          <w:b/>
          <w:bCs/>
          <w:color w:val="000000" w:themeColor="text1"/>
          <w:sz w:val="22"/>
        </w:rPr>
        <w:t xml:space="preserve">: </w:t>
      </w:r>
      <w:r w:rsidRPr="007F1028">
        <w:rPr>
          <w:rFonts w:ascii="Calibri" w:hAnsi="Calibri" w:cs="Calibri"/>
          <w:b/>
          <w:bCs/>
          <w:color w:val="000000" w:themeColor="text1"/>
          <w:sz w:val="22"/>
        </w:rPr>
        <w:t>﻿</w:t>
      </w:r>
      <w:r w:rsidRPr="007F1028">
        <w:rPr>
          <w:rFonts w:ascii="Arial" w:hAnsi="Arial" w:cs="Arial"/>
          <w:b/>
          <w:bCs/>
          <w:color w:val="000000" w:themeColor="text1"/>
          <w:sz w:val="22"/>
        </w:rPr>
        <w:t xml:space="preserve">Chromatin accessibility of </w:t>
      </w:r>
      <w:r w:rsidRPr="007F1028">
        <w:rPr>
          <w:rFonts w:ascii="Arial" w:hAnsi="Arial" w:cs="Arial"/>
          <w:b/>
          <w:bCs/>
          <w:i/>
          <w:color w:val="000000" w:themeColor="text1"/>
          <w:sz w:val="22"/>
        </w:rPr>
        <w:t>X. tropicalis</w:t>
      </w:r>
      <w:r w:rsidRPr="007F1028">
        <w:rPr>
          <w:rFonts w:ascii="Arial" w:hAnsi="Arial" w:cs="Arial"/>
          <w:b/>
          <w:bCs/>
          <w:color w:val="000000" w:themeColor="text1"/>
          <w:sz w:val="22"/>
        </w:rPr>
        <w:t xml:space="preserve"> early embryos measured by CANTAC-seq</w:t>
      </w:r>
    </w:p>
    <w:p w14:paraId="29A1EE40" w14:textId="77777777" w:rsidR="00BD72F2" w:rsidRPr="007F1028" w:rsidRDefault="00BD72F2" w:rsidP="00BD72F2">
      <w:pPr>
        <w:widowControl/>
        <w:adjustRightInd w:val="0"/>
        <w:snapToGrid w:val="0"/>
        <w:spacing w:line="480" w:lineRule="auto"/>
        <w:rPr>
          <w:rFonts w:ascii="Arial" w:hAnsi="Arial" w:cs="Arial"/>
          <w:color w:val="000000" w:themeColor="text1"/>
          <w:sz w:val="22"/>
        </w:rPr>
      </w:pPr>
      <w:r>
        <w:rPr>
          <w:rFonts w:ascii="Arial" w:hAnsi="Arial" w:cs="Arial"/>
          <w:b/>
          <w:color w:val="000000" w:themeColor="text1"/>
          <w:sz w:val="22"/>
        </w:rPr>
        <w:t>a,</w:t>
      </w:r>
      <w:r w:rsidRPr="007F1028">
        <w:rPr>
          <w:rFonts w:ascii="Calibri" w:hAnsi="Calibri" w:cs="Calibri"/>
          <w:color w:val="000000" w:themeColor="text1"/>
          <w:sz w:val="22"/>
        </w:rPr>
        <w:t xml:space="preserve"> </w:t>
      </w:r>
      <w:r w:rsidRPr="007F1028">
        <w:rPr>
          <w:rFonts w:ascii="Arial" w:hAnsi="Arial" w:cs="Arial"/>
          <w:color w:val="000000" w:themeColor="text1"/>
          <w:sz w:val="22"/>
        </w:rPr>
        <w:t>Pearson correlation coefficient among chromatin accessibility profiles of different developmental stages detected by CANTAC-seq.</w:t>
      </w:r>
    </w:p>
    <w:p w14:paraId="443DE045" w14:textId="77777777" w:rsidR="00BD72F2" w:rsidRPr="007F1028" w:rsidRDefault="00BD72F2" w:rsidP="00BD72F2">
      <w:pPr>
        <w:widowControl/>
        <w:adjustRightInd w:val="0"/>
        <w:snapToGrid w:val="0"/>
        <w:spacing w:line="480" w:lineRule="auto"/>
        <w:rPr>
          <w:rFonts w:ascii="Arial" w:hAnsi="Arial" w:cs="Arial"/>
          <w:color w:val="000000" w:themeColor="text1"/>
          <w:sz w:val="22"/>
        </w:rPr>
      </w:pPr>
      <w:r>
        <w:rPr>
          <w:rFonts w:ascii="Arial" w:hAnsi="Arial" w:cs="Arial"/>
          <w:b/>
          <w:color w:val="000000" w:themeColor="text1"/>
          <w:sz w:val="22"/>
        </w:rPr>
        <w:t>b,</w:t>
      </w:r>
      <w:r w:rsidRPr="007F1028">
        <w:rPr>
          <w:rFonts w:ascii="Arial" w:hAnsi="Arial" w:cs="Arial"/>
          <w:color w:val="000000" w:themeColor="text1"/>
          <w:sz w:val="22"/>
        </w:rPr>
        <w:t xml:space="preserve"> </w:t>
      </w:r>
      <w:r w:rsidRPr="007F1028">
        <w:rPr>
          <w:rFonts w:ascii="Calibri" w:hAnsi="Calibri" w:cs="Calibri"/>
          <w:color w:val="000000" w:themeColor="text1"/>
          <w:sz w:val="22"/>
        </w:rPr>
        <w:t>﻿</w:t>
      </w:r>
      <w:r w:rsidRPr="007F1028">
        <w:rPr>
          <w:rFonts w:ascii="Arial" w:hAnsi="Arial" w:cs="Arial"/>
          <w:color w:val="000000" w:themeColor="text1"/>
          <w:sz w:val="22"/>
        </w:rPr>
        <w:t xml:space="preserve">Heatmaps of chromatin accessibility detected by CANTAC-seq and ATAC-seq (Bright et al., 2022) as well as ChIP-seq of H3K4me3 and H3K27me3 (Hontelez et al., 2015) at stage 9. </w:t>
      </w:r>
    </w:p>
    <w:p w14:paraId="14D19ACD" w14:textId="77777777" w:rsidR="00BD72F2" w:rsidRPr="007F1028" w:rsidRDefault="00BD72F2" w:rsidP="00BD72F2">
      <w:pPr>
        <w:widowControl/>
        <w:adjustRightInd w:val="0"/>
        <w:snapToGrid w:val="0"/>
        <w:spacing w:line="480" w:lineRule="auto"/>
        <w:rPr>
          <w:rFonts w:ascii="Arial" w:hAnsi="Arial" w:cs="Arial"/>
          <w:color w:val="000000" w:themeColor="text1"/>
          <w:sz w:val="22"/>
        </w:rPr>
      </w:pPr>
      <w:r>
        <w:rPr>
          <w:rFonts w:ascii="Arial" w:hAnsi="Arial" w:cs="Arial"/>
          <w:b/>
          <w:color w:val="000000" w:themeColor="text1"/>
          <w:sz w:val="22"/>
        </w:rPr>
        <w:t>c&amp;d,</w:t>
      </w:r>
      <w:r w:rsidRPr="007F1028">
        <w:rPr>
          <w:rFonts w:ascii="Arial" w:hAnsi="Arial" w:cs="Arial"/>
          <w:color w:val="000000" w:themeColor="text1"/>
          <w:sz w:val="22"/>
        </w:rPr>
        <w:t xml:space="preserve"> Gene ontology analysis and pathway analysis on genes that gain promoter accessibility at each stage using DAVID. </w:t>
      </w:r>
    </w:p>
    <w:p w14:paraId="482C54E2" w14:textId="77777777" w:rsidR="00BD72F2" w:rsidRPr="007F1028" w:rsidRDefault="00BD72F2" w:rsidP="00BD72F2">
      <w:pPr>
        <w:widowControl/>
        <w:adjustRightInd w:val="0"/>
        <w:snapToGrid w:val="0"/>
        <w:spacing w:line="480" w:lineRule="auto"/>
        <w:rPr>
          <w:rFonts w:ascii="Arial" w:hAnsi="Arial" w:cs="Arial"/>
          <w:color w:val="000000" w:themeColor="text1"/>
          <w:sz w:val="22"/>
        </w:rPr>
      </w:pPr>
    </w:p>
    <w:p w14:paraId="67C13498" w14:textId="77777777" w:rsidR="00BD72F2" w:rsidRPr="007F1028" w:rsidRDefault="00BD72F2" w:rsidP="00BD72F2">
      <w:pPr>
        <w:widowControl/>
        <w:adjustRightInd w:val="0"/>
        <w:snapToGrid w:val="0"/>
        <w:spacing w:line="480" w:lineRule="auto"/>
        <w:rPr>
          <w:rFonts w:ascii="Arial" w:hAnsi="Arial" w:cs="Arial"/>
          <w:b/>
          <w:bCs/>
          <w:color w:val="000000" w:themeColor="text1"/>
          <w:sz w:val="22"/>
        </w:rPr>
      </w:pPr>
      <w:r>
        <w:rPr>
          <w:rFonts w:ascii="Arial" w:hAnsi="Arial" w:cs="Arial" w:hint="eastAsia"/>
          <w:b/>
          <w:bCs/>
          <w:color w:val="000000" w:themeColor="text1"/>
          <w:sz w:val="22"/>
        </w:rPr>
        <w:t>Fig. S</w:t>
      </w:r>
      <w:r w:rsidRPr="007F1028">
        <w:rPr>
          <w:rFonts w:ascii="Arial" w:hAnsi="Arial" w:cs="Arial"/>
          <w:b/>
          <w:bCs/>
          <w:color w:val="000000" w:themeColor="text1"/>
          <w:sz w:val="22"/>
        </w:rPr>
        <w:t>3</w:t>
      </w:r>
      <w:r>
        <w:rPr>
          <w:rFonts w:ascii="Arial" w:hAnsi="Arial" w:cs="Arial"/>
          <w:b/>
          <w:bCs/>
          <w:color w:val="000000" w:themeColor="text1"/>
          <w:sz w:val="22"/>
        </w:rPr>
        <w:t xml:space="preserve">: </w:t>
      </w:r>
      <w:r w:rsidRPr="007F1028">
        <w:rPr>
          <w:rFonts w:ascii="Arial" w:hAnsi="Arial" w:cs="Arial"/>
          <w:b/>
          <w:bCs/>
          <w:color w:val="000000" w:themeColor="text1"/>
          <w:sz w:val="22"/>
        </w:rPr>
        <w:t>Gene expression and chromatin accessibility at the five developmental stages during ZGA</w:t>
      </w:r>
    </w:p>
    <w:p w14:paraId="7A0BAAE5" w14:textId="77777777" w:rsidR="00BD72F2" w:rsidRPr="007F1028" w:rsidRDefault="00BD72F2" w:rsidP="00BD72F2">
      <w:pPr>
        <w:widowControl/>
        <w:adjustRightInd w:val="0"/>
        <w:snapToGrid w:val="0"/>
        <w:spacing w:line="480" w:lineRule="auto"/>
        <w:rPr>
          <w:rFonts w:ascii="Arial" w:hAnsi="Arial" w:cs="Arial"/>
          <w:color w:val="000000" w:themeColor="text1"/>
          <w:sz w:val="22"/>
        </w:rPr>
      </w:pPr>
      <w:r>
        <w:rPr>
          <w:rFonts w:ascii="Arial" w:hAnsi="Arial" w:cs="Arial"/>
          <w:b/>
          <w:color w:val="000000" w:themeColor="text1"/>
          <w:sz w:val="22"/>
        </w:rPr>
        <w:t>a,</w:t>
      </w:r>
      <w:r w:rsidRPr="007F1028">
        <w:rPr>
          <w:rFonts w:ascii="Arial" w:hAnsi="Arial" w:cs="Arial"/>
          <w:color w:val="000000" w:themeColor="text1"/>
          <w:sz w:val="22"/>
        </w:rPr>
        <w:t xml:space="preserve"> </w:t>
      </w:r>
      <w:r w:rsidRPr="007F1028">
        <w:rPr>
          <w:rFonts w:ascii="Calibri" w:hAnsi="Calibri" w:cs="Calibri"/>
          <w:color w:val="000000" w:themeColor="text1"/>
          <w:sz w:val="22"/>
        </w:rPr>
        <w:t>﻿</w:t>
      </w:r>
      <w:r w:rsidRPr="007F1028">
        <w:rPr>
          <w:rFonts w:ascii="Arial" w:hAnsi="Arial" w:cs="Arial"/>
          <w:color w:val="000000" w:themeColor="text1"/>
          <w:sz w:val="22"/>
        </w:rPr>
        <w:t>Pearson correlation coefficient among transcriptome profiles of different developmental stages analyzed by RNA-seq.</w:t>
      </w:r>
    </w:p>
    <w:p w14:paraId="2CA800D0" w14:textId="77777777" w:rsidR="00BD72F2" w:rsidRPr="007F1028" w:rsidRDefault="00BD72F2" w:rsidP="00BD72F2">
      <w:pPr>
        <w:widowControl/>
        <w:adjustRightInd w:val="0"/>
        <w:snapToGrid w:val="0"/>
        <w:spacing w:line="480" w:lineRule="auto"/>
        <w:rPr>
          <w:rFonts w:ascii="Arial" w:hAnsi="Arial" w:cs="Arial"/>
          <w:bCs/>
          <w:color w:val="000000" w:themeColor="text1"/>
          <w:sz w:val="22"/>
        </w:rPr>
      </w:pPr>
      <w:r>
        <w:rPr>
          <w:rFonts w:ascii="Arial" w:hAnsi="Arial" w:cs="Arial"/>
          <w:b/>
          <w:color w:val="000000" w:themeColor="text1"/>
          <w:sz w:val="22"/>
        </w:rPr>
        <w:lastRenderedPageBreak/>
        <w:t>b,</w:t>
      </w:r>
      <w:r w:rsidRPr="007F1028">
        <w:rPr>
          <w:rFonts w:ascii="Arial" w:hAnsi="Arial" w:cs="Arial"/>
          <w:color w:val="000000" w:themeColor="text1"/>
          <w:sz w:val="22"/>
        </w:rPr>
        <w:t xml:space="preserve"> Principal component analysis (PCA) of transcriptome profiles (n=2 biological replicates) and chromatin accessibility profiles (n=2 biological replicates) observed at the five developmental stages. </w:t>
      </w:r>
      <w:r w:rsidRPr="007F1028">
        <w:rPr>
          <w:rFonts w:ascii="Arial" w:hAnsi="Arial" w:cs="Arial"/>
          <w:bCs/>
          <w:color w:val="000000" w:themeColor="text1"/>
          <w:sz w:val="22"/>
        </w:rPr>
        <w:t>A developmental trajectory was indicated with a dash line.</w:t>
      </w:r>
    </w:p>
    <w:p w14:paraId="4433FB83" w14:textId="77777777" w:rsidR="00BD72F2" w:rsidRPr="007F1028" w:rsidRDefault="00BD72F2" w:rsidP="00BD72F2">
      <w:pPr>
        <w:widowControl/>
        <w:adjustRightInd w:val="0"/>
        <w:snapToGrid w:val="0"/>
        <w:spacing w:line="480" w:lineRule="auto"/>
        <w:rPr>
          <w:rFonts w:ascii="Arial" w:hAnsi="Arial" w:cs="Arial"/>
          <w:color w:val="000000" w:themeColor="text1"/>
          <w:sz w:val="22"/>
        </w:rPr>
      </w:pPr>
      <w:r>
        <w:rPr>
          <w:rFonts w:ascii="Arial" w:hAnsi="Arial" w:cs="Arial"/>
          <w:b/>
          <w:color w:val="000000" w:themeColor="text1"/>
          <w:sz w:val="22"/>
        </w:rPr>
        <w:t>c,</w:t>
      </w:r>
      <w:r w:rsidRPr="007F1028">
        <w:rPr>
          <w:rFonts w:ascii="Arial" w:hAnsi="Arial" w:cs="Arial"/>
          <w:color w:val="000000" w:themeColor="text1"/>
          <w:sz w:val="22"/>
        </w:rPr>
        <w:t xml:space="preserve"> The bar plot illustrates the promoter accessibility (Log2 (CPM+1)) of </w:t>
      </w:r>
      <w:r w:rsidRPr="007F1028">
        <w:rPr>
          <w:rFonts w:ascii="Arial" w:hAnsi="Arial" w:cs="Arial"/>
          <w:bCs/>
          <w:color w:val="000000" w:themeColor="text1"/>
          <w:sz w:val="22"/>
        </w:rPr>
        <w:t>631 homologous zygotic transcripts</w:t>
      </w:r>
      <w:r w:rsidRPr="007F1028">
        <w:rPr>
          <w:rFonts w:ascii="Arial" w:hAnsi="Arial" w:cs="Arial"/>
          <w:color w:val="000000" w:themeColor="text1"/>
          <w:sz w:val="22"/>
        </w:rPr>
        <w:t xml:space="preserve"> induced at the MBT as well as the 78 well-known zygotic genes induced at the MBT.</w:t>
      </w:r>
    </w:p>
    <w:p w14:paraId="1944A32A" w14:textId="77777777" w:rsidR="00BD72F2" w:rsidRPr="007F1028" w:rsidRDefault="00BD72F2" w:rsidP="00BD72F2">
      <w:pPr>
        <w:widowControl/>
        <w:adjustRightInd w:val="0"/>
        <w:snapToGrid w:val="0"/>
        <w:spacing w:line="480" w:lineRule="auto"/>
        <w:rPr>
          <w:rFonts w:ascii="Arial" w:hAnsi="Arial" w:cs="Arial"/>
          <w:color w:val="000000" w:themeColor="text1"/>
          <w:sz w:val="22"/>
        </w:rPr>
      </w:pPr>
    </w:p>
    <w:p w14:paraId="79343C2D" w14:textId="77777777" w:rsidR="00BD72F2" w:rsidRPr="007F1028" w:rsidRDefault="00BD72F2" w:rsidP="00BD72F2">
      <w:pPr>
        <w:widowControl/>
        <w:adjustRightInd w:val="0"/>
        <w:snapToGrid w:val="0"/>
        <w:spacing w:line="480" w:lineRule="auto"/>
        <w:rPr>
          <w:rFonts w:ascii="Arial" w:hAnsi="Arial" w:cs="Arial"/>
          <w:b/>
          <w:bCs/>
          <w:color w:val="000000" w:themeColor="text1"/>
          <w:sz w:val="22"/>
        </w:rPr>
      </w:pPr>
      <w:r>
        <w:rPr>
          <w:rFonts w:ascii="Arial" w:hAnsi="Arial" w:cs="Arial"/>
          <w:b/>
          <w:bCs/>
          <w:color w:val="000000" w:themeColor="text1"/>
          <w:sz w:val="22"/>
        </w:rPr>
        <w:t>Fig. S</w:t>
      </w:r>
      <w:r w:rsidRPr="007F1028">
        <w:rPr>
          <w:rFonts w:ascii="Arial" w:hAnsi="Arial" w:cs="Arial"/>
          <w:b/>
          <w:bCs/>
          <w:color w:val="000000" w:themeColor="text1"/>
          <w:sz w:val="22"/>
        </w:rPr>
        <w:t>4</w:t>
      </w:r>
      <w:r>
        <w:rPr>
          <w:rFonts w:ascii="Arial" w:hAnsi="Arial" w:cs="Arial"/>
          <w:b/>
          <w:bCs/>
          <w:color w:val="000000" w:themeColor="text1"/>
          <w:sz w:val="22"/>
        </w:rPr>
        <w:t>:</w:t>
      </w:r>
      <w:r w:rsidRPr="007F1028">
        <w:rPr>
          <w:rFonts w:ascii="Arial" w:hAnsi="Arial" w:cs="Arial"/>
          <w:b/>
          <w:bCs/>
          <w:color w:val="000000" w:themeColor="text1"/>
          <w:sz w:val="22"/>
        </w:rPr>
        <w:t xml:space="preserve"> The impact of E2f1 on zygotic gene transcription</w:t>
      </w:r>
    </w:p>
    <w:p w14:paraId="63F573D8" w14:textId="77777777" w:rsidR="00BD72F2" w:rsidRDefault="00BD72F2" w:rsidP="00BD72F2">
      <w:pPr>
        <w:widowControl/>
        <w:adjustRightInd w:val="0"/>
        <w:snapToGrid w:val="0"/>
        <w:spacing w:line="480" w:lineRule="auto"/>
        <w:rPr>
          <w:rFonts w:ascii="Arial" w:hAnsi="Arial" w:cs="Arial"/>
          <w:color w:val="000000" w:themeColor="text1"/>
          <w:sz w:val="22"/>
        </w:rPr>
      </w:pPr>
      <w:r>
        <w:rPr>
          <w:rFonts w:ascii="Arial" w:hAnsi="Arial" w:cs="Arial"/>
          <w:b/>
          <w:bCs/>
          <w:color w:val="000000" w:themeColor="text1"/>
          <w:sz w:val="22"/>
        </w:rPr>
        <w:t>a,</w:t>
      </w:r>
      <w:r w:rsidRPr="007F1028">
        <w:rPr>
          <w:rFonts w:ascii="Arial" w:hAnsi="Arial" w:cs="Arial"/>
          <w:color w:val="000000" w:themeColor="text1"/>
          <w:sz w:val="22"/>
        </w:rPr>
        <w:t xml:space="preserve"> Temporal expression pattern of the e2f family genes during the early development of </w:t>
      </w:r>
      <w:r w:rsidRPr="007F1028">
        <w:rPr>
          <w:rFonts w:ascii="Arial" w:hAnsi="Arial" w:cs="Arial"/>
          <w:i/>
          <w:color w:val="000000" w:themeColor="text1"/>
          <w:sz w:val="22"/>
        </w:rPr>
        <w:t>X. tropicalis</w:t>
      </w:r>
      <w:r w:rsidRPr="007F1028">
        <w:rPr>
          <w:rFonts w:ascii="Arial" w:hAnsi="Arial" w:cs="Arial"/>
          <w:color w:val="000000" w:themeColor="text1"/>
          <w:sz w:val="22"/>
        </w:rPr>
        <w:t xml:space="preserve"> estimated based on the RNA-seq dataset.</w:t>
      </w:r>
    </w:p>
    <w:p w14:paraId="5A6A1C14" w14:textId="77777777" w:rsidR="00BD72F2" w:rsidRPr="007F1028" w:rsidRDefault="00BD72F2" w:rsidP="00BD72F2">
      <w:pPr>
        <w:widowControl/>
        <w:adjustRightInd w:val="0"/>
        <w:snapToGrid w:val="0"/>
        <w:spacing w:line="480" w:lineRule="auto"/>
        <w:rPr>
          <w:rFonts w:ascii="Arial" w:hAnsi="Arial" w:cs="Arial"/>
          <w:color w:val="000000" w:themeColor="text1"/>
          <w:sz w:val="22"/>
        </w:rPr>
      </w:pPr>
      <w:r>
        <w:rPr>
          <w:rFonts w:ascii="Arial" w:hAnsi="Arial" w:cs="Arial"/>
          <w:b/>
          <w:bCs/>
          <w:color w:val="000000" w:themeColor="text1"/>
          <w:sz w:val="22"/>
        </w:rPr>
        <w:t>b,</w:t>
      </w:r>
      <w:r w:rsidRPr="007F1028">
        <w:rPr>
          <w:rFonts w:ascii="Arial" w:hAnsi="Arial" w:cs="Arial"/>
          <w:b/>
          <w:bCs/>
          <w:color w:val="000000" w:themeColor="text1"/>
          <w:sz w:val="22"/>
        </w:rPr>
        <w:t xml:space="preserve"> </w:t>
      </w:r>
      <w:r w:rsidRPr="007F1028">
        <w:rPr>
          <w:rFonts w:ascii="Arial" w:hAnsi="Arial" w:cs="Arial"/>
          <w:color w:val="000000" w:themeColor="text1"/>
          <w:sz w:val="22"/>
        </w:rPr>
        <w:t xml:space="preserve">Quantification of genomic DNA amounts in wild-type (WT), E2f3 </w:t>
      </w:r>
      <w:r w:rsidRPr="007F1028">
        <w:rPr>
          <w:rFonts w:ascii="Arial" w:hAnsi="Arial" w:cs="Arial"/>
          <w:bCs/>
          <w:color w:val="000000" w:themeColor="text1"/>
          <w:sz w:val="22"/>
        </w:rPr>
        <w:t>MO</w:t>
      </w:r>
      <w:r w:rsidRPr="007F1028">
        <w:rPr>
          <w:rFonts w:ascii="Arial" w:hAnsi="Arial" w:cs="Arial"/>
          <w:color w:val="000000" w:themeColor="text1"/>
          <w:sz w:val="22"/>
        </w:rPr>
        <w:t xml:space="preserve"> and E2f5 </w:t>
      </w:r>
      <w:r w:rsidRPr="007F1028">
        <w:rPr>
          <w:rFonts w:ascii="Arial" w:hAnsi="Arial" w:cs="Arial"/>
          <w:bCs/>
          <w:color w:val="000000" w:themeColor="text1"/>
          <w:sz w:val="22"/>
        </w:rPr>
        <w:t>MO</w:t>
      </w:r>
      <w:r w:rsidRPr="007F1028">
        <w:rPr>
          <w:rFonts w:ascii="Arial" w:hAnsi="Arial" w:cs="Arial"/>
          <w:color w:val="000000" w:themeColor="text1"/>
          <w:sz w:val="22"/>
        </w:rPr>
        <w:t xml:space="preserve"> embryos at different developmental stages. Error bars, mean ± SD, n=6 biological replicates. Statistical significance was determined using a two-sided student t-test (n.s.: not significant). </w:t>
      </w:r>
    </w:p>
    <w:p w14:paraId="33C419B6" w14:textId="77777777" w:rsidR="00BD72F2" w:rsidRPr="007F1028" w:rsidRDefault="00BD72F2" w:rsidP="00BD72F2">
      <w:pPr>
        <w:widowControl/>
        <w:adjustRightInd w:val="0"/>
        <w:snapToGrid w:val="0"/>
        <w:spacing w:line="480" w:lineRule="auto"/>
        <w:rPr>
          <w:rFonts w:ascii="Arial" w:hAnsi="Arial" w:cs="Arial"/>
          <w:color w:val="000000" w:themeColor="text1"/>
          <w:sz w:val="22"/>
        </w:rPr>
      </w:pPr>
      <w:r>
        <w:rPr>
          <w:rFonts w:ascii="Arial" w:hAnsi="Arial" w:cs="Arial"/>
          <w:b/>
          <w:bCs/>
          <w:color w:val="000000" w:themeColor="text1"/>
          <w:sz w:val="22"/>
        </w:rPr>
        <w:t>c,</w:t>
      </w:r>
      <w:r w:rsidRPr="007F1028">
        <w:rPr>
          <w:rFonts w:ascii="Arial" w:hAnsi="Arial" w:cs="Arial"/>
          <w:b/>
          <w:bCs/>
          <w:color w:val="000000" w:themeColor="text1"/>
          <w:sz w:val="22"/>
        </w:rPr>
        <w:t xml:space="preserve"> </w:t>
      </w:r>
      <w:r w:rsidRPr="007F1028">
        <w:rPr>
          <w:rFonts w:ascii="Arial" w:hAnsi="Arial" w:cs="Arial"/>
          <w:bCs/>
          <w:color w:val="000000" w:themeColor="text1"/>
          <w:sz w:val="22"/>
        </w:rPr>
        <w:t>Images taken from a time-lapse video (Video S1) of embryos injected with E2</w:t>
      </w:r>
      <w:r w:rsidRPr="007F1028">
        <w:rPr>
          <w:rFonts w:ascii="Arial" w:hAnsi="Arial" w:cs="Arial" w:hint="eastAsia"/>
          <w:bCs/>
          <w:color w:val="000000" w:themeColor="text1"/>
          <w:sz w:val="22"/>
        </w:rPr>
        <w:t>f</w:t>
      </w:r>
      <w:r w:rsidRPr="007F1028">
        <w:rPr>
          <w:rFonts w:ascii="Arial" w:hAnsi="Arial" w:cs="Arial"/>
          <w:bCs/>
          <w:color w:val="000000" w:themeColor="text1"/>
          <w:sz w:val="22"/>
        </w:rPr>
        <w:t>1 MO at the one-cell stage and uninjected WT embryos.</w:t>
      </w:r>
    </w:p>
    <w:p w14:paraId="051B2AEB" w14:textId="77777777" w:rsidR="00BD72F2" w:rsidRPr="007F1028" w:rsidRDefault="00BD72F2" w:rsidP="00BD72F2">
      <w:pPr>
        <w:widowControl/>
        <w:adjustRightInd w:val="0"/>
        <w:snapToGrid w:val="0"/>
        <w:spacing w:line="480" w:lineRule="auto"/>
        <w:rPr>
          <w:rFonts w:ascii="Arial" w:hAnsi="Arial" w:cs="Arial"/>
          <w:bCs/>
          <w:color w:val="000000" w:themeColor="text1"/>
          <w:sz w:val="22"/>
        </w:rPr>
      </w:pPr>
      <w:r>
        <w:rPr>
          <w:rFonts w:ascii="Arial" w:hAnsi="Arial" w:cs="Arial"/>
          <w:b/>
          <w:bCs/>
          <w:color w:val="000000" w:themeColor="text1"/>
          <w:sz w:val="22"/>
        </w:rPr>
        <w:t>d,</w:t>
      </w:r>
      <w:r w:rsidRPr="007F1028">
        <w:rPr>
          <w:rFonts w:ascii="Arial" w:hAnsi="Arial" w:cs="Arial"/>
          <w:bCs/>
          <w:color w:val="000000" w:themeColor="text1"/>
          <w:sz w:val="22"/>
        </w:rPr>
        <w:t xml:space="preserve"> The MA plots comparing </w:t>
      </w:r>
      <w:r w:rsidRPr="007F1028">
        <w:rPr>
          <w:rFonts w:ascii="Arial" w:hAnsi="Arial" w:cs="Arial"/>
          <w:color w:val="000000" w:themeColor="text1"/>
          <w:sz w:val="22"/>
        </w:rPr>
        <w:t>RNA-seq data (n=2 biological replicates)</w:t>
      </w:r>
      <w:r w:rsidRPr="007F1028">
        <w:rPr>
          <w:rFonts w:ascii="Arial" w:hAnsi="Arial" w:cs="Arial"/>
          <w:bCs/>
          <w:color w:val="000000" w:themeColor="text1"/>
          <w:sz w:val="22"/>
        </w:rPr>
        <w:t xml:space="preserve"> of E2f1 MO embryos and uninjected WT embryos at six different developmental stages. The x-axis and y-axis represent Log</w:t>
      </w:r>
      <w:r w:rsidRPr="007F1028">
        <w:rPr>
          <w:rFonts w:ascii="Arial" w:hAnsi="Arial" w:cs="Arial"/>
          <w:bCs/>
          <w:color w:val="000000" w:themeColor="text1"/>
          <w:sz w:val="22"/>
          <w:vertAlign w:val="subscript"/>
        </w:rPr>
        <w:t>2</w:t>
      </w:r>
      <w:r w:rsidRPr="007F1028">
        <w:rPr>
          <w:rFonts w:ascii="Arial" w:hAnsi="Arial" w:cs="Arial"/>
          <w:bCs/>
          <w:color w:val="000000" w:themeColor="text1"/>
          <w:sz w:val="22"/>
        </w:rPr>
        <w:t xml:space="preserve"> (mean read counts) and Log</w:t>
      </w:r>
      <w:r w:rsidRPr="007F1028">
        <w:rPr>
          <w:rFonts w:ascii="Arial" w:hAnsi="Arial" w:cs="Arial"/>
          <w:bCs/>
          <w:color w:val="000000" w:themeColor="text1"/>
          <w:sz w:val="22"/>
          <w:vertAlign w:val="subscript"/>
        </w:rPr>
        <w:t>2</w:t>
      </w:r>
      <w:r w:rsidRPr="007F1028">
        <w:rPr>
          <w:rFonts w:ascii="Arial" w:hAnsi="Arial" w:cs="Arial"/>
          <w:bCs/>
          <w:color w:val="000000" w:themeColor="text1"/>
          <w:sz w:val="22"/>
        </w:rPr>
        <w:t xml:space="preserve"> (fold change), respectively. Red dots represent up-regulated genes, whereas blue dots represent down-regulated genes. The number of up- and down-regulated genes was indicated.</w:t>
      </w:r>
    </w:p>
    <w:p w14:paraId="7E4A3E00" w14:textId="77777777" w:rsidR="00BD72F2" w:rsidRPr="007F1028" w:rsidRDefault="00BD72F2" w:rsidP="00BD72F2">
      <w:pPr>
        <w:widowControl/>
        <w:adjustRightInd w:val="0"/>
        <w:snapToGrid w:val="0"/>
        <w:spacing w:line="480" w:lineRule="auto"/>
        <w:rPr>
          <w:rFonts w:ascii="Arial" w:hAnsi="Arial" w:cs="Arial"/>
          <w:color w:val="000000" w:themeColor="text1"/>
          <w:sz w:val="22"/>
        </w:rPr>
      </w:pPr>
      <w:r>
        <w:rPr>
          <w:rFonts w:ascii="Arial" w:hAnsi="Arial" w:cs="Arial"/>
          <w:b/>
          <w:bCs/>
          <w:color w:val="000000" w:themeColor="text1"/>
          <w:sz w:val="22"/>
        </w:rPr>
        <w:t>e,</w:t>
      </w:r>
      <w:r w:rsidRPr="007F1028">
        <w:rPr>
          <w:rFonts w:ascii="Arial" w:hAnsi="Arial" w:cs="Arial"/>
          <w:color w:val="000000" w:themeColor="text1"/>
          <w:sz w:val="22"/>
        </w:rPr>
        <w:t xml:space="preserve"> Gene ontology enrichment analysis of up- and down-regulated genes upon E2f1 </w:t>
      </w:r>
      <w:r w:rsidRPr="007F1028">
        <w:rPr>
          <w:rFonts w:ascii="Arial" w:hAnsi="Arial" w:cs="Arial"/>
          <w:bCs/>
          <w:color w:val="000000" w:themeColor="text1"/>
          <w:sz w:val="22"/>
        </w:rPr>
        <w:t>MO</w:t>
      </w:r>
      <w:r w:rsidRPr="007F1028">
        <w:rPr>
          <w:rFonts w:ascii="Arial" w:hAnsi="Arial" w:cs="Arial"/>
          <w:color w:val="000000" w:themeColor="text1"/>
          <w:sz w:val="22"/>
        </w:rPr>
        <w:t xml:space="preserve"> at stage 7 using DAVID. The enriched GO terms are ranked by –Log10 (adjusted p value).</w:t>
      </w:r>
    </w:p>
    <w:p w14:paraId="013994E4" w14:textId="77777777" w:rsidR="00BD72F2" w:rsidRPr="007F1028" w:rsidRDefault="00BD72F2" w:rsidP="00BD72F2">
      <w:pPr>
        <w:widowControl/>
        <w:adjustRightInd w:val="0"/>
        <w:snapToGrid w:val="0"/>
        <w:spacing w:line="480" w:lineRule="auto"/>
        <w:rPr>
          <w:rFonts w:ascii="Arial" w:hAnsi="Arial" w:cs="Arial"/>
          <w:bCs/>
          <w:color w:val="000000" w:themeColor="text1"/>
          <w:sz w:val="22"/>
        </w:rPr>
      </w:pPr>
      <w:r>
        <w:rPr>
          <w:rFonts w:ascii="Arial" w:hAnsi="Arial" w:cs="Arial"/>
          <w:b/>
          <w:color w:val="000000" w:themeColor="text1"/>
          <w:sz w:val="22"/>
        </w:rPr>
        <w:t>f,</w:t>
      </w:r>
      <w:r w:rsidRPr="007F1028">
        <w:rPr>
          <w:rFonts w:ascii="Arial" w:hAnsi="Arial" w:cs="Arial"/>
          <w:color w:val="000000" w:themeColor="text1"/>
          <w:sz w:val="22"/>
        </w:rPr>
        <w:t xml:space="preserve"> </w:t>
      </w:r>
      <w:r w:rsidRPr="007F1028">
        <w:rPr>
          <w:rFonts w:ascii="Arial" w:hAnsi="Arial" w:cs="Arial"/>
          <w:bCs/>
          <w:color w:val="000000" w:themeColor="text1"/>
          <w:sz w:val="22"/>
        </w:rPr>
        <w:t xml:space="preserve">The MA plots comparing </w:t>
      </w:r>
      <w:r w:rsidRPr="007F1028">
        <w:rPr>
          <w:rFonts w:ascii="Arial" w:hAnsi="Arial" w:cs="Arial"/>
          <w:color w:val="000000" w:themeColor="text1"/>
          <w:sz w:val="22"/>
        </w:rPr>
        <w:t>RNA-seq data (n=2 biological replicates)</w:t>
      </w:r>
      <w:r w:rsidRPr="007F1028">
        <w:rPr>
          <w:rFonts w:ascii="Arial" w:hAnsi="Arial" w:cs="Arial"/>
          <w:bCs/>
          <w:color w:val="000000" w:themeColor="text1"/>
          <w:sz w:val="22"/>
        </w:rPr>
        <w:t xml:space="preserve"> of rescue embryos injected with E2f1 MO and mRNA, and uninjected WT embryos at stage 7 and 8. The x-axis and y-axis represent Log</w:t>
      </w:r>
      <w:r w:rsidRPr="007F1028">
        <w:rPr>
          <w:rFonts w:ascii="Arial" w:hAnsi="Arial" w:cs="Arial"/>
          <w:bCs/>
          <w:color w:val="000000" w:themeColor="text1"/>
          <w:sz w:val="22"/>
          <w:vertAlign w:val="subscript"/>
        </w:rPr>
        <w:t>2</w:t>
      </w:r>
      <w:r w:rsidRPr="007F1028">
        <w:rPr>
          <w:rFonts w:ascii="Arial" w:hAnsi="Arial" w:cs="Arial"/>
          <w:bCs/>
          <w:color w:val="000000" w:themeColor="text1"/>
          <w:sz w:val="22"/>
        </w:rPr>
        <w:t xml:space="preserve"> (mean read counts) and Log</w:t>
      </w:r>
      <w:r w:rsidRPr="007F1028">
        <w:rPr>
          <w:rFonts w:ascii="Arial" w:hAnsi="Arial" w:cs="Arial"/>
          <w:bCs/>
          <w:color w:val="000000" w:themeColor="text1"/>
          <w:sz w:val="22"/>
          <w:vertAlign w:val="subscript"/>
        </w:rPr>
        <w:t>2</w:t>
      </w:r>
      <w:r w:rsidRPr="007F1028">
        <w:rPr>
          <w:rFonts w:ascii="Arial" w:hAnsi="Arial" w:cs="Arial"/>
          <w:bCs/>
          <w:color w:val="000000" w:themeColor="text1"/>
          <w:sz w:val="22"/>
        </w:rPr>
        <w:t xml:space="preserve"> (fold change), </w:t>
      </w:r>
      <w:r w:rsidRPr="007F1028">
        <w:rPr>
          <w:rFonts w:ascii="Arial" w:hAnsi="Arial" w:cs="Arial"/>
          <w:bCs/>
          <w:color w:val="000000" w:themeColor="text1"/>
          <w:sz w:val="22"/>
        </w:rPr>
        <w:lastRenderedPageBreak/>
        <w:t>respectively. Red dots represent up-regulated genes, whereas blue dots represent down-regulated genes. The number of up- and down-regulated genes was indicated.</w:t>
      </w:r>
    </w:p>
    <w:p w14:paraId="1911B14B" w14:textId="77777777" w:rsidR="00BD72F2" w:rsidRPr="007F1028" w:rsidRDefault="00BD72F2" w:rsidP="00BD72F2">
      <w:pPr>
        <w:widowControl/>
        <w:adjustRightInd w:val="0"/>
        <w:snapToGrid w:val="0"/>
        <w:spacing w:line="480" w:lineRule="auto"/>
        <w:rPr>
          <w:rFonts w:ascii="Arial" w:hAnsi="Arial" w:cs="Arial"/>
          <w:color w:val="000000" w:themeColor="text1"/>
          <w:sz w:val="22"/>
        </w:rPr>
      </w:pPr>
      <w:r>
        <w:rPr>
          <w:rFonts w:ascii="Arial" w:hAnsi="Arial" w:cs="Arial"/>
          <w:b/>
          <w:bCs/>
          <w:color w:val="000000" w:themeColor="text1"/>
          <w:sz w:val="22"/>
        </w:rPr>
        <w:t>g,</w:t>
      </w:r>
      <w:r w:rsidRPr="007F1028">
        <w:rPr>
          <w:rFonts w:ascii="Arial" w:hAnsi="Arial" w:cs="Arial"/>
          <w:color w:val="000000" w:themeColor="text1"/>
          <w:sz w:val="22"/>
        </w:rPr>
        <w:t xml:space="preserve"> Heatmaps of TF DNA binding </w:t>
      </w:r>
      <w:r w:rsidRPr="007F1028">
        <w:rPr>
          <w:rFonts w:ascii="Arial" w:hAnsi="Arial" w:cs="Arial" w:hint="eastAsia"/>
          <w:color w:val="000000" w:themeColor="text1"/>
          <w:sz w:val="22"/>
        </w:rPr>
        <w:t>sequence</w:t>
      </w:r>
      <w:r w:rsidRPr="007F1028">
        <w:rPr>
          <w:rFonts w:ascii="Arial" w:hAnsi="Arial" w:cs="Arial"/>
          <w:color w:val="000000" w:themeColor="text1"/>
          <w:sz w:val="22"/>
        </w:rPr>
        <w:t xml:space="preserve"> motifs identified from gained proximal and distal CANTAC-seq peaks upon E2f1 </w:t>
      </w:r>
      <w:r w:rsidRPr="007F1028">
        <w:rPr>
          <w:rFonts w:ascii="Arial" w:hAnsi="Arial" w:cs="Arial"/>
          <w:bCs/>
          <w:color w:val="000000" w:themeColor="text1"/>
          <w:sz w:val="22"/>
        </w:rPr>
        <w:t>MO</w:t>
      </w:r>
      <w:r w:rsidRPr="007F1028">
        <w:rPr>
          <w:rFonts w:ascii="Arial" w:hAnsi="Arial" w:cs="Arial"/>
          <w:color w:val="000000" w:themeColor="text1"/>
          <w:sz w:val="22"/>
        </w:rPr>
        <w:t xml:space="preserve"> at stage 7. Motif activity (-Log</w:t>
      </w:r>
      <w:r w:rsidRPr="007F1028">
        <w:rPr>
          <w:rFonts w:ascii="Arial" w:hAnsi="Arial" w:cs="Arial"/>
          <w:color w:val="000000" w:themeColor="text1"/>
          <w:sz w:val="22"/>
          <w:vertAlign w:val="subscript"/>
        </w:rPr>
        <w:t>10</w:t>
      </w:r>
      <w:r w:rsidRPr="007F1028">
        <w:rPr>
          <w:rFonts w:ascii="Arial" w:hAnsi="Arial" w:cs="Arial"/>
          <w:color w:val="000000" w:themeColor="text1"/>
          <w:sz w:val="22"/>
        </w:rPr>
        <w:t xml:space="preserve"> P value) and TF expression (Log</w:t>
      </w:r>
      <w:r w:rsidRPr="007F1028">
        <w:rPr>
          <w:rFonts w:ascii="Arial" w:hAnsi="Arial" w:cs="Arial"/>
          <w:color w:val="000000" w:themeColor="text1"/>
          <w:sz w:val="22"/>
          <w:vertAlign w:val="subscript"/>
        </w:rPr>
        <w:t>2</w:t>
      </w:r>
      <w:r w:rsidRPr="007F1028">
        <w:rPr>
          <w:rFonts w:ascii="Arial" w:hAnsi="Arial" w:cs="Arial"/>
          <w:color w:val="000000" w:themeColor="text1"/>
          <w:sz w:val="22"/>
        </w:rPr>
        <w:t xml:space="preserve"> (TPM+1)) are indicated by size and color</w:t>
      </w:r>
      <w:r w:rsidRPr="007F1028" w:rsidDel="00C713F7">
        <w:rPr>
          <w:rFonts w:ascii="Arial" w:hAnsi="Arial" w:cs="Arial"/>
          <w:color w:val="000000" w:themeColor="text1"/>
          <w:sz w:val="22"/>
        </w:rPr>
        <w:t xml:space="preserve"> </w:t>
      </w:r>
      <w:r w:rsidRPr="007F1028">
        <w:rPr>
          <w:rFonts w:ascii="Arial" w:hAnsi="Arial" w:cs="Arial"/>
          <w:color w:val="000000" w:themeColor="text1"/>
          <w:sz w:val="22"/>
        </w:rPr>
        <w:t>of dot, respectively.</w:t>
      </w:r>
    </w:p>
    <w:p w14:paraId="56CB4225" w14:textId="77777777" w:rsidR="00BD72F2" w:rsidRPr="007F1028" w:rsidRDefault="00BD72F2" w:rsidP="00BD72F2">
      <w:pPr>
        <w:widowControl/>
        <w:adjustRightInd w:val="0"/>
        <w:snapToGrid w:val="0"/>
        <w:spacing w:line="480" w:lineRule="auto"/>
        <w:rPr>
          <w:rFonts w:ascii="Arial" w:hAnsi="Arial" w:cs="Arial"/>
          <w:color w:val="000000" w:themeColor="text1"/>
          <w:sz w:val="22"/>
        </w:rPr>
      </w:pPr>
    </w:p>
    <w:p w14:paraId="4EB557C0" w14:textId="77777777" w:rsidR="00BD72F2" w:rsidRPr="007F1028" w:rsidRDefault="00BD72F2" w:rsidP="00BD72F2">
      <w:pPr>
        <w:widowControl/>
        <w:adjustRightInd w:val="0"/>
        <w:snapToGrid w:val="0"/>
        <w:spacing w:line="480" w:lineRule="auto"/>
        <w:rPr>
          <w:rFonts w:ascii="Arial" w:hAnsi="Arial" w:cs="Arial"/>
          <w:b/>
          <w:bCs/>
          <w:color w:val="000000" w:themeColor="text1"/>
          <w:sz w:val="22"/>
        </w:rPr>
      </w:pPr>
      <w:r>
        <w:rPr>
          <w:rFonts w:ascii="Arial" w:hAnsi="Arial" w:cs="Arial" w:hint="eastAsia"/>
          <w:b/>
          <w:bCs/>
          <w:color w:val="000000" w:themeColor="text1"/>
          <w:sz w:val="22"/>
        </w:rPr>
        <w:t>Fig. S</w:t>
      </w:r>
      <w:r w:rsidRPr="007F1028">
        <w:rPr>
          <w:rFonts w:ascii="Arial" w:hAnsi="Arial" w:cs="Arial"/>
          <w:b/>
          <w:bCs/>
          <w:color w:val="000000" w:themeColor="text1"/>
          <w:sz w:val="22"/>
        </w:rPr>
        <w:t>5</w:t>
      </w:r>
      <w:r>
        <w:rPr>
          <w:rFonts w:ascii="Arial" w:hAnsi="Arial" w:cs="Arial"/>
          <w:b/>
          <w:bCs/>
          <w:color w:val="000000" w:themeColor="text1"/>
          <w:sz w:val="22"/>
        </w:rPr>
        <w:t xml:space="preserve">: </w:t>
      </w:r>
      <w:r w:rsidRPr="007F1028">
        <w:rPr>
          <w:rFonts w:ascii="Arial" w:hAnsi="Arial" w:cs="Arial"/>
          <w:b/>
          <w:bCs/>
          <w:color w:val="000000" w:themeColor="text1"/>
          <w:sz w:val="22"/>
        </w:rPr>
        <w:t xml:space="preserve">Zygotic gene transcription and cell cycle progression independently regulated by E2f1 </w:t>
      </w:r>
    </w:p>
    <w:p w14:paraId="1DF43BDD" w14:textId="77777777" w:rsidR="00BD72F2" w:rsidRPr="007F1028" w:rsidRDefault="00BD72F2" w:rsidP="00BD72F2">
      <w:pPr>
        <w:widowControl/>
        <w:adjustRightInd w:val="0"/>
        <w:snapToGrid w:val="0"/>
        <w:spacing w:line="480" w:lineRule="auto"/>
        <w:rPr>
          <w:rFonts w:ascii="Arial" w:hAnsi="Arial" w:cs="Arial"/>
          <w:bCs/>
          <w:color w:val="000000" w:themeColor="text1"/>
          <w:sz w:val="22"/>
        </w:rPr>
      </w:pPr>
      <w:r>
        <w:rPr>
          <w:rFonts w:ascii="Arial" w:hAnsi="Arial" w:cs="Arial"/>
          <w:b/>
          <w:bCs/>
          <w:color w:val="000000" w:themeColor="text1"/>
          <w:sz w:val="22"/>
        </w:rPr>
        <w:t>a,</w:t>
      </w:r>
      <w:r w:rsidRPr="007F1028">
        <w:rPr>
          <w:rFonts w:ascii="Arial" w:hAnsi="Arial" w:cs="Arial"/>
          <w:color w:val="000000" w:themeColor="text1"/>
          <w:sz w:val="22"/>
        </w:rPr>
        <w:t xml:space="preserve"> Relative mRNA expression of </w:t>
      </w:r>
      <w:r w:rsidRPr="007F1028">
        <w:rPr>
          <w:rFonts w:ascii="Arial" w:hAnsi="Arial" w:cs="Arial"/>
          <w:i/>
          <w:color w:val="000000" w:themeColor="text1"/>
          <w:sz w:val="22"/>
        </w:rPr>
        <w:t>cdkn1a</w:t>
      </w:r>
      <w:r w:rsidRPr="007F1028">
        <w:rPr>
          <w:rFonts w:ascii="Arial" w:hAnsi="Arial" w:cs="Arial"/>
          <w:color w:val="000000" w:themeColor="text1"/>
          <w:sz w:val="22"/>
        </w:rPr>
        <w:t xml:space="preserve"> in uninjected WT embryos, E2f1 MO embryos (MO), embryos injected with Cdkn1a m</w:t>
      </w:r>
      <w:r w:rsidRPr="007F1028">
        <w:rPr>
          <w:rFonts w:ascii="Arial" w:hAnsi="Arial" w:cs="Arial" w:hint="eastAsia"/>
          <w:color w:val="000000" w:themeColor="text1"/>
          <w:sz w:val="22"/>
        </w:rPr>
        <w:t>RNA</w:t>
      </w:r>
      <w:r w:rsidRPr="007F1028">
        <w:rPr>
          <w:rFonts w:ascii="Arial" w:hAnsi="Arial" w:cs="Arial"/>
          <w:color w:val="000000" w:themeColor="text1"/>
          <w:sz w:val="22"/>
        </w:rPr>
        <w:t xml:space="preserve"> (Cdkn1a) as well as embryos injected with both E2f1 MO and Cdkn1a mRNA (MO+ Cdkn1a) at stage 7 and 8. Expression was analyzed by RT-qPCR and normalized to </w:t>
      </w:r>
      <w:r w:rsidRPr="007F1028">
        <w:rPr>
          <w:rFonts w:ascii="Arial" w:hAnsi="Arial" w:cs="Arial"/>
          <w:i/>
          <w:color w:val="000000" w:themeColor="text1"/>
          <w:sz w:val="22"/>
        </w:rPr>
        <w:t>odc</w:t>
      </w:r>
      <w:r w:rsidRPr="007F1028">
        <w:rPr>
          <w:rFonts w:ascii="Arial" w:hAnsi="Arial" w:cs="Arial"/>
          <w:color w:val="000000" w:themeColor="text1"/>
          <w:sz w:val="22"/>
        </w:rPr>
        <w:t>. Error bars, mean ± SD, n=4 biological replicates.</w:t>
      </w:r>
    </w:p>
    <w:p w14:paraId="3DA96254" w14:textId="77777777" w:rsidR="00BD72F2" w:rsidRPr="007F1028" w:rsidRDefault="00BD72F2" w:rsidP="00BD72F2">
      <w:pPr>
        <w:widowControl/>
        <w:adjustRightInd w:val="0"/>
        <w:snapToGrid w:val="0"/>
        <w:spacing w:line="480" w:lineRule="auto"/>
        <w:rPr>
          <w:rFonts w:ascii="Arial" w:hAnsi="Arial" w:cs="Arial"/>
          <w:color w:val="000000" w:themeColor="text1"/>
          <w:sz w:val="22"/>
        </w:rPr>
      </w:pPr>
      <w:r>
        <w:rPr>
          <w:rFonts w:ascii="Arial" w:hAnsi="Arial" w:cs="Arial"/>
          <w:b/>
          <w:bCs/>
          <w:color w:val="000000" w:themeColor="text1"/>
          <w:sz w:val="22"/>
        </w:rPr>
        <w:t>b,</w:t>
      </w:r>
      <w:r w:rsidRPr="007F1028">
        <w:rPr>
          <w:rFonts w:ascii="Arial" w:hAnsi="Arial" w:cs="Arial"/>
          <w:b/>
          <w:bCs/>
          <w:color w:val="000000" w:themeColor="text1"/>
          <w:sz w:val="22"/>
        </w:rPr>
        <w:t xml:space="preserve"> </w:t>
      </w:r>
      <w:r w:rsidRPr="007F1028">
        <w:rPr>
          <w:rFonts w:ascii="Arial" w:hAnsi="Arial" w:cs="Arial"/>
          <w:color w:val="000000" w:themeColor="text1"/>
          <w:sz w:val="22"/>
        </w:rPr>
        <w:t>Representative bright field images of uninjected WT embryos, E2f1 MO embryos (MO), embryos injected with Cdkn1a m</w:t>
      </w:r>
      <w:r w:rsidRPr="007F1028">
        <w:rPr>
          <w:rFonts w:ascii="Arial" w:hAnsi="Arial" w:cs="Arial" w:hint="eastAsia"/>
          <w:color w:val="000000" w:themeColor="text1"/>
          <w:sz w:val="22"/>
        </w:rPr>
        <w:t>RNA</w:t>
      </w:r>
      <w:r w:rsidRPr="007F1028">
        <w:rPr>
          <w:rFonts w:ascii="Arial" w:hAnsi="Arial" w:cs="Arial"/>
          <w:color w:val="000000" w:themeColor="text1"/>
          <w:sz w:val="22"/>
        </w:rPr>
        <w:t xml:space="preserve"> (Cdkn1a) as well as embryos injected with both E2f1 MO and Cdkn1a mRNA (MO+ Cdkn1a) at stage 5, 7, 8 and 9.</w:t>
      </w:r>
    </w:p>
    <w:p w14:paraId="262E1093" w14:textId="77777777" w:rsidR="00BD72F2" w:rsidRPr="007F1028" w:rsidRDefault="00BD72F2" w:rsidP="00BD72F2">
      <w:pPr>
        <w:widowControl/>
        <w:adjustRightInd w:val="0"/>
        <w:snapToGrid w:val="0"/>
        <w:spacing w:line="480" w:lineRule="auto"/>
        <w:rPr>
          <w:rFonts w:ascii="Arial" w:hAnsi="Arial" w:cs="Arial"/>
          <w:color w:val="000000" w:themeColor="text1"/>
          <w:sz w:val="22"/>
        </w:rPr>
      </w:pPr>
      <w:r>
        <w:rPr>
          <w:rFonts w:ascii="Arial" w:hAnsi="Arial" w:cs="Arial"/>
          <w:b/>
          <w:bCs/>
          <w:color w:val="000000" w:themeColor="text1"/>
          <w:sz w:val="22"/>
        </w:rPr>
        <w:t>c,</w:t>
      </w:r>
      <w:r w:rsidRPr="007F1028">
        <w:rPr>
          <w:rFonts w:ascii="Arial" w:hAnsi="Arial" w:cs="Arial"/>
          <w:bCs/>
          <w:color w:val="000000" w:themeColor="text1"/>
          <w:sz w:val="22"/>
        </w:rPr>
        <w:t xml:space="preserve"> </w:t>
      </w:r>
      <w:r w:rsidRPr="007F1028">
        <w:rPr>
          <w:rFonts w:ascii="Arial" w:hAnsi="Arial" w:cs="Arial"/>
          <w:color w:val="000000" w:themeColor="text1"/>
          <w:sz w:val="22"/>
        </w:rPr>
        <w:t xml:space="preserve">Relative mRNA expression of </w:t>
      </w:r>
      <w:r w:rsidRPr="007F1028">
        <w:rPr>
          <w:rFonts w:ascii="Arial" w:hAnsi="Arial" w:cs="Arial"/>
          <w:i/>
          <w:color w:val="000000" w:themeColor="text1"/>
          <w:sz w:val="22"/>
        </w:rPr>
        <w:t>e2f1</w:t>
      </w:r>
      <w:r w:rsidRPr="007F1028">
        <w:rPr>
          <w:rFonts w:ascii="Arial" w:hAnsi="Arial" w:cs="Arial"/>
          <w:color w:val="000000" w:themeColor="text1"/>
          <w:sz w:val="22"/>
        </w:rPr>
        <w:t xml:space="preserve"> in uninjected WT embryos, E2f1 MO embryos (MO) as well as E2f1 MO embryos rescued via E2f1 full length mRNA (MO+ E2f1) or ∆DBD mutant (MO+∆DBD) injection at stage 7 and 8. Expression was analyzed by RT-qPCR and normalized to </w:t>
      </w:r>
      <w:r w:rsidRPr="007F1028">
        <w:rPr>
          <w:rFonts w:ascii="Arial" w:hAnsi="Arial" w:cs="Arial"/>
          <w:i/>
          <w:color w:val="000000" w:themeColor="text1"/>
          <w:sz w:val="22"/>
        </w:rPr>
        <w:t>odc</w:t>
      </w:r>
      <w:r w:rsidRPr="007F1028">
        <w:rPr>
          <w:rFonts w:ascii="Arial" w:hAnsi="Arial" w:cs="Arial"/>
          <w:color w:val="000000" w:themeColor="text1"/>
          <w:sz w:val="22"/>
        </w:rPr>
        <w:t>. Error bars, mean ± SD, n=4 biological replicates.</w:t>
      </w:r>
    </w:p>
    <w:p w14:paraId="503EABFF" w14:textId="77777777" w:rsidR="00BD72F2" w:rsidRPr="007F1028" w:rsidRDefault="00BD72F2" w:rsidP="00BD72F2">
      <w:pPr>
        <w:widowControl/>
        <w:adjustRightInd w:val="0"/>
        <w:snapToGrid w:val="0"/>
        <w:spacing w:line="480" w:lineRule="auto"/>
        <w:rPr>
          <w:rFonts w:ascii="Arial" w:hAnsi="Arial" w:cs="Arial"/>
          <w:b/>
          <w:bCs/>
          <w:color w:val="000000" w:themeColor="text1"/>
          <w:sz w:val="22"/>
        </w:rPr>
      </w:pPr>
      <w:r>
        <w:rPr>
          <w:rFonts w:ascii="Arial" w:hAnsi="Arial" w:cs="Arial"/>
          <w:b/>
          <w:bCs/>
          <w:color w:val="000000" w:themeColor="text1"/>
          <w:sz w:val="22"/>
        </w:rPr>
        <w:t>d,</w:t>
      </w:r>
      <w:r w:rsidRPr="007F1028">
        <w:rPr>
          <w:rFonts w:ascii="Arial" w:hAnsi="Arial" w:cs="Arial"/>
          <w:b/>
          <w:bCs/>
          <w:color w:val="000000" w:themeColor="text1"/>
          <w:sz w:val="22"/>
        </w:rPr>
        <w:t xml:space="preserve"> </w:t>
      </w:r>
      <w:r w:rsidRPr="007F1028">
        <w:rPr>
          <w:rFonts w:ascii="Arial" w:hAnsi="Arial" w:cs="Arial"/>
          <w:color w:val="000000" w:themeColor="text1"/>
          <w:sz w:val="22"/>
        </w:rPr>
        <w:t>Representative bright field images of uninjected WT embryos, E2f1 MO embryos (MO) as well as E2f1 MO embryos rescued via E2f1 full length mRNA (MO+ E2f1) or ∆DBD mutant (MO+∆DBD) injection at stage 5, 7, 8 and 9.</w:t>
      </w:r>
    </w:p>
    <w:p w14:paraId="0F593240" w14:textId="77777777" w:rsidR="00BD72F2" w:rsidRPr="007F1028" w:rsidRDefault="00BD72F2" w:rsidP="00BD72F2">
      <w:pPr>
        <w:widowControl/>
        <w:adjustRightInd w:val="0"/>
        <w:snapToGrid w:val="0"/>
        <w:spacing w:line="480" w:lineRule="auto"/>
        <w:rPr>
          <w:rFonts w:ascii="Arial" w:hAnsi="Arial" w:cs="Arial"/>
          <w:color w:val="000000" w:themeColor="text1"/>
          <w:sz w:val="22"/>
        </w:rPr>
      </w:pPr>
    </w:p>
    <w:p w14:paraId="6BE98834" w14:textId="77777777" w:rsidR="00BD72F2" w:rsidRPr="007F1028" w:rsidRDefault="00BD72F2" w:rsidP="00BD72F2">
      <w:pPr>
        <w:widowControl/>
        <w:adjustRightInd w:val="0"/>
        <w:snapToGrid w:val="0"/>
        <w:spacing w:line="480" w:lineRule="auto"/>
        <w:rPr>
          <w:rFonts w:ascii="Arial" w:hAnsi="Arial" w:cs="Arial"/>
          <w:b/>
          <w:bCs/>
          <w:color w:val="000000" w:themeColor="text1"/>
          <w:sz w:val="22"/>
        </w:rPr>
      </w:pPr>
      <w:r>
        <w:rPr>
          <w:rFonts w:ascii="Arial" w:hAnsi="Arial" w:cs="Arial" w:hint="eastAsia"/>
          <w:b/>
          <w:bCs/>
          <w:color w:val="000000" w:themeColor="text1"/>
          <w:sz w:val="22"/>
        </w:rPr>
        <w:t>Fig. S</w:t>
      </w:r>
      <w:r w:rsidRPr="007F1028">
        <w:rPr>
          <w:rFonts w:ascii="Arial" w:hAnsi="Arial" w:cs="Arial"/>
          <w:b/>
          <w:bCs/>
          <w:color w:val="000000" w:themeColor="text1"/>
          <w:sz w:val="22"/>
        </w:rPr>
        <w:t>6</w:t>
      </w:r>
      <w:r>
        <w:rPr>
          <w:rFonts w:ascii="Arial" w:hAnsi="Arial" w:cs="Arial"/>
          <w:b/>
          <w:bCs/>
          <w:color w:val="000000" w:themeColor="text1"/>
          <w:sz w:val="22"/>
        </w:rPr>
        <w:t>:</w:t>
      </w:r>
      <w:r w:rsidRPr="007F1028">
        <w:rPr>
          <w:rFonts w:ascii="Arial" w:hAnsi="Arial" w:cs="Arial"/>
          <w:b/>
          <w:bCs/>
          <w:color w:val="000000" w:themeColor="text1"/>
          <w:sz w:val="22"/>
        </w:rPr>
        <w:t xml:space="preserve"> E2f1 interacts with Otx1 in early development</w:t>
      </w:r>
    </w:p>
    <w:p w14:paraId="791B339D" w14:textId="77777777" w:rsidR="00BD72F2" w:rsidRPr="007F1028" w:rsidRDefault="00BD72F2" w:rsidP="00BD72F2">
      <w:pPr>
        <w:widowControl/>
        <w:adjustRightInd w:val="0"/>
        <w:snapToGrid w:val="0"/>
        <w:spacing w:line="480" w:lineRule="auto"/>
        <w:rPr>
          <w:rFonts w:ascii="Arial" w:hAnsi="Arial" w:cs="Arial"/>
          <w:bCs/>
          <w:color w:val="000000" w:themeColor="text1"/>
          <w:sz w:val="22"/>
        </w:rPr>
      </w:pPr>
      <w:r>
        <w:rPr>
          <w:rFonts w:ascii="Arial" w:hAnsi="Arial" w:cs="Arial"/>
          <w:b/>
          <w:bCs/>
          <w:color w:val="000000" w:themeColor="text1"/>
          <w:sz w:val="22"/>
        </w:rPr>
        <w:t>a,</w:t>
      </w:r>
      <w:r w:rsidRPr="007F1028">
        <w:rPr>
          <w:rFonts w:ascii="Arial" w:hAnsi="Arial" w:cs="Arial"/>
          <w:color w:val="000000" w:themeColor="text1"/>
          <w:sz w:val="22"/>
        </w:rPr>
        <w:t xml:space="preserve"> A schematic view of the experimental design of immunoprecipitation followed by mass spectrometry (IP-MS) analysis</w:t>
      </w:r>
    </w:p>
    <w:p w14:paraId="239810A3" w14:textId="77777777" w:rsidR="00BD72F2" w:rsidRPr="007F1028" w:rsidRDefault="00BD72F2" w:rsidP="00BD72F2">
      <w:pPr>
        <w:widowControl/>
        <w:adjustRightInd w:val="0"/>
        <w:snapToGrid w:val="0"/>
        <w:spacing w:line="480" w:lineRule="auto"/>
        <w:rPr>
          <w:rFonts w:ascii="Arial" w:hAnsi="Arial" w:cs="Arial"/>
          <w:color w:val="000000" w:themeColor="text1"/>
          <w:sz w:val="22"/>
        </w:rPr>
      </w:pPr>
      <w:r>
        <w:rPr>
          <w:rFonts w:ascii="Arial" w:hAnsi="Arial" w:cs="Arial"/>
          <w:b/>
          <w:bCs/>
          <w:color w:val="000000" w:themeColor="text1"/>
          <w:sz w:val="22"/>
        </w:rPr>
        <w:lastRenderedPageBreak/>
        <w:t>b,</w:t>
      </w:r>
      <w:r w:rsidRPr="007F1028">
        <w:rPr>
          <w:rFonts w:ascii="Arial" w:hAnsi="Arial" w:cs="Arial"/>
          <w:bCs/>
          <w:color w:val="000000" w:themeColor="text1"/>
          <w:sz w:val="22"/>
        </w:rPr>
        <w:t xml:space="preserve"> </w:t>
      </w:r>
      <w:r w:rsidRPr="007F1028">
        <w:rPr>
          <w:rFonts w:ascii="Arial" w:hAnsi="Arial" w:cs="Arial"/>
          <w:color w:val="000000" w:themeColor="text1"/>
          <w:sz w:val="22"/>
        </w:rPr>
        <w:t xml:space="preserve">Temporal expression patterns of the </w:t>
      </w:r>
      <w:r w:rsidRPr="007F1028">
        <w:rPr>
          <w:rFonts w:ascii="Arial" w:hAnsi="Arial" w:cs="Arial" w:hint="eastAsia"/>
          <w:color w:val="000000" w:themeColor="text1"/>
          <w:sz w:val="22"/>
        </w:rPr>
        <w:t>Otx1</w:t>
      </w:r>
      <w:r w:rsidRPr="007F1028">
        <w:rPr>
          <w:rFonts w:ascii="Arial" w:hAnsi="Arial" w:cs="Arial"/>
          <w:color w:val="000000" w:themeColor="text1"/>
          <w:sz w:val="22"/>
        </w:rPr>
        <w:t xml:space="preserve"> </w:t>
      </w:r>
      <w:r w:rsidRPr="007F1028">
        <w:rPr>
          <w:rFonts w:ascii="Arial" w:hAnsi="Arial" w:cs="Arial" w:hint="eastAsia"/>
          <w:color w:val="000000" w:themeColor="text1"/>
          <w:sz w:val="22"/>
        </w:rPr>
        <w:t>and</w:t>
      </w:r>
      <w:r w:rsidRPr="007F1028">
        <w:rPr>
          <w:rFonts w:ascii="Arial" w:hAnsi="Arial" w:cs="Arial"/>
          <w:color w:val="000000" w:themeColor="text1"/>
          <w:sz w:val="22"/>
        </w:rPr>
        <w:t xml:space="preserve"> </w:t>
      </w:r>
      <w:r w:rsidRPr="007F1028">
        <w:rPr>
          <w:rFonts w:ascii="Arial" w:hAnsi="Arial" w:cs="Arial" w:hint="eastAsia"/>
          <w:color w:val="000000" w:themeColor="text1"/>
          <w:sz w:val="22"/>
        </w:rPr>
        <w:t>otx</w:t>
      </w:r>
      <w:r w:rsidRPr="007F1028">
        <w:rPr>
          <w:rFonts w:ascii="Arial" w:hAnsi="Arial" w:cs="Arial"/>
          <w:color w:val="000000" w:themeColor="text1"/>
          <w:sz w:val="22"/>
        </w:rPr>
        <w:t xml:space="preserve">2 during the </w:t>
      </w:r>
      <w:r w:rsidRPr="007F1028">
        <w:rPr>
          <w:rFonts w:ascii="Arial" w:hAnsi="Arial" w:cs="Arial" w:hint="eastAsia"/>
          <w:color w:val="000000" w:themeColor="text1"/>
          <w:sz w:val="22"/>
        </w:rPr>
        <w:t>e</w:t>
      </w:r>
      <w:r w:rsidRPr="007F1028">
        <w:rPr>
          <w:rFonts w:ascii="Arial" w:hAnsi="Arial" w:cs="Arial"/>
          <w:color w:val="000000" w:themeColor="text1"/>
          <w:sz w:val="22"/>
        </w:rPr>
        <w:t xml:space="preserve">arly development of </w:t>
      </w:r>
      <w:r w:rsidRPr="007F1028">
        <w:rPr>
          <w:rFonts w:ascii="Arial" w:hAnsi="Arial" w:cs="Arial"/>
          <w:i/>
          <w:color w:val="000000" w:themeColor="text1"/>
          <w:sz w:val="22"/>
        </w:rPr>
        <w:t>X. tropicalis</w:t>
      </w:r>
      <w:r w:rsidRPr="007F1028">
        <w:rPr>
          <w:rFonts w:ascii="Arial" w:hAnsi="Arial" w:cs="Arial"/>
          <w:color w:val="000000" w:themeColor="text1"/>
          <w:sz w:val="22"/>
        </w:rPr>
        <w:t xml:space="preserve"> estimated based on RNA-seq dataset.</w:t>
      </w:r>
    </w:p>
    <w:p w14:paraId="1BC307C5" w14:textId="77777777" w:rsidR="00BD72F2" w:rsidRPr="007F1028" w:rsidRDefault="00BD72F2" w:rsidP="00BD72F2">
      <w:pPr>
        <w:widowControl/>
        <w:adjustRightInd w:val="0"/>
        <w:snapToGrid w:val="0"/>
        <w:spacing w:line="480" w:lineRule="auto"/>
        <w:rPr>
          <w:rFonts w:ascii="Arial" w:hAnsi="Arial" w:cs="Arial"/>
          <w:bCs/>
          <w:color w:val="000000" w:themeColor="text1"/>
          <w:sz w:val="22"/>
        </w:rPr>
      </w:pPr>
      <w:r>
        <w:rPr>
          <w:rFonts w:ascii="Arial" w:hAnsi="Arial" w:cs="Arial"/>
          <w:b/>
          <w:bCs/>
          <w:color w:val="000000" w:themeColor="text1"/>
          <w:sz w:val="22"/>
        </w:rPr>
        <w:t>c,</w:t>
      </w:r>
      <w:r w:rsidRPr="007F1028">
        <w:rPr>
          <w:rFonts w:ascii="Arial" w:hAnsi="Arial" w:cs="Arial"/>
          <w:color w:val="000000" w:themeColor="text1"/>
          <w:sz w:val="22"/>
        </w:rPr>
        <w:t xml:space="preserve"> A schematic view of the experimental design of </w:t>
      </w:r>
      <w:r w:rsidRPr="007F1028">
        <w:rPr>
          <w:rFonts w:ascii="Arial" w:hAnsi="Arial" w:cs="Arial" w:hint="eastAsia"/>
          <w:color w:val="000000" w:themeColor="text1"/>
          <w:sz w:val="22"/>
        </w:rPr>
        <w:t>co</w:t>
      </w:r>
      <w:r w:rsidRPr="007F1028">
        <w:rPr>
          <w:rFonts w:ascii="Arial" w:hAnsi="Arial" w:cs="Arial"/>
          <w:color w:val="000000" w:themeColor="text1"/>
          <w:sz w:val="22"/>
        </w:rPr>
        <w:t>-immunoprecipitation (Co-IP) assay.</w:t>
      </w:r>
    </w:p>
    <w:p w14:paraId="240DE024" w14:textId="77777777" w:rsidR="00BD72F2" w:rsidRPr="007F1028" w:rsidRDefault="00BD72F2" w:rsidP="00BD72F2">
      <w:pPr>
        <w:widowControl/>
        <w:adjustRightInd w:val="0"/>
        <w:snapToGrid w:val="0"/>
        <w:spacing w:line="480" w:lineRule="auto"/>
        <w:rPr>
          <w:rFonts w:ascii="Arial" w:hAnsi="Arial" w:cs="Arial"/>
          <w:bCs/>
          <w:color w:val="000000" w:themeColor="text1"/>
          <w:sz w:val="22"/>
        </w:rPr>
      </w:pPr>
      <w:r>
        <w:rPr>
          <w:rFonts w:ascii="Arial" w:hAnsi="Arial" w:cs="Arial"/>
          <w:b/>
          <w:bCs/>
          <w:color w:val="000000" w:themeColor="text1"/>
          <w:sz w:val="22"/>
        </w:rPr>
        <w:t>d,</w:t>
      </w:r>
      <w:r w:rsidRPr="007F1028">
        <w:rPr>
          <w:rFonts w:ascii="Arial" w:hAnsi="Arial" w:cs="Arial"/>
          <w:bCs/>
          <w:color w:val="000000" w:themeColor="text1"/>
          <w:sz w:val="22"/>
        </w:rPr>
        <w:t xml:space="preserve"> The MA plots comparing </w:t>
      </w:r>
      <w:r w:rsidRPr="007F1028">
        <w:rPr>
          <w:rFonts w:ascii="Arial" w:hAnsi="Arial" w:cs="Arial"/>
          <w:color w:val="000000" w:themeColor="text1"/>
          <w:sz w:val="22"/>
        </w:rPr>
        <w:t>RNA-seq data (n=2 biological replicates)</w:t>
      </w:r>
      <w:r w:rsidRPr="007F1028">
        <w:rPr>
          <w:rFonts w:ascii="Arial" w:hAnsi="Arial" w:cs="Arial"/>
          <w:bCs/>
          <w:color w:val="000000" w:themeColor="text1"/>
          <w:sz w:val="22"/>
        </w:rPr>
        <w:t xml:space="preserve"> of Otx1 MO embryos and uninjected WT embryos at stage 7 and 8. The x-axis and y-axis represent Log</w:t>
      </w:r>
      <w:r w:rsidRPr="007F1028">
        <w:rPr>
          <w:rFonts w:ascii="Arial" w:hAnsi="Arial" w:cs="Arial"/>
          <w:bCs/>
          <w:color w:val="000000" w:themeColor="text1"/>
          <w:sz w:val="22"/>
          <w:vertAlign w:val="subscript"/>
        </w:rPr>
        <w:t>2</w:t>
      </w:r>
      <w:r w:rsidRPr="007F1028">
        <w:rPr>
          <w:rFonts w:ascii="Arial" w:hAnsi="Arial" w:cs="Arial"/>
          <w:bCs/>
          <w:color w:val="000000" w:themeColor="text1"/>
          <w:sz w:val="22"/>
        </w:rPr>
        <w:t xml:space="preserve"> (mean read counts) and Log</w:t>
      </w:r>
      <w:r w:rsidRPr="007F1028">
        <w:rPr>
          <w:rFonts w:ascii="Arial" w:hAnsi="Arial" w:cs="Arial"/>
          <w:bCs/>
          <w:color w:val="000000" w:themeColor="text1"/>
          <w:sz w:val="22"/>
          <w:vertAlign w:val="subscript"/>
        </w:rPr>
        <w:t>2</w:t>
      </w:r>
      <w:r w:rsidRPr="007F1028">
        <w:rPr>
          <w:rFonts w:ascii="Arial" w:hAnsi="Arial" w:cs="Arial"/>
          <w:bCs/>
          <w:color w:val="000000" w:themeColor="text1"/>
          <w:sz w:val="22"/>
        </w:rPr>
        <w:t xml:space="preserve"> (fold change), respectively. Red dots represent up-regulated genes, whereas blue dots represent down-regulated genes. The number of up- and down-regulated genes was indicated.</w:t>
      </w:r>
    </w:p>
    <w:p w14:paraId="435C9B2C" w14:textId="77777777" w:rsidR="00BD72F2" w:rsidRPr="007F1028" w:rsidRDefault="00BD72F2" w:rsidP="00BD72F2">
      <w:pPr>
        <w:widowControl/>
        <w:adjustRightInd w:val="0"/>
        <w:snapToGrid w:val="0"/>
        <w:spacing w:line="480" w:lineRule="auto"/>
        <w:rPr>
          <w:rFonts w:ascii="Arial" w:hAnsi="Arial" w:cs="Arial"/>
          <w:color w:val="000000" w:themeColor="text1"/>
          <w:sz w:val="22"/>
        </w:rPr>
      </w:pPr>
      <w:r>
        <w:rPr>
          <w:rFonts w:ascii="Arial" w:hAnsi="Arial" w:cs="Arial"/>
          <w:b/>
          <w:bCs/>
          <w:color w:val="000000" w:themeColor="text1"/>
          <w:sz w:val="22"/>
        </w:rPr>
        <w:t>e,</w:t>
      </w:r>
      <w:r w:rsidRPr="007F1028">
        <w:rPr>
          <w:rFonts w:ascii="Arial" w:hAnsi="Arial" w:cs="Arial"/>
          <w:bCs/>
          <w:color w:val="000000" w:themeColor="text1"/>
          <w:sz w:val="22"/>
        </w:rPr>
        <w:t xml:space="preserve"> </w:t>
      </w:r>
      <w:r w:rsidRPr="007F1028">
        <w:rPr>
          <w:rFonts w:ascii="Arial" w:hAnsi="Arial" w:cs="Arial"/>
          <w:color w:val="000000" w:themeColor="text1"/>
          <w:sz w:val="22"/>
        </w:rPr>
        <w:t xml:space="preserve">Overlap between the up-regulated/down-regulated genes upon Otx1 MO at stage 8 and those up-regulated/downregulated from stage 7 to stage 8 during normal development, and gene ontology enrichment analysis of the overlapped genes. GO term related to transcription regulation was enriched for the 400 genes both </w:t>
      </w:r>
      <w:r w:rsidRPr="007F1028">
        <w:rPr>
          <w:rFonts w:ascii="Arial" w:hAnsi="Arial" w:cs="Arial"/>
          <w:bCs/>
          <w:color w:val="000000" w:themeColor="text1"/>
          <w:sz w:val="22"/>
        </w:rPr>
        <w:t>down-regulated upon Otx1 MO at stage 8 and up-regulated between stage 7 and 8 during normal development</w:t>
      </w:r>
      <w:r w:rsidRPr="007F1028">
        <w:rPr>
          <w:rFonts w:ascii="Arial" w:hAnsi="Arial" w:cs="Arial"/>
          <w:color w:val="000000" w:themeColor="text1"/>
          <w:sz w:val="22"/>
        </w:rPr>
        <w:t>, and genes were listed to the right. The enriched GO terms are ranked by –Log</w:t>
      </w:r>
      <w:r w:rsidRPr="007F1028">
        <w:rPr>
          <w:rFonts w:ascii="Arial" w:hAnsi="Arial" w:cs="Arial"/>
          <w:color w:val="000000" w:themeColor="text1"/>
          <w:sz w:val="22"/>
          <w:vertAlign w:val="subscript"/>
        </w:rPr>
        <w:t>10</w:t>
      </w:r>
      <w:r w:rsidRPr="007F1028">
        <w:rPr>
          <w:rFonts w:ascii="Arial" w:hAnsi="Arial" w:cs="Arial"/>
          <w:color w:val="000000" w:themeColor="text1"/>
          <w:sz w:val="22"/>
        </w:rPr>
        <w:t xml:space="preserve"> (adjusted p value). The adjusted p-values for enrichment of specific GO terms were calculated by using the linear step-up method of Benjamini and Hochberg.</w:t>
      </w:r>
    </w:p>
    <w:p w14:paraId="52B9B582" w14:textId="77777777" w:rsidR="00BD72F2" w:rsidRPr="007F1028" w:rsidRDefault="00BD72F2" w:rsidP="00BD72F2">
      <w:pPr>
        <w:widowControl/>
        <w:adjustRightInd w:val="0"/>
        <w:snapToGrid w:val="0"/>
        <w:spacing w:line="480" w:lineRule="auto"/>
        <w:rPr>
          <w:rFonts w:ascii="Arial" w:hAnsi="Arial" w:cs="Arial"/>
          <w:color w:val="000000" w:themeColor="text1"/>
          <w:sz w:val="22"/>
        </w:rPr>
      </w:pPr>
      <w:r>
        <w:rPr>
          <w:rFonts w:ascii="Arial" w:hAnsi="Arial" w:cs="Arial"/>
          <w:b/>
          <w:bCs/>
          <w:color w:val="000000" w:themeColor="text1"/>
          <w:sz w:val="22"/>
        </w:rPr>
        <w:t>f,</w:t>
      </w:r>
      <w:r w:rsidRPr="007F1028">
        <w:rPr>
          <w:rFonts w:ascii="Arial" w:hAnsi="Arial" w:cs="Arial"/>
          <w:bCs/>
          <w:color w:val="000000" w:themeColor="text1"/>
          <w:sz w:val="22"/>
        </w:rPr>
        <w:t xml:space="preserve"> </w:t>
      </w:r>
      <w:r w:rsidRPr="007F1028">
        <w:rPr>
          <w:rFonts w:ascii="Arial" w:hAnsi="Arial" w:cs="Arial"/>
          <w:color w:val="000000" w:themeColor="text1"/>
          <w:sz w:val="22"/>
        </w:rPr>
        <w:t xml:space="preserve">Heatmaps of chromatin accessibility at stage 7 and 8 upon Otx1 MO detected by CANTAC-seq, n=2 biological replicates. </w:t>
      </w:r>
    </w:p>
    <w:p w14:paraId="397523DA" w14:textId="77777777" w:rsidR="00BD72F2" w:rsidRPr="007F1028" w:rsidRDefault="00BD72F2" w:rsidP="00BD72F2">
      <w:pPr>
        <w:widowControl/>
        <w:adjustRightInd w:val="0"/>
        <w:snapToGrid w:val="0"/>
        <w:spacing w:line="480" w:lineRule="auto"/>
        <w:rPr>
          <w:rFonts w:ascii="Arial" w:hAnsi="Arial" w:cs="Arial"/>
          <w:bCs/>
          <w:color w:val="000000" w:themeColor="text1"/>
          <w:sz w:val="22"/>
        </w:rPr>
      </w:pPr>
      <w:r>
        <w:rPr>
          <w:rFonts w:ascii="Arial" w:hAnsi="Arial" w:cs="Arial"/>
          <w:b/>
          <w:bCs/>
          <w:color w:val="000000" w:themeColor="text1"/>
          <w:sz w:val="22"/>
        </w:rPr>
        <w:t>g,</w:t>
      </w:r>
      <w:r w:rsidRPr="007F1028">
        <w:rPr>
          <w:rFonts w:ascii="Arial" w:hAnsi="Arial" w:cs="Arial"/>
          <w:bCs/>
          <w:color w:val="000000" w:themeColor="text1"/>
          <w:sz w:val="22"/>
        </w:rPr>
        <w:t xml:space="preserve"> The MA plots comparing </w:t>
      </w:r>
      <w:r w:rsidRPr="007F1028">
        <w:rPr>
          <w:rFonts w:ascii="Arial" w:hAnsi="Arial" w:cs="Arial"/>
          <w:color w:val="000000" w:themeColor="text1"/>
          <w:sz w:val="22"/>
        </w:rPr>
        <w:t>RNA-seq data (n=2 biological replicates)</w:t>
      </w:r>
      <w:r w:rsidRPr="007F1028">
        <w:rPr>
          <w:rFonts w:ascii="Arial" w:hAnsi="Arial" w:cs="Arial"/>
          <w:bCs/>
          <w:color w:val="000000" w:themeColor="text1"/>
          <w:sz w:val="22"/>
        </w:rPr>
        <w:t xml:space="preserve"> of E2f1 and Otx1 double MO embryos and uninjected WT embryos at stage 7 and 8. The x-axis and y-axis represent Log</w:t>
      </w:r>
      <w:r w:rsidRPr="007F1028">
        <w:rPr>
          <w:rFonts w:ascii="Arial" w:hAnsi="Arial" w:cs="Arial"/>
          <w:bCs/>
          <w:color w:val="000000" w:themeColor="text1"/>
          <w:sz w:val="22"/>
          <w:vertAlign w:val="subscript"/>
        </w:rPr>
        <w:t>2</w:t>
      </w:r>
      <w:r w:rsidRPr="007F1028">
        <w:rPr>
          <w:rFonts w:ascii="Arial" w:hAnsi="Arial" w:cs="Arial"/>
          <w:bCs/>
          <w:color w:val="000000" w:themeColor="text1"/>
          <w:sz w:val="22"/>
        </w:rPr>
        <w:t xml:space="preserve"> (mean read counts) and Log</w:t>
      </w:r>
      <w:r w:rsidRPr="007F1028">
        <w:rPr>
          <w:rFonts w:ascii="Arial" w:hAnsi="Arial" w:cs="Arial"/>
          <w:bCs/>
          <w:color w:val="000000" w:themeColor="text1"/>
          <w:sz w:val="22"/>
          <w:vertAlign w:val="subscript"/>
        </w:rPr>
        <w:t>2</w:t>
      </w:r>
      <w:r w:rsidRPr="007F1028">
        <w:rPr>
          <w:rFonts w:ascii="Arial" w:hAnsi="Arial" w:cs="Arial"/>
          <w:bCs/>
          <w:color w:val="000000" w:themeColor="text1"/>
          <w:sz w:val="22"/>
        </w:rPr>
        <w:t xml:space="preserve"> (fold change), respectively. Red dots represent up-regulated genes, whereas blue dots represent down-regulated genes. The number of up- and down-regulated genes was indicated.</w:t>
      </w:r>
    </w:p>
    <w:p w14:paraId="5DED440D" w14:textId="77777777" w:rsidR="00BD72F2" w:rsidRPr="007F1028" w:rsidRDefault="00BD72F2" w:rsidP="00BD72F2">
      <w:pPr>
        <w:widowControl/>
        <w:adjustRightInd w:val="0"/>
        <w:snapToGrid w:val="0"/>
        <w:spacing w:line="480" w:lineRule="auto"/>
        <w:rPr>
          <w:rFonts w:ascii="Arial" w:hAnsi="Arial" w:cs="Arial"/>
          <w:bCs/>
          <w:color w:val="000000" w:themeColor="text1"/>
          <w:sz w:val="22"/>
        </w:rPr>
      </w:pPr>
      <w:r>
        <w:rPr>
          <w:rFonts w:ascii="Arial" w:hAnsi="Arial" w:cs="Arial"/>
          <w:b/>
          <w:bCs/>
          <w:color w:val="000000" w:themeColor="text1"/>
          <w:sz w:val="22"/>
        </w:rPr>
        <w:t>h,</w:t>
      </w:r>
      <w:r w:rsidRPr="007F1028">
        <w:rPr>
          <w:rFonts w:ascii="Arial" w:hAnsi="Arial" w:cs="Arial"/>
          <w:bCs/>
          <w:color w:val="000000" w:themeColor="text1"/>
          <w:sz w:val="22"/>
        </w:rPr>
        <w:t xml:space="preserve"> </w:t>
      </w:r>
      <w:r w:rsidRPr="007F1028">
        <w:rPr>
          <w:rFonts w:ascii="Arial" w:hAnsi="Arial" w:cs="Arial"/>
          <w:color w:val="000000" w:themeColor="text1"/>
          <w:sz w:val="22"/>
        </w:rPr>
        <w:t>The box plot illustrates the expression of the genes up- or down-regulated</w:t>
      </w:r>
      <w:r w:rsidRPr="007F1028" w:rsidDel="00DF0576">
        <w:rPr>
          <w:rFonts w:ascii="Arial" w:hAnsi="Arial" w:cs="Arial"/>
          <w:color w:val="000000" w:themeColor="text1"/>
          <w:sz w:val="22"/>
        </w:rPr>
        <w:t xml:space="preserve"> </w:t>
      </w:r>
      <w:r w:rsidRPr="007F1028">
        <w:rPr>
          <w:rFonts w:ascii="Arial" w:hAnsi="Arial" w:cs="Arial"/>
          <w:color w:val="000000" w:themeColor="text1"/>
          <w:sz w:val="22"/>
        </w:rPr>
        <w:t xml:space="preserve">upon Otx1 </w:t>
      </w:r>
      <w:r w:rsidRPr="007F1028">
        <w:rPr>
          <w:rFonts w:ascii="Arial" w:hAnsi="Arial" w:cs="Arial"/>
          <w:bCs/>
          <w:color w:val="000000" w:themeColor="text1"/>
          <w:sz w:val="22"/>
        </w:rPr>
        <w:t>MO</w:t>
      </w:r>
      <w:r w:rsidRPr="007F1028">
        <w:rPr>
          <w:rFonts w:ascii="Arial" w:hAnsi="Arial" w:cs="Arial"/>
          <w:color w:val="000000" w:themeColor="text1"/>
          <w:sz w:val="22"/>
        </w:rPr>
        <w:t xml:space="preserve"> at stage 7 and 8 in </w:t>
      </w:r>
      <w:r w:rsidRPr="007F1028">
        <w:rPr>
          <w:rFonts w:ascii="Arial" w:hAnsi="Arial" w:cs="Arial"/>
          <w:bCs/>
          <w:color w:val="000000" w:themeColor="text1"/>
          <w:sz w:val="22"/>
        </w:rPr>
        <w:t>uninjected</w:t>
      </w:r>
      <w:r w:rsidRPr="007F1028">
        <w:rPr>
          <w:rFonts w:ascii="Arial" w:hAnsi="Arial" w:cs="Arial"/>
          <w:color w:val="000000" w:themeColor="text1"/>
          <w:sz w:val="22"/>
        </w:rPr>
        <w:t xml:space="preserve"> WT, Otx1 </w:t>
      </w:r>
      <w:r w:rsidRPr="007F1028">
        <w:rPr>
          <w:rFonts w:ascii="Arial" w:hAnsi="Arial" w:cs="Arial"/>
          <w:bCs/>
          <w:color w:val="000000" w:themeColor="text1"/>
          <w:sz w:val="22"/>
        </w:rPr>
        <w:t>MO</w:t>
      </w:r>
      <w:r w:rsidRPr="007F1028">
        <w:rPr>
          <w:rFonts w:ascii="Arial" w:hAnsi="Arial" w:cs="Arial"/>
          <w:color w:val="000000" w:themeColor="text1"/>
          <w:sz w:val="22"/>
        </w:rPr>
        <w:t xml:space="preserve"> as well as E2f1 and Otx1 double </w:t>
      </w:r>
      <w:r w:rsidRPr="007F1028">
        <w:rPr>
          <w:rFonts w:ascii="Arial" w:hAnsi="Arial" w:cs="Arial"/>
          <w:bCs/>
          <w:color w:val="000000" w:themeColor="text1"/>
          <w:sz w:val="22"/>
        </w:rPr>
        <w:lastRenderedPageBreak/>
        <w:t>MO</w:t>
      </w:r>
      <w:r w:rsidRPr="007F1028">
        <w:rPr>
          <w:rFonts w:ascii="Arial" w:hAnsi="Arial" w:cs="Arial"/>
          <w:color w:val="000000" w:themeColor="text1"/>
          <w:sz w:val="22"/>
        </w:rPr>
        <w:t xml:space="preserve"> embryos. Statistical significance was determined using a two-sided student t-test (**** p&lt;0.0001). </w:t>
      </w:r>
    </w:p>
    <w:p w14:paraId="7258891A" w14:textId="77777777" w:rsidR="00BD72F2" w:rsidRPr="007F1028" w:rsidRDefault="00BD72F2" w:rsidP="00BD72F2">
      <w:pPr>
        <w:widowControl/>
        <w:adjustRightInd w:val="0"/>
        <w:snapToGrid w:val="0"/>
        <w:spacing w:line="480" w:lineRule="auto"/>
        <w:rPr>
          <w:rFonts w:ascii="Arial" w:hAnsi="Arial" w:cs="Arial"/>
          <w:b/>
          <w:bCs/>
          <w:color w:val="000000" w:themeColor="text1"/>
          <w:sz w:val="22"/>
        </w:rPr>
      </w:pPr>
    </w:p>
    <w:p w14:paraId="4990973E" w14:textId="77777777" w:rsidR="00BD72F2" w:rsidRPr="007F1028" w:rsidRDefault="00BD72F2" w:rsidP="00BD72F2">
      <w:pPr>
        <w:widowControl/>
        <w:adjustRightInd w:val="0"/>
        <w:snapToGrid w:val="0"/>
        <w:spacing w:line="480" w:lineRule="auto"/>
        <w:rPr>
          <w:rFonts w:ascii="Arial" w:hAnsi="Arial" w:cs="Arial"/>
          <w:b/>
          <w:bCs/>
          <w:color w:val="000000" w:themeColor="text1"/>
          <w:sz w:val="22"/>
        </w:rPr>
      </w:pPr>
      <w:r>
        <w:rPr>
          <w:rFonts w:ascii="Arial" w:hAnsi="Arial" w:cs="Arial"/>
          <w:b/>
          <w:bCs/>
          <w:color w:val="000000" w:themeColor="text1"/>
          <w:sz w:val="22"/>
        </w:rPr>
        <w:t>Fig. S</w:t>
      </w:r>
      <w:r w:rsidRPr="007F1028">
        <w:rPr>
          <w:rFonts w:ascii="Arial" w:hAnsi="Arial" w:cs="Arial"/>
          <w:b/>
          <w:bCs/>
          <w:color w:val="000000" w:themeColor="text1"/>
          <w:sz w:val="22"/>
        </w:rPr>
        <w:t>7</w:t>
      </w:r>
      <w:r>
        <w:rPr>
          <w:rFonts w:ascii="Arial" w:hAnsi="Arial" w:cs="Arial"/>
          <w:b/>
          <w:bCs/>
          <w:color w:val="000000" w:themeColor="text1"/>
          <w:sz w:val="22"/>
        </w:rPr>
        <w:t>:</w:t>
      </w:r>
      <w:r w:rsidRPr="007F1028">
        <w:rPr>
          <w:rFonts w:ascii="Arial" w:hAnsi="Arial" w:cs="Arial"/>
          <w:b/>
          <w:bCs/>
          <w:color w:val="000000" w:themeColor="text1"/>
          <w:sz w:val="22"/>
        </w:rPr>
        <w:t xml:space="preserve"> Co-modulation of zygotic gene transcription by E2f1 and Otx1</w:t>
      </w:r>
    </w:p>
    <w:p w14:paraId="4B06F579" w14:textId="77777777" w:rsidR="00BD72F2" w:rsidRPr="007F1028" w:rsidRDefault="00BD72F2" w:rsidP="00BD72F2">
      <w:pPr>
        <w:widowControl/>
        <w:adjustRightInd w:val="0"/>
        <w:snapToGrid w:val="0"/>
        <w:spacing w:line="480" w:lineRule="auto"/>
        <w:rPr>
          <w:rFonts w:ascii="Arial" w:hAnsi="Arial" w:cs="Arial"/>
          <w:bCs/>
          <w:color w:val="000000" w:themeColor="text1"/>
          <w:sz w:val="22"/>
        </w:rPr>
      </w:pPr>
      <w:r>
        <w:rPr>
          <w:rFonts w:ascii="Arial" w:hAnsi="Arial" w:cs="Arial"/>
          <w:b/>
          <w:bCs/>
          <w:color w:val="000000" w:themeColor="text1"/>
          <w:sz w:val="22"/>
        </w:rPr>
        <w:t>a,</w:t>
      </w:r>
      <w:r w:rsidRPr="007F1028">
        <w:rPr>
          <w:rFonts w:ascii="Arial" w:hAnsi="Arial" w:cs="Arial"/>
          <w:bCs/>
          <w:color w:val="000000" w:themeColor="text1"/>
          <w:sz w:val="22"/>
        </w:rPr>
        <w:t xml:space="preserve"> Venn diagram showing the number of overlapped ChIP-peaks between E2f1 (n=22,470) and Otx1 (n=65,834). The p value is calculated based on the hypergeometric test. ChIP-peaks were categorized into three subgroups: E2f1-bound peaks (E2f1 only, n=12,031), common peaks bound by E2f1 and Otx1 (E2f1&amp;Otx1, n=10,439), and Otx1-bound peaks (Otx1 only, n=55,395).</w:t>
      </w:r>
    </w:p>
    <w:p w14:paraId="6503F587" w14:textId="77777777" w:rsidR="00BD72F2" w:rsidRPr="007F1028" w:rsidRDefault="00BD72F2" w:rsidP="00BD72F2">
      <w:pPr>
        <w:widowControl/>
        <w:adjustRightInd w:val="0"/>
        <w:snapToGrid w:val="0"/>
        <w:spacing w:line="480" w:lineRule="auto"/>
        <w:rPr>
          <w:rFonts w:ascii="Arial" w:hAnsi="Arial" w:cs="Arial"/>
          <w:bCs/>
          <w:color w:val="000000" w:themeColor="text1"/>
          <w:sz w:val="22"/>
        </w:rPr>
      </w:pPr>
      <w:r>
        <w:rPr>
          <w:rFonts w:ascii="Arial" w:hAnsi="Arial" w:cs="Arial"/>
          <w:b/>
          <w:bCs/>
          <w:color w:val="000000" w:themeColor="text1"/>
          <w:sz w:val="22"/>
        </w:rPr>
        <w:t>b,</w:t>
      </w:r>
      <w:r w:rsidRPr="007F1028">
        <w:rPr>
          <w:rFonts w:ascii="Arial" w:hAnsi="Arial" w:cs="Arial"/>
          <w:bCs/>
          <w:color w:val="000000" w:themeColor="text1"/>
          <w:sz w:val="22"/>
        </w:rPr>
        <w:t xml:space="preserve"> </w:t>
      </w:r>
      <w:r w:rsidRPr="007F1028">
        <w:rPr>
          <w:rFonts w:ascii="Arial" w:hAnsi="Arial" w:cs="Arial"/>
          <w:color w:val="000000" w:themeColor="text1"/>
          <w:sz w:val="22"/>
        </w:rPr>
        <w:t>D</w:t>
      </w:r>
      <w:r w:rsidRPr="007F1028">
        <w:rPr>
          <w:rFonts w:ascii="Arial" w:hAnsi="Arial" w:cs="Arial"/>
          <w:bCs/>
          <w:color w:val="000000" w:themeColor="text1"/>
          <w:sz w:val="22"/>
        </w:rPr>
        <w:t>istribution of peaks in three subgroups, namely E2f1 only, E2f1&amp;Otx1, and Otx1 only, at promoter, gene body and intergenic region.</w:t>
      </w:r>
    </w:p>
    <w:p w14:paraId="63EF1C53" w14:textId="77777777" w:rsidR="00BD72F2" w:rsidRPr="007F1028" w:rsidRDefault="00BD72F2" w:rsidP="00BD72F2">
      <w:pPr>
        <w:widowControl/>
        <w:adjustRightInd w:val="0"/>
        <w:snapToGrid w:val="0"/>
        <w:spacing w:line="480" w:lineRule="auto"/>
        <w:rPr>
          <w:rFonts w:ascii="Arial" w:hAnsi="Arial" w:cs="Arial"/>
          <w:bCs/>
          <w:color w:val="000000" w:themeColor="text1"/>
          <w:sz w:val="22"/>
        </w:rPr>
      </w:pPr>
      <w:r>
        <w:rPr>
          <w:rFonts w:ascii="Arial" w:hAnsi="Arial" w:cs="Arial"/>
          <w:b/>
          <w:bCs/>
          <w:color w:val="000000" w:themeColor="text1"/>
          <w:sz w:val="22"/>
        </w:rPr>
        <w:t>c,</w:t>
      </w:r>
      <w:r w:rsidRPr="007F1028">
        <w:rPr>
          <w:rFonts w:ascii="Arial" w:hAnsi="Arial" w:cs="Arial"/>
          <w:bCs/>
          <w:color w:val="000000" w:themeColor="text1"/>
          <w:sz w:val="22"/>
        </w:rPr>
        <w:t xml:space="preserve"> Transcription factor (TF) DNA binding sequence motifs enriched in </w:t>
      </w:r>
      <w:r w:rsidRPr="007F1028">
        <w:rPr>
          <w:rFonts w:ascii="Arial" w:hAnsi="Arial" w:cs="Arial" w:hint="eastAsia"/>
          <w:bCs/>
          <w:color w:val="000000" w:themeColor="text1"/>
          <w:sz w:val="22"/>
        </w:rPr>
        <w:t>the</w:t>
      </w:r>
      <w:r w:rsidRPr="007F1028">
        <w:rPr>
          <w:rFonts w:ascii="Arial" w:hAnsi="Arial" w:cs="Arial"/>
          <w:bCs/>
          <w:color w:val="000000" w:themeColor="text1"/>
          <w:sz w:val="22"/>
        </w:rPr>
        <w:t xml:space="preserve"> three subgroups including E2f1 only, E2f1&amp;Otx1, and Otx1 only.</w:t>
      </w:r>
    </w:p>
    <w:p w14:paraId="671E85A6" w14:textId="77777777" w:rsidR="00BD72F2" w:rsidRPr="007F1028" w:rsidRDefault="00BD72F2" w:rsidP="00BD72F2">
      <w:pPr>
        <w:widowControl/>
        <w:adjustRightInd w:val="0"/>
        <w:snapToGrid w:val="0"/>
        <w:spacing w:line="480" w:lineRule="auto"/>
        <w:rPr>
          <w:rFonts w:ascii="Arial" w:hAnsi="Arial" w:cs="Arial"/>
          <w:bCs/>
          <w:color w:val="000000" w:themeColor="text1"/>
          <w:sz w:val="22"/>
        </w:rPr>
      </w:pPr>
      <w:r>
        <w:rPr>
          <w:rFonts w:ascii="Arial" w:hAnsi="Arial" w:cs="Arial"/>
          <w:b/>
          <w:bCs/>
          <w:color w:val="000000" w:themeColor="text1"/>
          <w:sz w:val="22"/>
        </w:rPr>
        <w:t>d,</w:t>
      </w:r>
      <w:r w:rsidRPr="007F1028">
        <w:rPr>
          <w:rFonts w:ascii="Arial" w:hAnsi="Arial" w:cs="Arial"/>
          <w:b/>
          <w:bCs/>
          <w:color w:val="000000" w:themeColor="text1"/>
          <w:sz w:val="22"/>
        </w:rPr>
        <w:t xml:space="preserve"> </w:t>
      </w:r>
      <w:r w:rsidRPr="007F1028">
        <w:rPr>
          <w:rFonts w:ascii="Arial" w:hAnsi="Arial" w:cs="Arial"/>
          <w:bCs/>
          <w:color w:val="000000" w:themeColor="text1"/>
          <w:sz w:val="22"/>
        </w:rPr>
        <w:t>Heatmaps of normalized read density of ChIP-seq (n=2 biological replicates) for E2f1 and Otx1 at the region −5 kb from the TSS to +5 kb from the TES of the E2f1/Otx1 co-regulated (n=220) as well as background control genes (n=479).</w:t>
      </w:r>
    </w:p>
    <w:p w14:paraId="18FA27EB" w14:textId="77777777" w:rsidR="00BD72F2" w:rsidRDefault="00BD72F2" w:rsidP="00BD72F2">
      <w:pPr>
        <w:widowControl/>
        <w:adjustRightInd w:val="0"/>
        <w:snapToGrid w:val="0"/>
        <w:spacing w:line="480" w:lineRule="auto"/>
        <w:rPr>
          <w:rFonts w:ascii="Arial" w:hAnsi="Arial" w:cs="Arial"/>
          <w:bCs/>
          <w:color w:val="000000" w:themeColor="text1"/>
          <w:sz w:val="22"/>
        </w:rPr>
      </w:pPr>
      <w:r>
        <w:rPr>
          <w:rFonts w:ascii="Arial" w:hAnsi="Arial" w:cs="Arial"/>
          <w:b/>
          <w:bCs/>
          <w:color w:val="000000" w:themeColor="text1"/>
          <w:sz w:val="22"/>
        </w:rPr>
        <w:t>e,</w:t>
      </w:r>
      <w:r w:rsidRPr="007F1028">
        <w:rPr>
          <w:color w:val="000000" w:themeColor="text1"/>
        </w:rPr>
        <w:t xml:space="preserve"> </w:t>
      </w:r>
      <w:r w:rsidRPr="007F1028">
        <w:rPr>
          <w:rFonts w:ascii="Arial" w:hAnsi="Arial" w:cs="Arial"/>
          <w:color w:val="000000" w:themeColor="text1"/>
        </w:rPr>
        <w:t>I</w:t>
      </w:r>
      <w:r w:rsidRPr="007F1028">
        <w:rPr>
          <w:rFonts w:ascii="Arial" w:hAnsi="Arial" w:cs="Arial"/>
          <w:bCs/>
          <w:color w:val="000000" w:themeColor="text1"/>
          <w:sz w:val="22"/>
        </w:rPr>
        <w:t>nteraction network of genes co-regulated by E2f1 and Otx1 during minor zygotic genome activation. The network is based on known and predicted protein-protein interactions from the STRING database. Disconnected genes were removed from the network. Line thickness indicates the strength of interactions supported by known data. Enriched GO terms and signaling pathways were indicated.</w:t>
      </w:r>
    </w:p>
    <w:p w14:paraId="4FDA2A74" w14:textId="77777777" w:rsidR="00BD72F2" w:rsidRDefault="00BD72F2" w:rsidP="00BD72F2">
      <w:pPr>
        <w:widowControl/>
        <w:adjustRightInd w:val="0"/>
        <w:snapToGrid w:val="0"/>
        <w:spacing w:line="480" w:lineRule="auto"/>
        <w:rPr>
          <w:rFonts w:ascii="Arial" w:hAnsi="Arial" w:cs="Arial"/>
          <w:bCs/>
          <w:color w:val="000000" w:themeColor="text1"/>
          <w:sz w:val="22"/>
        </w:rPr>
      </w:pPr>
    </w:p>
    <w:p w14:paraId="7F9B73F0" w14:textId="77777777" w:rsidR="00BD72F2" w:rsidRPr="00B315F5" w:rsidRDefault="00BD72F2" w:rsidP="00BD72F2">
      <w:pPr>
        <w:spacing w:line="360" w:lineRule="auto"/>
        <w:rPr>
          <w:rFonts w:ascii="Arial" w:hAnsi="Arial" w:cs="Arial"/>
          <w:sz w:val="22"/>
        </w:rPr>
      </w:pPr>
      <w:r w:rsidRPr="00176351">
        <w:rPr>
          <w:rFonts w:ascii="Arial" w:hAnsi="Arial" w:cs="Arial"/>
          <w:b/>
          <w:sz w:val="22"/>
        </w:rPr>
        <w:t xml:space="preserve">Video </w:t>
      </w:r>
      <w:r>
        <w:rPr>
          <w:rFonts w:ascii="Arial" w:hAnsi="Arial" w:cs="Arial" w:hint="eastAsia"/>
          <w:b/>
          <w:sz w:val="22"/>
        </w:rPr>
        <w:t>S</w:t>
      </w:r>
      <w:r w:rsidRPr="00176351">
        <w:rPr>
          <w:rFonts w:ascii="Arial" w:hAnsi="Arial" w:cs="Arial"/>
          <w:b/>
          <w:sz w:val="22"/>
        </w:rPr>
        <w:t xml:space="preserve">1: </w:t>
      </w:r>
      <w:r w:rsidRPr="00176351">
        <w:rPr>
          <w:rFonts w:ascii="Arial" w:hAnsi="Arial" w:cs="Arial" w:hint="eastAsia"/>
          <w:b/>
          <w:sz w:val="22"/>
        </w:rPr>
        <w:t>The</w:t>
      </w:r>
      <w:r w:rsidRPr="00176351">
        <w:rPr>
          <w:rFonts w:ascii="Arial" w:hAnsi="Arial" w:cs="Arial"/>
          <w:b/>
          <w:sz w:val="22"/>
        </w:rPr>
        <w:t xml:space="preserve"> </w:t>
      </w:r>
      <w:r>
        <w:rPr>
          <w:rFonts w:ascii="Arial" w:hAnsi="Arial" w:cs="Arial"/>
          <w:b/>
          <w:bCs/>
          <w:color w:val="000000" w:themeColor="text1"/>
          <w:sz w:val="22"/>
        </w:rPr>
        <w:t>time-lapse video</w:t>
      </w:r>
      <w:r w:rsidRPr="00176351">
        <w:rPr>
          <w:rFonts w:ascii="Arial" w:hAnsi="Arial" w:cs="Arial"/>
          <w:b/>
          <w:bCs/>
          <w:color w:val="000000" w:themeColor="text1"/>
          <w:sz w:val="22"/>
        </w:rPr>
        <w:t xml:space="preserve"> of WT and E2f1 MO embryos.</w:t>
      </w:r>
      <w:r>
        <w:rPr>
          <w:rFonts w:ascii="Arial" w:hAnsi="Arial" w:cs="Arial"/>
          <w:sz w:val="22"/>
        </w:rPr>
        <w:t xml:space="preserve"> E</w:t>
      </w:r>
      <w:r w:rsidRPr="00E35151">
        <w:rPr>
          <w:rFonts w:ascii="Arial" w:hAnsi="Arial" w:cs="Arial"/>
          <w:sz w:val="22"/>
        </w:rPr>
        <w:t>mbryos were injected with E2f1 MO (n=4, left side) at the one-cell stage, while uninjected WT embryos (n=4, right side) were used as controls. All embryos were cultured at 25°C. The video was recorded with a one-minute interval between each shot and subsequently compressed into a time-lapse</w:t>
      </w:r>
      <w:r>
        <w:rPr>
          <w:rFonts w:ascii="Arial" w:hAnsi="Arial" w:cs="Arial"/>
          <w:sz w:val="22"/>
        </w:rPr>
        <w:t xml:space="preserve"> </w:t>
      </w:r>
      <w:r>
        <w:rPr>
          <w:rFonts w:ascii="Arial" w:hAnsi="Arial" w:cs="Arial" w:hint="eastAsia"/>
          <w:sz w:val="22"/>
        </w:rPr>
        <w:t>video</w:t>
      </w:r>
      <w:r w:rsidRPr="00E35151">
        <w:rPr>
          <w:rFonts w:ascii="Arial" w:hAnsi="Arial" w:cs="Arial"/>
          <w:sz w:val="22"/>
        </w:rPr>
        <w:t>.</w:t>
      </w:r>
    </w:p>
    <w:p w14:paraId="7BE16AFA" w14:textId="77777777" w:rsidR="009B39BA" w:rsidRDefault="009B39BA"/>
    <w:sectPr w:rsidR="009B39BA" w:rsidSect="00BD72F2">
      <w:pgSz w:w="11906" w:h="16838"/>
      <w:pgMar w:top="1440" w:right="1800" w:bottom="1440" w:left="180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72F2"/>
    <w:rsid w:val="009B39BA"/>
    <w:rsid w:val="00BD72F2"/>
    <w:rsid w:val="00C7509A"/>
    <w:rsid w:val="00C922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CBB2E"/>
  <w15:chartTrackingRefBased/>
  <w15:docId w15:val="{4BB4CB44-FDFA-431C-8BEC-8AA65F4BF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72F2"/>
    <w:pPr>
      <w:widowControl w:val="0"/>
      <w:spacing w:after="0" w:line="240" w:lineRule="auto"/>
      <w:jc w:val="both"/>
    </w:pPr>
    <w:rPr>
      <w:rFonts w:eastAsiaTheme="minorEastAsia"/>
      <w:sz w:val="21"/>
      <w:szCs w:val="22"/>
      <w:lang w:eastAsia="zh-CN"/>
      <w14:ligatures w14:val="none"/>
    </w:rPr>
  </w:style>
  <w:style w:type="paragraph" w:styleId="Heading1">
    <w:name w:val="heading 1"/>
    <w:basedOn w:val="Normal"/>
    <w:next w:val="Normal"/>
    <w:link w:val="Heading1Char"/>
    <w:uiPriority w:val="9"/>
    <w:qFormat/>
    <w:rsid w:val="00BD72F2"/>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BD72F2"/>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BD72F2"/>
    <w:pPr>
      <w:keepNext/>
      <w:keepLines/>
      <w:widowControl/>
      <w:spacing w:before="160" w:after="80" w:line="278"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BD72F2"/>
    <w:pPr>
      <w:keepNext/>
      <w:keepLines/>
      <w:widowControl/>
      <w:spacing w:before="80" w:after="40" w:line="278" w:lineRule="auto"/>
      <w:jc w:val="left"/>
      <w:outlineLvl w:val="3"/>
    </w:pPr>
    <w:rPr>
      <w:rFonts w:eastAsiaTheme="majorEastAsia" w:cstheme="majorBidi"/>
      <w:i/>
      <w:iCs/>
      <w:color w:val="0F4761" w:themeColor="accent1" w:themeShade="BF"/>
      <w:sz w:val="24"/>
      <w:szCs w:val="24"/>
      <w:lang w:eastAsia="en-US"/>
      <w14:ligatures w14:val="standardContextual"/>
    </w:rPr>
  </w:style>
  <w:style w:type="paragraph" w:styleId="Heading5">
    <w:name w:val="heading 5"/>
    <w:basedOn w:val="Normal"/>
    <w:next w:val="Normal"/>
    <w:link w:val="Heading5Char"/>
    <w:uiPriority w:val="9"/>
    <w:semiHidden/>
    <w:unhideWhenUsed/>
    <w:qFormat/>
    <w:rsid w:val="00BD72F2"/>
    <w:pPr>
      <w:keepNext/>
      <w:keepLines/>
      <w:widowControl/>
      <w:spacing w:before="80" w:after="40" w:line="278" w:lineRule="auto"/>
      <w:jc w:val="left"/>
      <w:outlineLvl w:val="4"/>
    </w:pPr>
    <w:rPr>
      <w:rFonts w:eastAsiaTheme="majorEastAsia" w:cstheme="majorBidi"/>
      <w:color w:val="0F4761" w:themeColor="accent1" w:themeShade="BF"/>
      <w:sz w:val="24"/>
      <w:szCs w:val="24"/>
      <w:lang w:eastAsia="en-US"/>
      <w14:ligatures w14:val="standardContextual"/>
    </w:rPr>
  </w:style>
  <w:style w:type="paragraph" w:styleId="Heading6">
    <w:name w:val="heading 6"/>
    <w:basedOn w:val="Normal"/>
    <w:next w:val="Normal"/>
    <w:link w:val="Heading6Char"/>
    <w:uiPriority w:val="9"/>
    <w:semiHidden/>
    <w:unhideWhenUsed/>
    <w:qFormat/>
    <w:rsid w:val="00BD72F2"/>
    <w:pPr>
      <w:keepNext/>
      <w:keepLines/>
      <w:widowControl/>
      <w:spacing w:before="40" w:line="278" w:lineRule="auto"/>
      <w:jc w:val="left"/>
      <w:outlineLvl w:val="5"/>
    </w:pPr>
    <w:rPr>
      <w:rFonts w:eastAsiaTheme="majorEastAsia" w:cstheme="majorBidi"/>
      <w:i/>
      <w:iCs/>
      <w:color w:val="595959" w:themeColor="text1" w:themeTint="A6"/>
      <w:sz w:val="24"/>
      <w:szCs w:val="24"/>
      <w:lang w:eastAsia="en-US"/>
      <w14:ligatures w14:val="standardContextual"/>
    </w:rPr>
  </w:style>
  <w:style w:type="paragraph" w:styleId="Heading7">
    <w:name w:val="heading 7"/>
    <w:basedOn w:val="Normal"/>
    <w:next w:val="Normal"/>
    <w:link w:val="Heading7Char"/>
    <w:uiPriority w:val="9"/>
    <w:semiHidden/>
    <w:unhideWhenUsed/>
    <w:qFormat/>
    <w:rsid w:val="00BD72F2"/>
    <w:pPr>
      <w:keepNext/>
      <w:keepLines/>
      <w:widowControl/>
      <w:spacing w:before="40" w:line="278" w:lineRule="auto"/>
      <w:jc w:val="left"/>
      <w:outlineLvl w:val="6"/>
    </w:pPr>
    <w:rPr>
      <w:rFonts w:eastAsiaTheme="majorEastAsia" w:cstheme="majorBidi"/>
      <w:color w:val="595959" w:themeColor="text1" w:themeTint="A6"/>
      <w:sz w:val="24"/>
      <w:szCs w:val="24"/>
      <w:lang w:eastAsia="en-US"/>
      <w14:ligatures w14:val="standardContextual"/>
    </w:rPr>
  </w:style>
  <w:style w:type="paragraph" w:styleId="Heading8">
    <w:name w:val="heading 8"/>
    <w:basedOn w:val="Normal"/>
    <w:next w:val="Normal"/>
    <w:link w:val="Heading8Char"/>
    <w:uiPriority w:val="9"/>
    <w:semiHidden/>
    <w:unhideWhenUsed/>
    <w:qFormat/>
    <w:rsid w:val="00BD72F2"/>
    <w:pPr>
      <w:keepNext/>
      <w:keepLines/>
      <w:widowControl/>
      <w:spacing w:line="278" w:lineRule="auto"/>
      <w:jc w:val="left"/>
      <w:outlineLvl w:val="7"/>
    </w:pPr>
    <w:rPr>
      <w:rFonts w:eastAsiaTheme="majorEastAsia" w:cstheme="majorBidi"/>
      <w:i/>
      <w:iCs/>
      <w:color w:val="272727" w:themeColor="text1" w:themeTint="D8"/>
      <w:sz w:val="24"/>
      <w:szCs w:val="24"/>
      <w:lang w:eastAsia="en-US"/>
      <w14:ligatures w14:val="standardContextual"/>
    </w:rPr>
  </w:style>
  <w:style w:type="paragraph" w:styleId="Heading9">
    <w:name w:val="heading 9"/>
    <w:basedOn w:val="Normal"/>
    <w:next w:val="Normal"/>
    <w:link w:val="Heading9Char"/>
    <w:uiPriority w:val="9"/>
    <w:semiHidden/>
    <w:unhideWhenUsed/>
    <w:qFormat/>
    <w:rsid w:val="00BD72F2"/>
    <w:pPr>
      <w:keepNext/>
      <w:keepLines/>
      <w:widowControl/>
      <w:spacing w:line="278" w:lineRule="auto"/>
      <w:jc w:val="left"/>
      <w:outlineLvl w:val="8"/>
    </w:pPr>
    <w:rPr>
      <w:rFonts w:eastAsiaTheme="majorEastAsia" w:cstheme="majorBidi"/>
      <w:color w:val="272727" w:themeColor="text1" w:themeTint="D8"/>
      <w:sz w:val="24"/>
      <w:szCs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72F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D72F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D72F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D72F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D72F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D72F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72F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72F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72F2"/>
    <w:rPr>
      <w:rFonts w:eastAsiaTheme="majorEastAsia" w:cstheme="majorBidi"/>
      <w:color w:val="272727" w:themeColor="text1" w:themeTint="D8"/>
    </w:rPr>
  </w:style>
  <w:style w:type="paragraph" w:styleId="Title">
    <w:name w:val="Title"/>
    <w:basedOn w:val="Normal"/>
    <w:next w:val="Normal"/>
    <w:link w:val="TitleChar"/>
    <w:uiPriority w:val="10"/>
    <w:qFormat/>
    <w:rsid w:val="00BD72F2"/>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BD72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72F2"/>
    <w:pPr>
      <w:widowControl/>
      <w:numPr>
        <w:ilvl w:val="1"/>
      </w:numPr>
      <w:spacing w:after="160" w:line="278"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BD72F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72F2"/>
    <w:pPr>
      <w:widowControl/>
      <w:spacing w:before="160" w:after="160" w:line="278" w:lineRule="auto"/>
      <w:jc w:val="center"/>
    </w:pPr>
    <w:rPr>
      <w:rFonts w:eastAsiaTheme="minorHAnsi"/>
      <w:i/>
      <w:iCs/>
      <w:color w:val="404040" w:themeColor="text1" w:themeTint="BF"/>
      <w:sz w:val="24"/>
      <w:szCs w:val="24"/>
      <w:lang w:eastAsia="en-US"/>
      <w14:ligatures w14:val="standardContextual"/>
    </w:rPr>
  </w:style>
  <w:style w:type="character" w:customStyle="1" w:styleId="QuoteChar">
    <w:name w:val="Quote Char"/>
    <w:basedOn w:val="DefaultParagraphFont"/>
    <w:link w:val="Quote"/>
    <w:uiPriority w:val="29"/>
    <w:rsid w:val="00BD72F2"/>
    <w:rPr>
      <w:i/>
      <w:iCs/>
      <w:color w:val="404040" w:themeColor="text1" w:themeTint="BF"/>
    </w:rPr>
  </w:style>
  <w:style w:type="paragraph" w:styleId="ListParagraph">
    <w:name w:val="List Paragraph"/>
    <w:basedOn w:val="Normal"/>
    <w:uiPriority w:val="34"/>
    <w:qFormat/>
    <w:rsid w:val="00BD72F2"/>
    <w:pPr>
      <w:widowControl/>
      <w:spacing w:after="160" w:line="278" w:lineRule="auto"/>
      <w:ind w:left="720"/>
      <w:contextualSpacing/>
      <w:jc w:val="left"/>
    </w:pPr>
    <w:rPr>
      <w:rFonts w:eastAsiaTheme="minorHAnsi"/>
      <w:sz w:val="24"/>
      <w:szCs w:val="24"/>
      <w:lang w:eastAsia="en-US"/>
      <w14:ligatures w14:val="standardContextual"/>
    </w:rPr>
  </w:style>
  <w:style w:type="character" w:styleId="IntenseEmphasis">
    <w:name w:val="Intense Emphasis"/>
    <w:basedOn w:val="DefaultParagraphFont"/>
    <w:uiPriority w:val="21"/>
    <w:qFormat/>
    <w:rsid w:val="00BD72F2"/>
    <w:rPr>
      <w:i/>
      <w:iCs/>
      <w:color w:val="0F4761" w:themeColor="accent1" w:themeShade="BF"/>
    </w:rPr>
  </w:style>
  <w:style w:type="paragraph" w:styleId="IntenseQuote">
    <w:name w:val="Intense Quote"/>
    <w:basedOn w:val="Normal"/>
    <w:next w:val="Normal"/>
    <w:link w:val="IntenseQuoteChar"/>
    <w:uiPriority w:val="30"/>
    <w:qFormat/>
    <w:rsid w:val="00BD72F2"/>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eastAsia="en-US"/>
      <w14:ligatures w14:val="standardContextual"/>
    </w:rPr>
  </w:style>
  <w:style w:type="character" w:customStyle="1" w:styleId="IntenseQuoteChar">
    <w:name w:val="Intense Quote Char"/>
    <w:basedOn w:val="DefaultParagraphFont"/>
    <w:link w:val="IntenseQuote"/>
    <w:uiPriority w:val="30"/>
    <w:rsid w:val="00BD72F2"/>
    <w:rPr>
      <w:i/>
      <w:iCs/>
      <w:color w:val="0F4761" w:themeColor="accent1" w:themeShade="BF"/>
    </w:rPr>
  </w:style>
  <w:style w:type="character" w:styleId="IntenseReference">
    <w:name w:val="Intense Reference"/>
    <w:basedOn w:val="DefaultParagraphFont"/>
    <w:uiPriority w:val="32"/>
    <w:qFormat/>
    <w:rsid w:val="00BD72F2"/>
    <w:rPr>
      <w:b/>
      <w:bCs/>
      <w:smallCaps/>
      <w:color w:val="0F4761" w:themeColor="accent1" w:themeShade="BF"/>
      <w:spacing w:val="5"/>
    </w:rPr>
  </w:style>
  <w:style w:type="character" w:styleId="LineNumber">
    <w:name w:val="line number"/>
    <w:basedOn w:val="DefaultParagraphFont"/>
    <w:uiPriority w:val="99"/>
    <w:semiHidden/>
    <w:unhideWhenUsed/>
    <w:rsid w:val="00BD72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1308</Words>
  <Characters>7461</Characters>
  <Application>Microsoft Office Word</Application>
  <DocSecurity>0</DocSecurity>
  <Lines>62</Lines>
  <Paragraphs>17</Paragraphs>
  <ScaleCrop>false</ScaleCrop>
  <Company>SpringerNature</Company>
  <LinksUpToDate>false</LinksUpToDate>
  <CharactersWithSpaces>8752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2024-08-22T11:49:00Z</dcterms:created>
  <dcterms:modified xsi:type="dcterms:W3CDTF">2024-08-22T11:49:00Z</dcterms:modified>
</cp:coreProperties>
</file>