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EBB60" w14:textId="2FF0BC85" w:rsidR="003143AE" w:rsidRPr="001C45B6" w:rsidRDefault="00246558" w:rsidP="00D338BD">
      <w:pPr>
        <w:spacing w:line="360" w:lineRule="auto"/>
        <w:rPr>
          <w:rFonts w:ascii="Times New Roman" w:hAnsi="Times New Roman" w:cs="Times New Roman"/>
          <w:b/>
          <w:bCs/>
          <w:sz w:val="20"/>
          <w:szCs w:val="20"/>
          <w:lang w:val="en-GB"/>
        </w:rPr>
      </w:pPr>
      <w:r w:rsidRPr="00BD50D8">
        <w:rPr>
          <w:rFonts w:ascii="Times New Roman" w:hAnsi="Times New Roman" w:cs="Times New Roman"/>
          <w:b/>
          <w:bCs/>
          <w:sz w:val="20"/>
          <w:szCs w:val="20"/>
          <w:lang w:val="en-GB"/>
        </w:rPr>
        <w:t>Supplementary Information</w:t>
      </w:r>
      <w:r w:rsidR="001C45B6">
        <w:rPr>
          <w:rFonts w:ascii="Times New Roman" w:hAnsi="Times New Roman" w:cs="Times New Roman"/>
          <w:b/>
          <w:bCs/>
          <w:sz w:val="20"/>
          <w:szCs w:val="20"/>
          <w:lang w:val="en-GB"/>
        </w:rPr>
        <w:t xml:space="preserve"> </w:t>
      </w:r>
      <w:r w:rsidR="001C45B6" w:rsidRPr="001C45B6">
        <w:rPr>
          <w:rFonts w:ascii="Times New Roman" w:hAnsi="Times New Roman" w:cs="Times New Roman"/>
          <w:b/>
          <w:bCs/>
          <w:sz w:val="20"/>
          <w:szCs w:val="20"/>
          <w:lang w:val="en-GB"/>
        </w:rPr>
        <w:t>(Online re</w:t>
      </w:r>
      <w:r w:rsidR="001C45B6">
        <w:rPr>
          <w:rFonts w:ascii="Times New Roman" w:hAnsi="Times New Roman" w:cs="Times New Roman"/>
          <w:b/>
          <w:bCs/>
          <w:sz w:val="20"/>
          <w:szCs w:val="20"/>
          <w:lang w:val="en-GB"/>
        </w:rPr>
        <w:t>source 1)</w:t>
      </w:r>
    </w:p>
    <w:p w14:paraId="30AC41BA" w14:textId="77777777" w:rsidR="00C144A6" w:rsidRDefault="00BD50D8" w:rsidP="00D338BD">
      <w:pPr>
        <w:spacing w:line="360" w:lineRule="auto"/>
        <w:rPr>
          <w:rFonts w:ascii="Times New Roman" w:hAnsi="Times New Roman" w:cs="Times New Roman"/>
          <w:i/>
          <w:iCs/>
          <w:sz w:val="20"/>
          <w:szCs w:val="20"/>
          <w:lang w:val="en-GB"/>
        </w:rPr>
      </w:pPr>
      <w:r w:rsidRPr="00BD50D8">
        <w:rPr>
          <w:rFonts w:ascii="Times New Roman" w:hAnsi="Times New Roman" w:cs="Times New Roman"/>
          <w:b/>
          <w:bCs/>
          <w:sz w:val="20"/>
          <w:szCs w:val="20"/>
          <w:lang w:val="en-GB"/>
        </w:rPr>
        <w:t>Publication title:</w:t>
      </w:r>
      <w:r w:rsidRPr="00BD50D8">
        <w:rPr>
          <w:sz w:val="20"/>
          <w:szCs w:val="20"/>
          <w:lang w:val="en-GB"/>
        </w:rPr>
        <w:t xml:space="preserve"> </w:t>
      </w:r>
      <w:r w:rsidR="00C144A6" w:rsidRPr="00C144A6">
        <w:rPr>
          <w:rFonts w:ascii="Times New Roman" w:hAnsi="Times New Roman" w:cs="Times New Roman"/>
          <w:i/>
          <w:iCs/>
          <w:sz w:val="20"/>
          <w:szCs w:val="20"/>
          <w:lang w:val="en-GB"/>
        </w:rPr>
        <w:t>Hotspot mapping of pest introductions in the EU: A regional analysis of environmental, anthropogenic and spatial effects</w:t>
      </w:r>
    </w:p>
    <w:p w14:paraId="61455A16" w14:textId="440937BE" w:rsidR="00BD50D8" w:rsidRPr="00C144A6" w:rsidRDefault="00BD50D8" w:rsidP="00D338BD">
      <w:pPr>
        <w:spacing w:line="360" w:lineRule="auto"/>
        <w:rPr>
          <w:rFonts w:ascii="Times New Roman" w:hAnsi="Times New Roman" w:cs="Times New Roman"/>
          <w:sz w:val="20"/>
          <w:szCs w:val="20"/>
          <w:lang w:val="en-GB"/>
        </w:rPr>
      </w:pPr>
      <w:r w:rsidRPr="00C144A6">
        <w:rPr>
          <w:rFonts w:ascii="Times New Roman" w:hAnsi="Times New Roman" w:cs="Times New Roman"/>
          <w:b/>
          <w:bCs/>
          <w:sz w:val="20"/>
          <w:szCs w:val="20"/>
          <w:lang w:val="en-GB"/>
        </w:rPr>
        <w:t xml:space="preserve">Journal: </w:t>
      </w:r>
      <w:r w:rsidRPr="00C144A6">
        <w:rPr>
          <w:rFonts w:ascii="Times New Roman" w:hAnsi="Times New Roman" w:cs="Times New Roman"/>
          <w:sz w:val="20"/>
          <w:szCs w:val="20"/>
          <w:lang w:val="en-GB"/>
        </w:rPr>
        <w:t>Biological Invasions</w:t>
      </w:r>
    </w:p>
    <w:p w14:paraId="5405C7F9" w14:textId="4377B01F" w:rsidR="00736EA4" w:rsidRPr="00BD50D8" w:rsidRDefault="00BD50D8" w:rsidP="00BD50D8">
      <w:pPr>
        <w:spacing w:line="360" w:lineRule="auto"/>
        <w:rPr>
          <w:rFonts w:ascii="Times New Roman" w:eastAsia="Times New Roman" w:hAnsi="Times New Roman" w:cs="Times New Roman"/>
          <w:color w:val="000000" w:themeColor="text1"/>
          <w:sz w:val="20"/>
          <w:szCs w:val="20"/>
        </w:rPr>
      </w:pPr>
      <w:r w:rsidRPr="00BD50D8">
        <w:rPr>
          <w:rFonts w:ascii="Times New Roman" w:hAnsi="Times New Roman" w:cs="Times New Roman"/>
          <w:b/>
          <w:bCs/>
          <w:sz w:val="20"/>
          <w:szCs w:val="20"/>
        </w:rPr>
        <w:t xml:space="preserve">Authors: </w:t>
      </w:r>
      <w:r w:rsidR="00736EA4" w:rsidRPr="00BD50D8">
        <w:rPr>
          <w:rFonts w:ascii="Times New Roman" w:eastAsia="Times New Roman" w:hAnsi="Times New Roman" w:cs="Times New Roman"/>
          <w:color w:val="000000" w:themeColor="text1"/>
          <w:sz w:val="20"/>
          <w:szCs w:val="20"/>
        </w:rPr>
        <w:t>Maria Chiara Rosace</w:t>
      </w:r>
      <w:r w:rsidR="00736EA4" w:rsidRPr="00BD50D8">
        <w:rPr>
          <w:rFonts w:ascii="Times New Roman" w:eastAsia="Times New Roman" w:hAnsi="Times New Roman" w:cs="Times New Roman"/>
          <w:color w:val="000000" w:themeColor="text1"/>
          <w:sz w:val="20"/>
          <w:szCs w:val="20"/>
          <w:vertAlign w:val="superscript"/>
        </w:rPr>
        <w:t>1*</w:t>
      </w:r>
      <w:r w:rsidR="00736EA4" w:rsidRPr="00BD50D8">
        <w:rPr>
          <w:rFonts w:ascii="Times New Roman" w:eastAsia="Times New Roman" w:hAnsi="Times New Roman" w:cs="Times New Roman"/>
          <w:color w:val="000000" w:themeColor="text1"/>
          <w:sz w:val="20"/>
          <w:szCs w:val="20"/>
        </w:rPr>
        <w:t>, David V. Conesa</w:t>
      </w:r>
      <w:r w:rsidR="00736EA4" w:rsidRPr="00BD50D8">
        <w:rPr>
          <w:rFonts w:ascii="Times New Roman" w:eastAsia="Times New Roman" w:hAnsi="Times New Roman" w:cs="Times New Roman"/>
          <w:color w:val="000000" w:themeColor="text1"/>
          <w:sz w:val="20"/>
          <w:szCs w:val="20"/>
          <w:vertAlign w:val="superscript"/>
        </w:rPr>
        <w:t>3</w:t>
      </w:r>
      <w:r w:rsidR="00736EA4" w:rsidRPr="00BD50D8">
        <w:rPr>
          <w:rFonts w:ascii="Times New Roman" w:eastAsia="Times New Roman" w:hAnsi="Times New Roman" w:cs="Times New Roman"/>
          <w:color w:val="000000" w:themeColor="text1"/>
          <w:sz w:val="20"/>
          <w:szCs w:val="20"/>
        </w:rPr>
        <w:t>, Antonio López-Quílez</w:t>
      </w:r>
      <w:r w:rsidR="00736EA4" w:rsidRPr="00BD50D8">
        <w:rPr>
          <w:rFonts w:ascii="Times New Roman" w:eastAsia="Times New Roman" w:hAnsi="Times New Roman" w:cs="Times New Roman"/>
          <w:color w:val="000000" w:themeColor="text1"/>
          <w:sz w:val="20"/>
          <w:szCs w:val="20"/>
          <w:vertAlign w:val="superscript"/>
        </w:rPr>
        <w:t>3</w:t>
      </w:r>
      <w:r w:rsidR="00736EA4" w:rsidRPr="00BD50D8">
        <w:rPr>
          <w:rFonts w:ascii="Times New Roman" w:eastAsia="Times New Roman" w:hAnsi="Times New Roman" w:cs="Times New Roman"/>
          <w:color w:val="000000" w:themeColor="text1"/>
          <w:sz w:val="20"/>
          <w:szCs w:val="20"/>
        </w:rPr>
        <w:t>, Lorenzo Marini</w:t>
      </w:r>
      <w:r w:rsidR="00736EA4" w:rsidRPr="00BD50D8">
        <w:rPr>
          <w:rFonts w:ascii="Times New Roman" w:eastAsia="Times New Roman" w:hAnsi="Times New Roman" w:cs="Times New Roman"/>
          <w:color w:val="000000" w:themeColor="text1"/>
          <w:sz w:val="20"/>
          <w:szCs w:val="20"/>
          <w:vertAlign w:val="superscript"/>
        </w:rPr>
        <w:t>4</w:t>
      </w:r>
      <w:r w:rsidR="00736EA4" w:rsidRPr="00BD50D8">
        <w:rPr>
          <w:rFonts w:ascii="Times New Roman" w:eastAsia="Times New Roman" w:hAnsi="Times New Roman" w:cs="Times New Roman"/>
          <w:color w:val="000000" w:themeColor="text1"/>
          <w:sz w:val="20"/>
          <w:szCs w:val="20"/>
        </w:rPr>
        <w:t>, Miguel A. Martínez-Beneito</w:t>
      </w:r>
      <w:r w:rsidR="00736EA4" w:rsidRPr="00BD50D8">
        <w:rPr>
          <w:rFonts w:ascii="Times New Roman" w:eastAsia="Times New Roman" w:hAnsi="Times New Roman" w:cs="Times New Roman"/>
          <w:color w:val="000000" w:themeColor="text1"/>
          <w:sz w:val="20"/>
          <w:szCs w:val="20"/>
          <w:vertAlign w:val="superscript"/>
        </w:rPr>
        <w:t>3</w:t>
      </w:r>
      <w:r w:rsidR="00736EA4" w:rsidRPr="00BD50D8">
        <w:rPr>
          <w:rFonts w:ascii="Times New Roman" w:eastAsia="Times New Roman" w:hAnsi="Times New Roman" w:cs="Times New Roman"/>
          <w:color w:val="000000" w:themeColor="text1"/>
          <w:sz w:val="20"/>
          <w:szCs w:val="20"/>
        </w:rPr>
        <w:t>, Davide Nardi</w:t>
      </w:r>
      <w:r w:rsidR="00736EA4" w:rsidRPr="00BD50D8">
        <w:rPr>
          <w:rFonts w:ascii="Times New Roman" w:eastAsia="Times New Roman" w:hAnsi="Times New Roman" w:cs="Times New Roman"/>
          <w:color w:val="000000" w:themeColor="text1"/>
          <w:sz w:val="20"/>
          <w:szCs w:val="20"/>
          <w:vertAlign w:val="superscript"/>
        </w:rPr>
        <w:t>4</w:t>
      </w:r>
      <w:r w:rsidR="00736EA4" w:rsidRPr="00BD50D8">
        <w:rPr>
          <w:rFonts w:ascii="Times New Roman" w:eastAsia="Times New Roman" w:hAnsi="Times New Roman" w:cs="Times New Roman"/>
          <w:color w:val="000000" w:themeColor="text1"/>
          <w:sz w:val="20"/>
          <w:szCs w:val="20"/>
        </w:rPr>
        <w:t>, Vittorio Rossi</w:t>
      </w:r>
      <w:r w:rsidR="00736EA4" w:rsidRPr="00BD50D8">
        <w:rPr>
          <w:rFonts w:ascii="Times New Roman" w:eastAsia="Times New Roman" w:hAnsi="Times New Roman" w:cs="Times New Roman"/>
          <w:color w:val="000000" w:themeColor="text1"/>
          <w:sz w:val="20"/>
          <w:szCs w:val="20"/>
          <w:vertAlign w:val="superscript"/>
        </w:rPr>
        <w:t>1</w:t>
      </w:r>
      <w:r w:rsidR="00736EA4" w:rsidRPr="00BD50D8">
        <w:rPr>
          <w:rFonts w:ascii="Times New Roman" w:eastAsia="Times New Roman" w:hAnsi="Times New Roman" w:cs="Times New Roman"/>
          <w:color w:val="000000" w:themeColor="text1"/>
          <w:sz w:val="20"/>
          <w:szCs w:val="20"/>
        </w:rPr>
        <w:t>, Antonio Vicent</w:t>
      </w:r>
      <w:r w:rsidR="00736EA4" w:rsidRPr="00BD50D8">
        <w:rPr>
          <w:rFonts w:ascii="Times New Roman" w:eastAsia="Times New Roman" w:hAnsi="Times New Roman" w:cs="Times New Roman"/>
          <w:color w:val="000000" w:themeColor="text1"/>
          <w:sz w:val="20"/>
          <w:szCs w:val="20"/>
          <w:vertAlign w:val="superscript"/>
        </w:rPr>
        <w:t>2</w:t>
      </w:r>
      <w:r w:rsidR="00736EA4" w:rsidRPr="00BD50D8">
        <w:rPr>
          <w:rFonts w:ascii="Times New Roman" w:eastAsia="Times New Roman" w:hAnsi="Times New Roman" w:cs="Times New Roman"/>
          <w:color w:val="000000" w:themeColor="text1"/>
          <w:sz w:val="20"/>
          <w:szCs w:val="20"/>
        </w:rPr>
        <w:t>, Martina Cendoya</w:t>
      </w:r>
      <w:r w:rsidR="00736EA4" w:rsidRPr="00BD50D8">
        <w:rPr>
          <w:rFonts w:ascii="Times New Roman" w:eastAsia="Times New Roman" w:hAnsi="Times New Roman" w:cs="Times New Roman"/>
          <w:color w:val="000000" w:themeColor="text1"/>
          <w:sz w:val="20"/>
          <w:szCs w:val="20"/>
          <w:vertAlign w:val="superscript"/>
        </w:rPr>
        <w:t>2</w:t>
      </w:r>
      <w:r w:rsidR="00583B4A">
        <w:rPr>
          <w:rFonts w:ascii="Times New Roman" w:eastAsia="Times New Roman" w:hAnsi="Times New Roman" w:cs="Times New Roman"/>
          <w:color w:val="000000" w:themeColor="text1"/>
          <w:sz w:val="20"/>
          <w:szCs w:val="20"/>
          <w:vertAlign w:val="superscript"/>
        </w:rPr>
        <w:t>*</w:t>
      </w:r>
    </w:p>
    <w:p w14:paraId="21EFDDCF" w14:textId="526B19A2" w:rsidR="00736EA4" w:rsidRPr="00736EA4" w:rsidRDefault="00583B4A" w:rsidP="00736EA4">
      <w:pPr>
        <w:spacing w:line="360" w:lineRule="auto"/>
        <w:contextualSpacing/>
        <w:jc w:val="both"/>
        <w:rPr>
          <w:rFonts w:ascii="Times New Roman" w:eastAsia="Times New Roman" w:hAnsi="Times New Roman" w:cs="Times New Roman"/>
          <w:color w:val="000000" w:themeColor="text1"/>
          <w:sz w:val="20"/>
          <w:szCs w:val="20"/>
          <w:lang w:val="es-ES"/>
        </w:rPr>
      </w:pPr>
      <w:r w:rsidRPr="00B062C7">
        <w:rPr>
          <w:rFonts w:ascii="Times New Roman" w:eastAsia="Times New Roman" w:hAnsi="Times New Roman" w:cs="Times New Roman"/>
          <w:b/>
          <w:bCs/>
          <w:color w:val="000000" w:themeColor="text1"/>
          <w:sz w:val="20"/>
          <w:szCs w:val="20"/>
        </w:rPr>
        <w:t>Corresponding authors affiliations and email addresses:</w:t>
      </w:r>
      <w:r w:rsidR="00B062C7">
        <w:rPr>
          <w:rFonts w:ascii="Times New Roman" w:eastAsia="Times New Roman" w:hAnsi="Times New Roman" w:cs="Times New Roman"/>
          <w:b/>
          <w:bCs/>
          <w:color w:val="000000" w:themeColor="text1"/>
          <w:sz w:val="20"/>
          <w:szCs w:val="20"/>
        </w:rPr>
        <w:t xml:space="preserve"> </w:t>
      </w:r>
      <w:r w:rsidR="00B062C7" w:rsidRPr="0067230E">
        <w:rPr>
          <w:rFonts w:ascii="Times New Roman" w:hAnsi="Times New Roman" w:cs="Times New Roman"/>
          <w:sz w:val="20"/>
          <w:szCs w:val="20"/>
        </w:rPr>
        <w:t>Maria Chiara Rosace (</w:t>
      </w:r>
      <w:hyperlink r:id="rId9" w:history="1">
        <w:r w:rsidR="00B062C7" w:rsidRPr="0067230E">
          <w:rPr>
            <w:rStyle w:val="Hyperlink"/>
            <w:rFonts w:ascii="Times New Roman" w:hAnsi="Times New Roman" w:cs="Times New Roman"/>
            <w:sz w:val="20"/>
            <w:szCs w:val="20"/>
          </w:rPr>
          <w:t>mariachiara.rosace@unicatt.it</w:t>
        </w:r>
      </w:hyperlink>
      <w:r w:rsidR="00B062C7" w:rsidRPr="0067230E">
        <w:rPr>
          <w:rFonts w:ascii="Times New Roman" w:hAnsi="Times New Roman" w:cs="Times New Roman"/>
          <w:sz w:val="20"/>
          <w:szCs w:val="20"/>
        </w:rPr>
        <w:t xml:space="preserve">) </w:t>
      </w:r>
      <w:r w:rsidR="00736EA4" w:rsidRPr="0067230E">
        <w:rPr>
          <w:rFonts w:ascii="Times New Roman" w:eastAsia="Times New Roman" w:hAnsi="Times New Roman" w:cs="Times New Roman"/>
          <w:color w:val="000000" w:themeColor="text1"/>
          <w:sz w:val="20"/>
          <w:szCs w:val="20"/>
          <w:vertAlign w:val="superscript"/>
        </w:rPr>
        <w:t>1</w:t>
      </w:r>
      <w:r w:rsidR="00736EA4" w:rsidRPr="0067230E">
        <w:rPr>
          <w:rFonts w:ascii="Times New Roman" w:eastAsia="Times New Roman" w:hAnsi="Times New Roman" w:cs="Times New Roman"/>
          <w:color w:val="000000" w:themeColor="text1"/>
          <w:sz w:val="20"/>
          <w:szCs w:val="20"/>
        </w:rPr>
        <w:t>Department of Sustainable Crop Production, Università Cattolica del Sacro Cuore, Via Emilia Parmense, 84, 29122 Piacenza, Italy</w:t>
      </w:r>
      <w:r w:rsidR="00B062C7">
        <w:rPr>
          <w:rFonts w:ascii="Times New Roman" w:eastAsia="Times New Roman" w:hAnsi="Times New Roman" w:cs="Times New Roman"/>
          <w:color w:val="000000" w:themeColor="text1"/>
          <w:sz w:val="20"/>
          <w:szCs w:val="20"/>
        </w:rPr>
        <w:t xml:space="preserve">. </w:t>
      </w:r>
      <w:r w:rsidR="00B062C7" w:rsidRPr="00B062C7">
        <w:rPr>
          <w:rFonts w:ascii="Times New Roman" w:hAnsi="Times New Roman" w:cs="Times New Roman"/>
          <w:sz w:val="20"/>
          <w:szCs w:val="20"/>
          <w:lang w:val="es-ES"/>
        </w:rPr>
        <w:t>Dr Martina Cendoya</w:t>
      </w:r>
      <w:r w:rsidR="00402EDD">
        <w:rPr>
          <w:rFonts w:ascii="Times New Roman" w:hAnsi="Times New Roman" w:cs="Times New Roman"/>
          <w:sz w:val="20"/>
          <w:szCs w:val="20"/>
          <w:lang w:val="es-ES"/>
        </w:rPr>
        <w:t xml:space="preserve"> (</w:t>
      </w:r>
      <w:hyperlink r:id="rId10" w:history="1">
        <w:r w:rsidR="00402EDD" w:rsidRPr="004E196E">
          <w:rPr>
            <w:rStyle w:val="Hyperlink"/>
            <w:rFonts w:ascii="Times New Roman" w:hAnsi="Times New Roman" w:cs="Times New Roman"/>
            <w:sz w:val="20"/>
            <w:szCs w:val="20"/>
            <w:lang w:val="es-ES"/>
          </w:rPr>
          <w:t>cendoya_marmar@gva.es</w:t>
        </w:r>
      </w:hyperlink>
      <w:r w:rsidR="00402EDD">
        <w:rPr>
          <w:rFonts w:ascii="Times New Roman" w:hAnsi="Times New Roman" w:cs="Times New Roman"/>
          <w:sz w:val="20"/>
          <w:szCs w:val="20"/>
          <w:lang w:val="es-ES"/>
        </w:rPr>
        <w:t xml:space="preserve">); </w:t>
      </w:r>
      <w:r w:rsidR="00736EA4" w:rsidRPr="00736EA4">
        <w:rPr>
          <w:rFonts w:ascii="Times New Roman" w:eastAsia="Times New Roman" w:hAnsi="Times New Roman" w:cs="Times New Roman"/>
          <w:color w:val="000000" w:themeColor="text1"/>
          <w:sz w:val="20"/>
          <w:szCs w:val="20"/>
          <w:vertAlign w:val="superscript"/>
          <w:lang w:val="es-ES"/>
        </w:rPr>
        <w:t>2</w:t>
      </w:r>
      <w:r w:rsidR="00736EA4" w:rsidRPr="00736EA4">
        <w:rPr>
          <w:rFonts w:ascii="Times New Roman" w:eastAsia="Times New Roman" w:hAnsi="Times New Roman" w:cs="Times New Roman"/>
          <w:color w:val="000000" w:themeColor="text1"/>
          <w:sz w:val="20"/>
          <w:szCs w:val="20"/>
          <w:lang w:val="es-ES"/>
        </w:rPr>
        <w:t xml:space="preserve">Centre de Protecció Vegetal i Biotecnologia, Institut Valencià d’Investigacions Agràries, 46113 Moncada (Valencia), Spain  </w:t>
      </w:r>
    </w:p>
    <w:p w14:paraId="3643B7C3" w14:textId="77777777" w:rsidR="0061686E" w:rsidRPr="00EC2E99" w:rsidRDefault="0061686E" w:rsidP="00D338BD">
      <w:pPr>
        <w:spacing w:line="360" w:lineRule="auto"/>
        <w:rPr>
          <w:rFonts w:ascii="Times New Roman" w:hAnsi="Times New Roman" w:cs="Times New Roman"/>
          <w:b/>
          <w:bCs/>
          <w:sz w:val="20"/>
          <w:szCs w:val="20"/>
          <w:lang w:val="es-ES"/>
        </w:rPr>
      </w:pPr>
    </w:p>
    <w:p w14:paraId="4F9CCFC8" w14:textId="051D42EA" w:rsidR="00C861CE" w:rsidRDefault="004748E4" w:rsidP="00D338BD">
      <w:pPr>
        <w:spacing w:line="360" w:lineRule="auto"/>
        <w:jc w:val="both"/>
        <w:rPr>
          <w:rFonts w:ascii="Times New Roman" w:hAnsi="Times New Roman" w:cs="Times New Roman"/>
          <w:sz w:val="20"/>
          <w:szCs w:val="20"/>
          <w:lang w:val="en-GB"/>
        </w:rPr>
      </w:pPr>
      <w:r w:rsidRPr="004748E4">
        <w:rPr>
          <w:rFonts w:ascii="Times New Roman" w:hAnsi="Times New Roman" w:cs="Times New Roman"/>
          <w:sz w:val="20"/>
          <w:szCs w:val="20"/>
          <w:lang w:val="en-GB"/>
        </w:rPr>
        <w:t>The Supplementary Information accompanying th</w:t>
      </w:r>
      <w:r>
        <w:rPr>
          <w:rFonts w:ascii="Times New Roman" w:hAnsi="Times New Roman" w:cs="Times New Roman"/>
          <w:sz w:val="20"/>
          <w:szCs w:val="20"/>
          <w:lang w:val="en-GB"/>
        </w:rPr>
        <w:t>e submission titled “</w:t>
      </w:r>
      <w:r w:rsidR="00C144A6" w:rsidRPr="00C144A6">
        <w:rPr>
          <w:rFonts w:ascii="Times New Roman" w:hAnsi="Times New Roman" w:cs="Times New Roman"/>
          <w:sz w:val="20"/>
          <w:szCs w:val="20"/>
          <w:lang w:val="en-GB"/>
        </w:rPr>
        <w:t>Hotspot mapping of pest introductions in the EU: A regional analysis of environmental, anthropogenic and spatial effects</w:t>
      </w:r>
      <w:r>
        <w:rPr>
          <w:rFonts w:ascii="Times New Roman" w:hAnsi="Times New Roman" w:cs="Times New Roman"/>
          <w:sz w:val="20"/>
          <w:szCs w:val="20"/>
          <w:lang w:val="en-GB"/>
        </w:rPr>
        <w:t xml:space="preserve">” </w:t>
      </w:r>
      <w:r w:rsidRPr="004748E4">
        <w:rPr>
          <w:rFonts w:ascii="Times New Roman" w:hAnsi="Times New Roman" w:cs="Times New Roman"/>
          <w:sz w:val="20"/>
          <w:szCs w:val="20"/>
          <w:lang w:val="en-GB"/>
        </w:rPr>
        <w:t>provides</w:t>
      </w:r>
      <w:r w:rsidR="00C861CE">
        <w:rPr>
          <w:rFonts w:ascii="Times New Roman" w:hAnsi="Times New Roman" w:cs="Times New Roman"/>
          <w:sz w:val="20"/>
          <w:szCs w:val="20"/>
          <w:lang w:val="en-GB"/>
        </w:rPr>
        <w:t>:</w:t>
      </w:r>
    </w:p>
    <w:p w14:paraId="3489220C" w14:textId="6325E7B0" w:rsidR="00137A44" w:rsidRDefault="00736EA4" w:rsidP="00D338BD">
      <w:pPr>
        <w:pStyle w:val="ListParagraph"/>
        <w:numPr>
          <w:ilvl w:val="0"/>
          <w:numId w:val="1"/>
        </w:num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Appendix I: </w:t>
      </w:r>
      <w:r w:rsidR="00B91B6C">
        <w:rPr>
          <w:rFonts w:ascii="Times New Roman" w:hAnsi="Times New Roman" w:cs="Times New Roman"/>
          <w:sz w:val="20"/>
          <w:szCs w:val="20"/>
          <w:lang w:val="en-GB"/>
        </w:rPr>
        <w:t xml:space="preserve">Environmental and anthropogenic variables considered in the study </w:t>
      </w:r>
      <w:r w:rsidR="009C75CB">
        <w:rPr>
          <w:rFonts w:ascii="Times New Roman" w:hAnsi="Times New Roman" w:cs="Times New Roman"/>
          <w:sz w:val="20"/>
          <w:szCs w:val="20"/>
          <w:lang w:val="en-GB"/>
        </w:rPr>
        <w:t>for the hotspot analysis</w:t>
      </w:r>
      <w:r w:rsidR="00A10E76">
        <w:rPr>
          <w:rFonts w:ascii="Times New Roman" w:hAnsi="Times New Roman" w:cs="Times New Roman"/>
          <w:sz w:val="20"/>
          <w:szCs w:val="20"/>
          <w:lang w:val="en-GB"/>
        </w:rPr>
        <w:t xml:space="preserve"> </w:t>
      </w:r>
      <w:r w:rsidR="00A10E76" w:rsidRPr="00A10E76">
        <w:rPr>
          <w:rFonts w:ascii="Times New Roman" w:hAnsi="Times New Roman" w:cs="Times New Roman"/>
          <w:sz w:val="20"/>
          <w:szCs w:val="20"/>
          <w:lang w:val="en-GB"/>
        </w:rPr>
        <w:t>to examine their potential effects on pest introduction</w:t>
      </w:r>
      <w:r w:rsidR="00A10E76">
        <w:rPr>
          <w:rFonts w:ascii="Times New Roman" w:hAnsi="Times New Roman" w:cs="Times New Roman"/>
          <w:sz w:val="20"/>
          <w:szCs w:val="20"/>
          <w:lang w:val="en-GB"/>
        </w:rPr>
        <w:t xml:space="preserve"> (Table S1)</w:t>
      </w:r>
      <w:r w:rsidR="009A00EF">
        <w:rPr>
          <w:rFonts w:ascii="Times New Roman" w:hAnsi="Times New Roman" w:cs="Times New Roman"/>
          <w:sz w:val="20"/>
          <w:szCs w:val="20"/>
          <w:lang w:val="en-GB"/>
        </w:rPr>
        <w:t>;</w:t>
      </w:r>
    </w:p>
    <w:p w14:paraId="21FB6291" w14:textId="2D6AB477" w:rsidR="00287127" w:rsidRDefault="00287127" w:rsidP="00287127">
      <w:pPr>
        <w:pStyle w:val="ListParagraph"/>
        <w:numPr>
          <w:ilvl w:val="0"/>
          <w:numId w:val="1"/>
        </w:num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Appendix II: The map of the </w:t>
      </w:r>
      <w:r w:rsidRPr="00BE3890">
        <w:rPr>
          <w:rFonts w:ascii="Times New Roman" w:hAnsi="Times New Roman" w:cs="Times New Roman"/>
          <w:sz w:val="20"/>
          <w:szCs w:val="20"/>
          <w:lang w:val="en-GB"/>
        </w:rPr>
        <w:t>network of neighbourhood relationships between NUTS2 regions</w:t>
      </w:r>
      <w:r>
        <w:rPr>
          <w:rFonts w:ascii="Times New Roman" w:hAnsi="Times New Roman" w:cs="Times New Roman"/>
          <w:sz w:val="20"/>
          <w:szCs w:val="20"/>
          <w:lang w:val="en-GB"/>
        </w:rPr>
        <w:t xml:space="preserve"> (Figure S1);</w:t>
      </w:r>
    </w:p>
    <w:p w14:paraId="4A72E738" w14:textId="70FB073C" w:rsidR="00826EE0" w:rsidRPr="00A239AB" w:rsidRDefault="00826EE0" w:rsidP="00826EE0">
      <w:pPr>
        <w:pStyle w:val="ListParagraph"/>
        <w:numPr>
          <w:ilvl w:val="0"/>
          <w:numId w:val="1"/>
        </w:num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Appendix III: F</w:t>
      </w:r>
      <w:r w:rsidRPr="00A239AB">
        <w:rPr>
          <w:rFonts w:ascii="Times New Roman" w:hAnsi="Times New Roman" w:cs="Times New Roman"/>
          <w:sz w:val="20"/>
          <w:szCs w:val="20"/>
          <w:lang w:val="en-GB"/>
        </w:rPr>
        <w:t>ive maps</w:t>
      </w:r>
      <w:r>
        <w:rPr>
          <w:rFonts w:ascii="Times New Roman" w:hAnsi="Times New Roman" w:cs="Times New Roman"/>
          <w:sz w:val="20"/>
          <w:szCs w:val="20"/>
          <w:lang w:val="en-GB"/>
        </w:rPr>
        <w:t xml:space="preserve"> (Figures S1 to S4)</w:t>
      </w:r>
      <w:r w:rsidRPr="00A239AB">
        <w:rPr>
          <w:rFonts w:ascii="Times New Roman" w:hAnsi="Times New Roman" w:cs="Times New Roman"/>
          <w:sz w:val="20"/>
          <w:szCs w:val="20"/>
          <w:lang w:val="en-GB"/>
        </w:rPr>
        <w:t xml:space="preserve"> </w:t>
      </w:r>
      <w:r>
        <w:rPr>
          <w:rFonts w:ascii="Times New Roman" w:hAnsi="Times New Roman" w:cs="Times New Roman"/>
          <w:sz w:val="20"/>
          <w:szCs w:val="20"/>
          <w:lang w:val="en-GB"/>
        </w:rPr>
        <w:t>for a</w:t>
      </w:r>
      <w:r w:rsidRPr="00B32B27">
        <w:rPr>
          <w:rFonts w:ascii="Times New Roman" w:hAnsi="Times New Roman" w:cs="Times New Roman"/>
          <w:sz w:val="20"/>
          <w:szCs w:val="20"/>
          <w:lang w:val="en-GB"/>
        </w:rPr>
        <w:t xml:space="preserve"> detailed visual analysis of the covariates pertinent to our study</w:t>
      </w:r>
      <w:r>
        <w:rPr>
          <w:rFonts w:ascii="Times New Roman" w:hAnsi="Times New Roman" w:cs="Times New Roman"/>
          <w:sz w:val="20"/>
          <w:szCs w:val="20"/>
          <w:lang w:val="en-GB"/>
        </w:rPr>
        <w:t>:</w:t>
      </w:r>
      <w:r w:rsidRPr="00A239AB">
        <w:rPr>
          <w:rFonts w:ascii="Times New Roman" w:hAnsi="Times New Roman" w:cs="Times New Roman"/>
          <w:sz w:val="20"/>
          <w:szCs w:val="20"/>
          <w:lang w:val="en-GB"/>
        </w:rPr>
        <w:t xml:space="preserve"> average temperature, average precipitation, human population density, presence</w:t>
      </w:r>
      <w:r>
        <w:rPr>
          <w:rFonts w:ascii="Times New Roman" w:hAnsi="Times New Roman" w:cs="Times New Roman"/>
          <w:sz w:val="20"/>
          <w:szCs w:val="20"/>
          <w:lang w:val="en-GB"/>
        </w:rPr>
        <w:t xml:space="preserve"> of </w:t>
      </w:r>
      <w:r w:rsidRPr="00A239AB">
        <w:rPr>
          <w:rFonts w:ascii="Times New Roman" w:hAnsi="Times New Roman" w:cs="Times New Roman"/>
          <w:sz w:val="20"/>
          <w:szCs w:val="20"/>
          <w:lang w:val="en-GB"/>
        </w:rPr>
        <w:t>Border Control Posts</w:t>
      </w:r>
      <w:r>
        <w:rPr>
          <w:rFonts w:ascii="Times New Roman" w:hAnsi="Times New Roman" w:cs="Times New Roman"/>
          <w:sz w:val="20"/>
          <w:szCs w:val="20"/>
          <w:lang w:val="en-GB"/>
        </w:rPr>
        <w:t xml:space="preserve"> (BCPs)</w:t>
      </w:r>
      <w:r w:rsidRPr="00A239AB">
        <w:rPr>
          <w:rFonts w:ascii="Times New Roman" w:hAnsi="Times New Roman" w:cs="Times New Roman"/>
          <w:sz w:val="20"/>
          <w:szCs w:val="20"/>
          <w:lang w:val="en-GB"/>
        </w:rPr>
        <w:t xml:space="preserve"> </w:t>
      </w:r>
      <w:r>
        <w:rPr>
          <w:rFonts w:ascii="Times New Roman" w:hAnsi="Times New Roman" w:cs="Times New Roman"/>
          <w:sz w:val="20"/>
          <w:szCs w:val="20"/>
          <w:lang w:val="en-GB"/>
        </w:rPr>
        <w:t>and</w:t>
      </w:r>
      <w:r w:rsidRPr="00A239AB">
        <w:rPr>
          <w:rFonts w:ascii="Times New Roman" w:hAnsi="Times New Roman" w:cs="Times New Roman"/>
          <w:sz w:val="20"/>
          <w:szCs w:val="20"/>
          <w:lang w:val="en-GB"/>
        </w:rPr>
        <w:t xml:space="preserve"> Control Points</w:t>
      </w:r>
      <w:r>
        <w:rPr>
          <w:rFonts w:ascii="Times New Roman" w:hAnsi="Times New Roman" w:cs="Times New Roman"/>
          <w:sz w:val="20"/>
          <w:szCs w:val="20"/>
          <w:lang w:val="en-GB"/>
        </w:rPr>
        <w:t xml:space="preserve"> (CPs</w:t>
      </w:r>
      <w:r w:rsidRPr="00A239AB">
        <w:rPr>
          <w:rFonts w:ascii="Times New Roman" w:hAnsi="Times New Roman" w:cs="Times New Roman"/>
          <w:sz w:val="20"/>
          <w:szCs w:val="20"/>
          <w:lang w:val="en-GB"/>
        </w:rPr>
        <w:t>) and crop diversity.</w:t>
      </w:r>
      <w:r>
        <w:rPr>
          <w:rFonts w:ascii="Times New Roman" w:hAnsi="Times New Roman" w:cs="Times New Roman"/>
          <w:sz w:val="20"/>
          <w:szCs w:val="20"/>
          <w:lang w:val="en-GB"/>
        </w:rPr>
        <w:t xml:space="preserve"> </w:t>
      </w:r>
      <w:r w:rsidRPr="00A239AB">
        <w:rPr>
          <w:rFonts w:ascii="Times New Roman" w:hAnsi="Times New Roman" w:cs="Times New Roman"/>
          <w:sz w:val="20"/>
          <w:szCs w:val="20"/>
          <w:lang w:val="en-GB"/>
        </w:rPr>
        <w:t xml:space="preserve">In these maps, layers of covariate data are juxtaposed with introductions of pests, allowing for a visual examination of spatial intersections. By overlaying covariate layers with pest introduction data, our analysis aims to visually elucidate potential correlations and spatial patterns between factors and pests’ introduction data. </w:t>
      </w:r>
    </w:p>
    <w:p w14:paraId="31D7221C" w14:textId="7597A38D" w:rsidR="00782044" w:rsidRDefault="00736EA4" w:rsidP="00D338BD">
      <w:pPr>
        <w:pStyle w:val="ListParagraph"/>
        <w:numPr>
          <w:ilvl w:val="0"/>
          <w:numId w:val="1"/>
        </w:numPr>
        <w:spacing w:line="36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Appendix I</w:t>
      </w:r>
      <w:r w:rsidR="00826EE0">
        <w:rPr>
          <w:rFonts w:ascii="Times New Roman" w:hAnsi="Times New Roman" w:cs="Times New Roman"/>
          <w:sz w:val="20"/>
          <w:szCs w:val="20"/>
          <w:lang w:val="en-GB"/>
        </w:rPr>
        <w:t>V</w:t>
      </w:r>
      <w:r>
        <w:rPr>
          <w:rFonts w:ascii="Times New Roman" w:hAnsi="Times New Roman" w:cs="Times New Roman"/>
          <w:sz w:val="20"/>
          <w:szCs w:val="20"/>
          <w:lang w:val="en-GB"/>
        </w:rPr>
        <w:t xml:space="preserve">: </w:t>
      </w:r>
      <w:r w:rsidR="009A00EF">
        <w:rPr>
          <w:rFonts w:ascii="Times New Roman" w:hAnsi="Times New Roman" w:cs="Times New Roman"/>
          <w:sz w:val="20"/>
          <w:szCs w:val="20"/>
          <w:lang w:val="en-GB"/>
        </w:rPr>
        <w:t xml:space="preserve">The </w:t>
      </w:r>
      <w:r w:rsidR="009A00EF" w:rsidRPr="009A00EF">
        <w:rPr>
          <w:rFonts w:ascii="Times New Roman" w:hAnsi="Times New Roman" w:cs="Times New Roman"/>
          <w:sz w:val="20"/>
          <w:szCs w:val="20"/>
          <w:lang w:val="en-GB"/>
        </w:rPr>
        <w:t>Pearson correlation matrix showing the correlation coefficients between variables</w:t>
      </w:r>
      <w:r w:rsidR="009A00EF">
        <w:rPr>
          <w:rFonts w:ascii="Times New Roman" w:hAnsi="Times New Roman" w:cs="Times New Roman"/>
          <w:sz w:val="20"/>
          <w:szCs w:val="20"/>
          <w:lang w:val="en-GB"/>
        </w:rPr>
        <w:t xml:space="preserve"> (Figure S1);</w:t>
      </w:r>
      <w:r w:rsidR="009A00EF" w:rsidRPr="009A00EF">
        <w:rPr>
          <w:rFonts w:ascii="Times New Roman" w:hAnsi="Times New Roman" w:cs="Times New Roman"/>
          <w:sz w:val="20"/>
          <w:szCs w:val="20"/>
          <w:lang w:val="en-GB"/>
        </w:rPr>
        <w:t xml:space="preserve"> </w:t>
      </w:r>
    </w:p>
    <w:p w14:paraId="703559A0" w14:textId="0B8AB202" w:rsidR="0015635F" w:rsidRPr="00EB3AFC" w:rsidRDefault="004D60F2" w:rsidP="00D338BD">
      <w:pPr>
        <w:pStyle w:val="ListParagraph"/>
        <w:numPr>
          <w:ilvl w:val="0"/>
          <w:numId w:val="1"/>
        </w:numPr>
        <w:spacing w:line="360" w:lineRule="auto"/>
        <w:jc w:val="both"/>
        <w:rPr>
          <w:rFonts w:ascii="Times New Roman" w:hAnsi="Times New Roman" w:cs="Times New Roman"/>
          <w:sz w:val="20"/>
          <w:szCs w:val="20"/>
          <w:lang w:val="en-GB"/>
        </w:rPr>
      </w:pPr>
      <w:r w:rsidRPr="00EB3AFC">
        <w:rPr>
          <w:rFonts w:ascii="Times New Roman" w:hAnsi="Times New Roman" w:cs="Times New Roman"/>
          <w:sz w:val="20"/>
          <w:szCs w:val="20"/>
          <w:lang w:val="en-GB"/>
        </w:rPr>
        <w:t xml:space="preserve">Appendix V: </w:t>
      </w:r>
      <w:r w:rsidR="00EB3AFC">
        <w:rPr>
          <w:rFonts w:ascii="Times New Roman" w:hAnsi="Times New Roman" w:cs="Times New Roman"/>
          <w:sz w:val="20"/>
          <w:szCs w:val="20"/>
          <w:lang w:val="en-GB"/>
        </w:rPr>
        <w:t>10 b</w:t>
      </w:r>
      <w:r w:rsidR="007B6302" w:rsidRPr="00EB3AFC">
        <w:rPr>
          <w:rFonts w:ascii="Times New Roman" w:hAnsi="Times New Roman" w:cs="Times New Roman"/>
          <w:sz w:val="20"/>
          <w:szCs w:val="20"/>
          <w:lang w:val="en-GB"/>
        </w:rPr>
        <w:t xml:space="preserve">est models based on the Watanabe Akaike information criterion (WAIC) and deviance information criterion (DIC). </w:t>
      </w:r>
    </w:p>
    <w:p w14:paraId="048B0DDF" w14:textId="77777777" w:rsidR="004748E4" w:rsidRDefault="004748E4" w:rsidP="00D338BD">
      <w:pPr>
        <w:spacing w:line="360" w:lineRule="auto"/>
        <w:jc w:val="both"/>
        <w:rPr>
          <w:rFonts w:ascii="Times New Roman" w:hAnsi="Times New Roman" w:cs="Times New Roman"/>
          <w:noProof/>
          <w:sz w:val="20"/>
          <w:szCs w:val="20"/>
          <w:lang w:val="en-GB"/>
        </w:rPr>
      </w:pPr>
    </w:p>
    <w:p w14:paraId="1921A089" w14:textId="77777777" w:rsidR="003668E8" w:rsidRDefault="003668E8" w:rsidP="00D338BD">
      <w:pPr>
        <w:spacing w:line="360" w:lineRule="auto"/>
        <w:jc w:val="both"/>
        <w:rPr>
          <w:rFonts w:ascii="Times New Roman" w:hAnsi="Times New Roman" w:cs="Times New Roman"/>
          <w:noProof/>
          <w:sz w:val="20"/>
          <w:szCs w:val="20"/>
          <w:lang w:val="en-GB"/>
        </w:rPr>
      </w:pPr>
    </w:p>
    <w:p w14:paraId="196313B2" w14:textId="77777777" w:rsidR="003668E8" w:rsidRDefault="003668E8" w:rsidP="00D338BD">
      <w:pPr>
        <w:spacing w:line="360" w:lineRule="auto"/>
        <w:jc w:val="both"/>
        <w:rPr>
          <w:rFonts w:ascii="Times New Roman" w:hAnsi="Times New Roman" w:cs="Times New Roman"/>
          <w:noProof/>
          <w:sz w:val="20"/>
          <w:szCs w:val="20"/>
          <w:lang w:val="en-GB"/>
        </w:rPr>
      </w:pPr>
    </w:p>
    <w:p w14:paraId="25652BD1" w14:textId="77777777" w:rsidR="003668E8" w:rsidRDefault="003668E8" w:rsidP="00D338BD">
      <w:pPr>
        <w:spacing w:line="360" w:lineRule="auto"/>
        <w:jc w:val="both"/>
        <w:rPr>
          <w:rFonts w:ascii="Times New Roman" w:hAnsi="Times New Roman" w:cs="Times New Roman"/>
          <w:noProof/>
          <w:sz w:val="20"/>
          <w:szCs w:val="20"/>
          <w:lang w:val="en-GB"/>
        </w:rPr>
      </w:pPr>
    </w:p>
    <w:p w14:paraId="4D537E13" w14:textId="77777777" w:rsidR="003668E8" w:rsidRDefault="003668E8" w:rsidP="00D338BD">
      <w:pPr>
        <w:spacing w:line="360" w:lineRule="auto"/>
        <w:jc w:val="both"/>
        <w:rPr>
          <w:rFonts w:ascii="Times New Roman" w:hAnsi="Times New Roman" w:cs="Times New Roman"/>
          <w:noProof/>
          <w:sz w:val="20"/>
          <w:szCs w:val="20"/>
          <w:lang w:val="en-GB"/>
        </w:rPr>
      </w:pPr>
    </w:p>
    <w:p w14:paraId="164C8F73" w14:textId="77777777" w:rsidR="001C45B6" w:rsidRDefault="001C45B6" w:rsidP="00D338BD">
      <w:pPr>
        <w:spacing w:line="360" w:lineRule="auto"/>
        <w:jc w:val="both"/>
        <w:rPr>
          <w:rFonts w:ascii="Times New Roman" w:hAnsi="Times New Roman" w:cs="Times New Roman"/>
          <w:noProof/>
          <w:sz w:val="20"/>
          <w:szCs w:val="20"/>
          <w:lang w:val="en-GB"/>
        </w:rPr>
      </w:pPr>
    </w:p>
    <w:p w14:paraId="44A27995" w14:textId="77777777" w:rsidR="003668E8" w:rsidRDefault="003668E8" w:rsidP="00D338BD">
      <w:pPr>
        <w:spacing w:line="360" w:lineRule="auto"/>
        <w:jc w:val="both"/>
        <w:rPr>
          <w:rFonts w:ascii="Times New Roman" w:hAnsi="Times New Roman" w:cs="Times New Roman"/>
          <w:noProof/>
          <w:sz w:val="20"/>
          <w:szCs w:val="20"/>
          <w:lang w:val="en-GB"/>
        </w:rPr>
      </w:pPr>
    </w:p>
    <w:p w14:paraId="0576E41F" w14:textId="77777777" w:rsidR="003668E8" w:rsidRDefault="003668E8" w:rsidP="00D338BD">
      <w:pPr>
        <w:spacing w:line="360" w:lineRule="auto"/>
        <w:jc w:val="both"/>
        <w:rPr>
          <w:rFonts w:ascii="Times New Roman" w:hAnsi="Times New Roman" w:cs="Times New Roman"/>
          <w:noProof/>
          <w:sz w:val="20"/>
          <w:szCs w:val="20"/>
          <w:lang w:val="en-GB"/>
        </w:rPr>
      </w:pPr>
    </w:p>
    <w:p w14:paraId="0498180B" w14:textId="2F9AB6E7" w:rsidR="003668E8" w:rsidRDefault="004766F3" w:rsidP="00D338BD">
      <w:pPr>
        <w:spacing w:line="360" w:lineRule="auto"/>
        <w:jc w:val="both"/>
        <w:rPr>
          <w:rFonts w:ascii="Times New Roman" w:hAnsi="Times New Roman" w:cs="Times New Roman"/>
          <w:b/>
          <w:bCs/>
          <w:noProof/>
          <w:sz w:val="20"/>
          <w:szCs w:val="20"/>
          <w:lang w:val="en-GB"/>
        </w:rPr>
      </w:pPr>
      <w:r w:rsidRPr="004766F3">
        <w:rPr>
          <w:rFonts w:ascii="Times New Roman" w:hAnsi="Times New Roman" w:cs="Times New Roman"/>
          <w:b/>
          <w:bCs/>
          <w:noProof/>
          <w:sz w:val="20"/>
          <w:szCs w:val="20"/>
          <w:lang w:val="en-GB"/>
        </w:rPr>
        <w:t>Appendix I: Environmental and anthropogenic variables</w:t>
      </w:r>
    </w:p>
    <w:p w14:paraId="665125C5" w14:textId="77777777" w:rsidR="00D347A2" w:rsidRDefault="00D347A2" w:rsidP="00D338BD">
      <w:pPr>
        <w:spacing w:line="360" w:lineRule="auto"/>
        <w:jc w:val="both"/>
        <w:rPr>
          <w:rFonts w:ascii="Times New Roman" w:hAnsi="Times New Roman" w:cs="Times New Roman"/>
          <w:noProof/>
          <w:sz w:val="20"/>
          <w:szCs w:val="20"/>
          <w:lang w:val="en-GB"/>
        </w:rPr>
      </w:pPr>
    </w:p>
    <w:p w14:paraId="0C3B9937" w14:textId="65D5B6B9" w:rsidR="00DB344D" w:rsidRPr="00AE0622" w:rsidRDefault="00DB344D" w:rsidP="00AE0622">
      <w:pPr>
        <w:pStyle w:val="Caption"/>
        <w:keepNext/>
        <w:spacing w:line="360" w:lineRule="auto"/>
        <w:jc w:val="both"/>
        <w:rPr>
          <w:rFonts w:ascii="Times New Roman" w:hAnsi="Times New Roman" w:cs="Times New Roman"/>
          <w:i w:val="0"/>
          <w:iCs w:val="0"/>
          <w:color w:val="auto"/>
          <w:sz w:val="20"/>
          <w:szCs w:val="20"/>
          <w:lang w:val="en-GB"/>
        </w:rPr>
      </w:pPr>
      <w:r w:rsidRPr="00AE0622">
        <w:rPr>
          <w:rFonts w:ascii="Times New Roman" w:hAnsi="Times New Roman" w:cs="Times New Roman"/>
          <w:i w:val="0"/>
          <w:iCs w:val="0"/>
          <w:color w:val="auto"/>
          <w:sz w:val="20"/>
          <w:szCs w:val="20"/>
          <w:lang w:val="en-GB"/>
        </w:rPr>
        <w:t xml:space="preserve">Table </w:t>
      </w:r>
      <w:r w:rsidR="00D347A2">
        <w:rPr>
          <w:rFonts w:ascii="Times New Roman" w:hAnsi="Times New Roman" w:cs="Times New Roman"/>
          <w:i w:val="0"/>
          <w:iCs w:val="0"/>
          <w:color w:val="auto"/>
          <w:sz w:val="20"/>
          <w:szCs w:val="20"/>
          <w:lang w:val="en-GB"/>
        </w:rPr>
        <w:t>S</w:t>
      </w:r>
      <w:r w:rsidRPr="00AE0622">
        <w:rPr>
          <w:rFonts w:ascii="Times New Roman" w:hAnsi="Times New Roman" w:cs="Times New Roman"/>
          <w:i w:val="0"/>
          <w:iCs w:val="0"/>
          <w:color w:val="auto"/>
          <w:sz w:val="20"/>
          <w:szCs w:val="20"/>
        </w:rPr>
        <w:fldChar w:fldCharType="begin"/>
      </w:r>
      <w:r w:rsidRPr="00AE0622">
        <w:rPr>
          <w:rFonts w:ascii="Times New Roman" w:hAnsi="Times New Roman" w:cs="Times New Roman"/>
          <w:i w:val="0"/>
          <w:iCs w:val="0"/>
          <w:color w:val="auto"/>
          <w:sz w:val="20"/>
          <w:szCs w:val="20"/>
          <w:lang w:val="en-GB"/>
        </w:rPr>
        <w:instrText xml:space="preserve"> SEQ Tabla \* ARABIC </w:instrText>
      </w:r>
      <w:r w:rsidRPr="00AE0622">
        <w:rPr>
          <w:rFonts w:ascii="Times New Roman" w:hAnsi="Times New Roman" w:cs="Times New Roman"/>
          <w:i w:val="0"/>
          <w:iCs w:val="0"/>
          <w:color w:val="auto"/>
          <w:sz w:val="20"/>
          <w:szCs w:val="20"/>
        </w:rPr>
        <w:fldChar w:fldCharType="separate"/>
      </w:r>
      <w:r w:rsidRPr="00AE0622">
        <w:rPr>
          <w:rFonts w:ascii="Times New Roman" w:hAnsi="Times New Roman" w:cs="Times New Roman"/>
          <w:i w:val="0"/>
          <w:iCs w:val="0"/>
          <w:noProof/>
          <w:color w:val="auto"/>
          <w:sz w:val="20"/>
          <w:szCs w:val="20"/>
          <w:lang w:val="en-GB"/>
        </w:rPr>
        <w:t>1</w:t>
      </w:r>
      <w:r w:rsidRPr="00AE0622">
        <w:rPr>
          <w:rFonts w:ascii="Times New Roman" w:hAnsi="Times New Roman" w:cs="Times New Roman"/>
          <w:i w:val="0"/>
          <w:iCs w:val="0"/>
          <w:color w:val="auto"/>
          <w:sz w:val="20"/>
          <w:szCs w:val="20"/>
        </w:rPr>
        <w:fldChar w:fldCharType="end"/>
      </w:r>
      <w:r w:rsidRPr="00AE0622">
        <w:rPr>
          <w:rFonts w:ascii="Times New Roman" w:hAnsi="Times New Roman" w:cs="Times New Roman"/>
          <w:i w:val="0"/>
          <w:iCs w:val="0"/>
          <w:color w:val="auto"/>
          <w:sz w:val="20"/>
          <w:szCs w:val="20"/>
          <w:lang w:val="en-GB"/>
        </w:rPr>
        <w:t xml:space="preserve">: </w:t>
      </w:r>
      <w:r w:rsidR="00AE0622">
        <w:rPr>
          <w:rFonts w:ascii="Times New Roman" w:hAnsi="Times New Roman" w:cs="Times New Roman"/>
          <w:i w:val="0"/>
          <w:iCs w:val="0"/>
          <w:color w:val="auto"/>
          <w:sz w:val="20"/>
          <w:szCs w:val="20"/>
          <w:lang w:val="en-GB"/>
        </w:rPr>
        <w:t>D</w:t>
      </w:r>
      <w:r w:rsidR="00AE0622" w:rsidRPr="00AE0622">
        <w:rPr>
          <w:rFonts w:ascii="Times New Roman" w:hAnsi="Times New Roman" w:cs="Times New Roman"/>
          <w:i w:val="0"/>
          <w:iCs w:val="0"/>
          <w:color w:val="auto"/>
          <w:sz w:val="20"/>
          <w:szCs w:val="20"/>
          <w:lang w:val="en-GB"/>
        </w:rPr>
        <w:t xml:space="preserve">escription of the key environmental and </w:t>
      </w:r>
      <w:r w:rsidR="00735079">
        <w:rPr>
          <w:rFonts w:ascii="Times New Roman" w:hAnsi="Times New Roman" w:cs="Times New Roman"/>
          <w:i w:val="0"/>
          <w:iCs w:val="0"/>
          <w:color w:val="auto"/>
          <w:sz w:val="20"/>
          <w:szCs w:val="20"/>
          <w:lang w:val="en-GB"/>
        </w:rPr>
        <w:t>anthropogenic</w:t>
      </w:r>
      <w:r w:rsidR="00AE0622" w:rsidRPr="00AE0622">
        <w:rPr>
          <w:rFonts w:ascii="Times New Roman" w:hAnsi="Times New Roman" w:cs="Times New Roman"/>
          <w:i w:val="0"/>
          <w:iCs w:val="0"/>
          <w:color w:val="auto"/>
          <w:sz w:val="20"/>
          <w:szCs w:val="20"/>
          <w:lang w:val="en-GB"/>
        </w:rPr>
        <w:t xml:space="preserve"> variables used in the study</w:t>
      </w:r>
      <w:r w:rsidR="00735079">
        <w:rPr>
          <w:rFonts w:ascii="Times New Roman" w:hAnsi="Times New Roman" w:cs="Times New Roman"/>
          <w:i w:val="0"/>
          <w:iCs w:val="0"/>
          <w:color w:val="auto"/>
          <w:sz w:val="20"/>
          <w:szCs w:val="20"/>
          <w:lang w:val="en-GB"/>
        </w:rPr>
        <w:t>.</w:t>
      </w:r>
      <w:r w:rsidR="00AE0622" w:rsidRPr="00AE0622">
        <w:rPr>
          <w:rFonts w:ascii="Times New Roman" w:hAnsi="Times New Roman" w:cs="Times New Roman"/>
          <w:i w:val="0"/>
          <w:iCs w:val="0"/>
          <w:color w:val="auto"/>
          <w:sz w:val="20"/>
          <w:szCs w:val="20"/>
          <w:lang w:val="en-GB"/>
        </w:rPr>
        <w:t xml:space="preserve"> Information on the spatial resolution, data sources, reference periods, and descriptions of each variable is provided.</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28"/>
        <w:gridCol w:w="994"/>
        <w:gridCol w:w="1417"/>
        <w:gridCol w:w="851"/>
        <w:gridCol w:w="2835"/>
        <w:gridCol w:w="1791"/>
      </w:tblGrid>
      <w:tr w:rsidR="00DB344D" w:rsidRPr="00767EF7" w14:paraId="76F8BC3F" w14:textId="77777777" w:rsidTr="00BA542C">
        <w:trPr>
          <w:trHeight w:val="879"/>
        </w:trPr>
        <w:tc>
          <w:tcPr>
            <w:tcW w:w="626" w:type="pct"/>
          </w:tcPr>
          <w:p w14:paraId="65719D15" w14:textId="77777777" w:rsidR="00DB344D" w:rsidRPr="00767EF7" w:rsidRDefault="00DB344D" w:rsidP="00BA542C">
            <w:pPr>
              <w:spacing w:line="276" w:lineRule="auto"/>
              <w:rPr>
                <w:rFonts w:ascii="Times New Roman" w:eastAsia="Times New Roman" w:hAnsi="Times New Roman" w:cs="Times New Roman"/>
                <w:b/>
                <w:color w:val="000000"/>
                <w:sz w:val="16"/>
                <w:szCs w:val="16"/>
              </w:rPr>
            </w:pPr>
            <w:r w:rsidRPr="00767EF7">
              <w:rPr>
                <w:rFonts w:ascii="Times New Roman" w:eastAsia="Times New Roman" w:hAnsi="Times New Roman" w:cs="Times New Roman"/>
                <w:b/>
                <w:color w:val="000000"/>
                <w:sz w:val="16"/>
                <w:szCs w:val="16"/>
              </w:rPr>
              <w:t>Variable</w:t>
            </w:r>
          </w:p>
        </w:tc>
        <w:tc>
          <w:tcPr>
            <w:tcW w:w="551" w:type="pct"/>
          </w:tcPr>
          <w:p w14:paraId="52A4211E" w14:textId="77777777" w:rsidR="00DB344D" w:rsidRPr="00767EF7" w:rsidRDefault="00DB344D" w:rsidP="00BA542C">
            <w:pPr>
              <w:spacing w:line="276" w:lineRule="auto"/>
              <w:rPr>
                <w:rFonts w:ascii="Times New Roman" w:eastAsia="Times New Roman" w:hAnsi="Times New Roman" w:cs="Times New Roman"/>
                <w:b/>
                <w:color w:val="000000"/>
                <w:sz w:val="16"/>
                <w:szCs w:val="16"/>
              </w:rPr>
            </w:pPr>
            <w:r w:rsidRPr="00767EF7">
              <w:rPr>
                <w:rFonts w:ascii="Times New Roman" w:eastAsia="Times New Roman" w:hAnsi="Times New Roman" w:cs="Times New Roman"/>
                <w:b/>
                <w:color w:val="000000"/>
                <w:sz w:val="16"/>
                <w:szCs w:val="16"/>
              </w:rPr>
              <w:t>Spatial resolution used</w:t>
            </w:r>
          </w:p>
        </w:tc>
        <w:tc>
          <w:tcPr>
            <w:tcW w:w="786" w:type="pct"/>
          </w:tcPr>
          <w:p w14:paraId="7D976AB7" w14:textId="77777777" w:rsidR="00DB344D" w:rsidRPr="00767EF7" w:rsidRDefault="00DB344D" w:rsidP="00BA542C">
            <w:pPr>
              <w:spacing w:line="276" w:lineRule="auto"/>
              <w:rPr>
                <w:rFonts w:ascii="Times New Roman" w:eastAsia="Times New Roman" w:hAnsi="Times New Roman" w:cs="Times New Roman"/>
                <w:b/>
                <w:color w:val="000000"/>
                <w:sz w:val="16"/>
                <w:szCs w:val="16"/>
              </w:rPr>
            </w:pPr>
            <w:r w:rsidRPr="00767EF7">
              <w:rPr>
                <w:rFonts w:ascii="Times New Roman" w:eastAsia="Times New Roman" w:hAnsi="Times New Roman" w:cs="Times New Roman"/>
                <w:b/>
                <w:color w:val="000000"/>
                <w:sz w:val="16"/>
                <w:szCs w:val="16"/>
              </w:rPr>
              <w:t>Dataset or Source</w:t>
            </w:r>
          </w:p>
        </w:tc>
        <w:tc>
          <w:tcPr>
            <w:tcW w:w="472" w:type="pct"/>
          </w:tcPr>
          <w:p w14:paraId="34E5E11F" w14:textId="77777777" w:rsidR="00DB344D" w:rsidRPr="00767EF7" w:rsidRDefault="00DB344D" w:rsidP="00BA542C">
            <w:pPr>
              <w:spacing w:line="276" w:lineRule="auto"/>
              <w:rPr>
                <w:rFonts w:ascii="Times New Roman" w:eastAsia="Times New Roman" w:hAnsi="Times New Roman" w:cs="Times New Roman"/>
                <w:b/>
                <w:color w:val="000000"/>
                <w:sz w:val="16"/>
                <w:szCs w:val="16"/>
              </w:rPr>
            </w:pPr>
            <w:r w:rsidRPr="00767EF7">
              <w:rPr>
                <w:rFonts w:ascii="Times New Roman" w:eastAsia="Times New Roman" w:hAnsi="Times New Roman" w:cs="Times New Roman"/>
                <w:b/>
                <w:color w:val="000000"/>
                <w:sz w:val="16"/>
                <w:szCs w:val="16"/>
              </w:rPr>
              <w:t>Reference period</w:t>
            </w:r>
          </w:p>
        </w:tc>
        <w:tc>
          <w:tcPr>
            <w:tcW w:w="1572" w:type="pct"/>
          </w:tcPr>
          <w:p w14:paraId="71FA38CD" w14:textId="77777777" w:rsidR="00DB344D" w:rsidRPr="00767EF7" w:rsidRDefault="00DB344D" w:rsidP="00BA542C">
            <w:pPr>
              <w:spacing w:line="276" w:lineRule="auto"/>
              <w:rPr>
                <w:rFonts w:ascii="Times New Roman" w:eastAsia="Times New Roman" w:hAnsi="Times New Roman" w:cs="Times New Roman"/>
                <w:b/>
                <w:color w:val="000000"/>
                <w:sz w:val="16"/>
                <w:szCs w:val="16"/>
              </w:rPr>
            </w:pPr>
            <w:r w:rsidRPr="00767EF7">
              <w:rPr>
                <w:rFonts w:ascii="Times New Roman" w:eastAsia="Times New Roman" w:hAnsi="Times New Roman" w:cs="Times New Roman"/>
                <w:b/>
                <w:color w:val="000000"/>
                <w:sz w:val="16"/>
                <w:szCs w:val="16"/>
              </w:rPr>
              <w:t>Description</w:t>
            </w:r>
          </w:p>
        </w:tc>
        <w:tc>
          <w:tcPr>
            <w:tcW w:w="993" w:type="pct"/>
          </w:tcPr>
          <w:p w14:paraId="276208CF" w14:textId="77777777" w:rsidR="00DB344D" w:rsidRPr="00767EF7" w:rsidRDefault="00DB344D" w:rsidP="00BA542C">
            <w:pPr>
              <w:rPr>
                <w:rFonts w:ascii="Times New Roman" w:eastAsia="Times New Roman" w:hAnsi="Times New Roman" w:cs="Times New Roman"/>
                <w:b/>
                <w:color w:val="000000"/>
                <w:sz w:val="16"/>
                <w:szCs w:val="16"/>
              </w:rPr>
            </w:pPr>
            <w:r w:rsidRPr="00767EF7">
              <w:rPr>
                <w:rFonts w:ascii="Times New Roman" w:eastAsia="Times New Roman" w:hAnsi="Times New Roman" w:cs="Times New Roman"/>
                <w:b/>
                <w:color w:val="000000"/>
                <w:sz w:val="16"/>
                <w:szCs w:val="16"/>
              </w:rPr>
              <w:t>Data downloadable from:</w:t>
            </w:r>
          </w:p>
        </w:tc>
      </w:tr>
      <w:tr w:rsidR="00DB344D" w:rsidRPr="00C144A6" w14:paraId="58BFD81C" w14:textId="77777777" w:rsidTr="00BA542C">
        <w:trPr>
          <w:trHeight w:val="1701"/>
        </w:trPr>
        <w:tc>
          <w:tcPr>
            <w:tcW w:w="626" w:type="pct"/>
          </w:tcPr>
          <w:p w14:paraId="3F5AAEEE"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hAnsi="Times New Roman" w:cs="Times New Roman"/>
                <w:i/>
                <w:iCs/>
                <w:sz w:val="16"/>
                <w:szCs w:val="16"/>
                <w:lang w:val="en-GB"/>
              </w:rPr>
              <w:t>Temperature (i.e., annual average) and precipitation</w:t>
            </w:r>
          </w:p>
        </w:tc>
        <w:tc>
          <w:tcPr>
            <w:tcW w:w="551" w:type="pct"/>
          </w:tcPr>
          <w:p w14:paraId="14F5A59F" w14:textId="77777777" w:rsidR="00DB344D" w:rsidRPr="00767EF7" w:rsidRDefault="00DB344D" w:rsidP="00BA542C">
            <w:pPr>
              <w:spacing w:line="276" w:lineRule="auto"/>
              <w:jc w:val="both"/>
              <w:rPr>
                <w:rFonts w:ascii="Times New Roman" w:eastAsia="Times New Roman" w:hAnsi="Times New Roman" w:cs="Times New Roman"/>
                <w:color w:val="000000"/>
                <w:sz w:val="16"/>
                <w:szCs w:val="16"/>
              </w:rPr>
            </w:pPr>
            <w:r w:rsidRPr="00767EF7">
              <w:rPr>
                <w:rFonts w:ascii="Times New Roman" w:eastAsia="Times New Roman" w:hAnsi="Times New Roman" w:cs="Times New Roman"/>
                <w:color w:val="000000"/>
                <w:sz w:val="16"/>
                <w:szCs w:val="16"/>
              </w:rPr>
              <w:t>5 minutes of a degree</w:t>
            </w:r>
          </w:p>
        </w:tc>
        <w:tc>
          <w:tcPr>
            <w:tcW w:w="786" w:type="pct"/>
          </w:tcPr>
          <w:p w14:paraId="2EDF9157" w14:textId="77777777" w:rsidR="00DB344D" w:rsidRPr="00767EF7" w:rsidRDefault="00DB344D" w:rsidP="00BA542C">
            <w:pPr>
              <w:spacing w:line="276" w:lineRule="auto"/>
              <w:rPr>
                <w:rFonts w:ascii="Times New Roman" w:eastAsia="Times New Roman" w:hAnsi="Times New Roman" w:cs="Times New Roman"/>
                <w:color w:val="000000"/>
                <w:sz w:val="16"/>
                <w:szCs w:val="16"/>
              </w:rPr>
            </w:pPr>
            <w:r w:rsidRPr="00767EF7">
              <w:rPr>
                <w:rFonts w:ascii="Times New Roman" w:hAnsi="Times New Roman" w:cs="Times New Roman"/>
                <w:sz w:val="16"/>
                <w:szCs w:val="16"/>
                <w:lang w:val="en-GB"/>
              </w:rPr>
              <w:t>WorldClim v2.1</w:t>
            </w:r>
          </w:p>
        </w:tc>
        <w:tc>
          <w:tcPr>
            <w:tcW w:w="472" w:type="pct"/>
          </w:tcPr>
          <w:p w14:paraId="51D78282" w14:textId="77777777" w:rsidR="00DB344D" w:rsidRPr="00767EF7" w:rsidRDefault="00DB344D" w:rsidP="00BA542C">
            <w:pPr>
              <w:spacing w:line="276" w:lineRule="auto"/>
              <w:rPr>
                <w:rFonts w:ascii="Times New Roman" w:eastAsia="Times New Roman" w:hAnsi="Times New Roman" w:cs="Times New Roman"/>
                <w:color w:val="000000"/>
                <w:sz w:val="16"/>
                <w:szCs w:val="16"/>
              </w:rPr>
            </w:pPr>
            <w:r w:rsidRPr="00767EF7">
              <w:rPr>
                <w:rFonts w:ascii="Times New Roman" w:eastAsia="Times New Roman" w:hAnsi="Times New Roman" w:cs="Times New Roman"/>
                <w:color w:val="000000"/>
                <w:sz w:val="16"/>
                <w:szCs w:val="16"/>
              </w:rPr>
              <w:t>1979-2000</w:t>
            </w:r>
          </w:p>
        </w:tc>
        <w:tc>
          <w:tcPr>
            <w:tcW w:w="1572" w:type="pct"/>
          </w:tcPr>
          <w:p w14:paraId="53B68F24"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 xml:space="preserve">WorldClim Bioclimatic variables were downloaded using the R function </w:t>
            </w:r>
            <w:r w:rsidRPr="00767EF7">
              <w:rPr>
                <w:rFonts w:ascii="Courier New" w:eastAsia="Times New Roman" w:hAnsi="Courier New" w:cs="Courier New"/>
                <w:color w:val="000000"/>
                <w:sz w:val="16"/>
                <w:szCs w:val="16"/>
                <w:lang w:val="en-GB"/>
              </w:rPr>
              <w:t>worldclim_global()</w:t>
            </w:r>
            <w:r w:rsidRPr="00767EF7">
              <w:rPr>
                <w:rFonts w:ascii="Times New Roman" w:eastAsia="Times New Roman" w:hAnsi="Times New Roman" w:cs="Times New Roman"/>
                <w:color w:val="000000"/>
                <w:sz w:val="16"/>
                <w:szCs w:val="16"/>
                <w:lang w:val="en-GB"/>
              </w:rPr>
              <w:t xml:space="preserve"> which allows accessing climate data from WorldClim version 2.1. They are the average for the years 1970-2000. For the purposes of our analysis, average values of NUTS2 regions were used.</w:t>
            </w:r>
          </w:p>
        </w:tc>
        <w:tc>
          <w:tcPr>
            <w:tcW w:w="993" w:type="pct"/>
          </w:tcPr>
          <w:p w14:paraId="1D9E30B9" w14:textId="77777777" w:rsidR="00DB344D" w:rsidRPr="00767EF7" w:rsidRDefault="000D5C53" w:rsidP="00BA542C">
            <w:pPr>
              <w:rPr>
                <w:rFonts w:ascii="Times New Roman" w:eastAsia="Times New Roman" w:hAnsi="Times New Roman" w:cs="Times New Roman"/>
                <w:color w:val="000000"/>
                <w:sz w:val="16"/>
                <w:szCs w:val="16"/>
                <w:lang w:val="en-GB"/>
              </w:rPr>
            </w:pPr>
            <w:hyperlink r:id="rId11" w:history="1">
              <w:r w:rsidR="00DB344D" w:rsidRPr="00767EF7">
                <w:rPr>
                  <w:rStyle w:val="Hyperlink"/>
                  <w:rFonts w:ascii="Times New Roman" w:hAnsi="Times New Roman" w:cs="Times New Roman"/>
                  <w:sz w:val="16"/>
                  <w:szCs w:val="16"/>
                  <w:lang w:val="en-GB"/>
                </w:rPr>
                <w:t>https://www.worldclim.org/data/worldclim21.html</w:t>
              </w:r>
            </w:hyperlink>
          </w:p>
        </w:tc>
      </w:tr>
      <w:tr w:rsidR="00DB344D" w:rsidRPr="00C144A6" w14:paraId="55D764A7" w14:textId="77777777" w:rsidTr="00BA542C">
        <w:trPr>
          <w:trHeight w:val="1701"/>
        </w:trPr>
        <w:tc>
          <w:tcPr>
            <w:tcW w:w="626" w:type="pct"/>
          </w:tcPr>
          <w:p w14:paraId="52D29F22" w14:textId="77777777" w:rsidR="00DB344D" w:rsidRPr="00767EF7" w:rsidRDefault="00DB344D" w:rsidP="00BA542C">
            <w:pPr>
              <w:spacing w:line="276" w:lineRule="auto"/>
              <w:rPr>
                <w:rFonts w:ascii="Times New Roman" w:eastAsia="Times New Roman" w:hAnsi="Times New Roman" w:cs="Times New Roman"/>
                <w:i/>
                <w:iCs/>
                <w:color w:val="000000"/>
                <w:sz w:val="16"/>
                <w:szCs w:val="16"/>
                <w:lang w:val="en-GB"/>
              </w:rPr>
            </w:pPr>
            <w:r w:rsidRPr="00767EF7">
              <w:rPr>
                <w:rFonts w:ascii="Times New Roman" w:eastAsia="Times New Roman" w:hAnsi="Times New Roman" w:cs="Times New Roman"/>
                <w:i/>
                <w:iCs/>
                <w:color w:val="000000"/>
                <w:sz w:val="16"/>
                <w:szCs w:val="16"/>
                <w:lang w:val="en-GB"/>
              </w:rPr>
              <w:t>Human Population Density</w:t>
            </w:r>
          </w:p>
        </w:tc>
        <w:tc>
          <w:tcPr>
            <w:tcW w:w="551" w:type="pct"/>
          </w:tcPr>
          <w:p w14:paraId="752FC9F1" w14:textId="77777777" w:rsidR="00DB344D" w:rsidRPr="00767EF7" w:rsidRDefault="00DB344D" w:rsidP="00BA542C">
            <w:pPr>
              <w:spacing w:line="276" w:lineRule="auto"/>
              <w:jc w:val="both"/>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 xml:space="preserve">Persons per </w:t>
            </w:r>
            <w:r>
              <w:rPr>
                <w:rFonts w:ascii="Times New Roman" w:eastAsia="Times New Roman" w:hAnsi="Times New Roman" w:cs="Times New Roman"/>
                <w:color w:val="000000"/>
                <w:sz w:val="16"/>
                <w:szCs w:val="16"/>
                <w:lang w:val="en-GB"/>
              </w:rPr>
              <w:t>km</w:t>
            </w:r>
            <w:r w:rsidRPr="00556C7D">
              <w:rPr>
                <w:rFonts w:ascii="Times New Roman" w:eastAsia="Times New Roman" w:hAnsi="Times New Roman" w:cs="Times New Roman"/>
                <w:color w:val="000000"/>
                <w:sz w:val="16"/>
                <w:szCs w:val="16"/>
                <w:vertAlign w:val="superscript"/>
                <w:lang w:val="en-GB"/>
              </w:rPr>
              <w:t>2</w:t>
            </w:r>
          </w:p>
        </w:tc>
        <w:tc>
          <w:tcPr>
            <w:tcW w:w="786" w:type="pct"/>
          </w:tcPr>
          <w:p w14:paraId="456326A6"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Eurostat (the statistical office of the European Union)</w:t>
            </w:r>
            <w:r>
              <w:rPr>
                <w:rFonts w:ascii="Times New Roman" w:eastAsia="Times New Roman" w:hAnsi="Times New Roman" w:cs="Times New Roman"/>
                <w:color w:val="000000"/>
                <w:sz w:val="16"/>
                <w:szCs w:val="16"/>
                <w:lang w:val="en-GB"/>
              </w:rPr>
              <w:t>.</w:t>
            </w:r>
          </w:p>
        </w:tc>
        <w:tc>
          <w:tcPr>
            <w:tcW w:w="472" w:type="pct"/>
          </w:tcPr>
          <w:p w14:paraId="07CE9124"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Style w:val="CommentReference"/>
                <w:rFonts w:ascii="Times New Roman" w:hAnsi="Times New Roman" w:cs="Times New Roman"/>
                <w:lang w:val="en-GB"/>
              </w:rPr>
              <w:t>1</w:t>
            </w:r>
            <w:r w:rsidRPr="00767EF7">
              <w:rPr>
                <w:rStyle w:val="CommentReference"/>
                <w:rFonts w:ascii="Times New Roman" w:hAnsi="Times New Roman" w:cs="Times New Roman"/>
              </w:rPr>
              <w:t>999-2019</w:t>
            </w:r>
          </w:p>
        </w:tc>
        <w:tc>
          <w:tcPr>
            <w:tcW w:w="1572" w:type="pct"/>
          </w:tcPr>
          <w:p w14:paraId="1AA2B599" w14:textId="3191AB75"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Human population data at NUTS 2 level ("</w:t>
            </w:r>
            <w:r w:rsidRPr="00313BB8">
              <w:rPr>
                <w:rFonts w:ascii="Times New Roman" w:eastAsia="Times New Roman" w:hAnsi="Times New Roman" w:cs="Times New Roman"/>
                <w:color w:val="000000"/>
                <w:sz w:val="16"/>
                <w:szCs w:val="16"/>
                <w:lang w:val="en-GB"/>
              </w:rPr>
              <w:t>Population density by NUTS 2 region [tgs00024]</w:t>
            </w:r>
            <w:r w:rsidRPr="00767EF7">
              <w:rPr>
                <w:rFonts w:ascii="Times New Roman" w:eastAsia="Times New Roman" w:hAnsi="Times New Roman" w:cs="Times New Roman"/>
                <w:color w:val="000000"/>
                <w:sz w:val="16"/>
                <w:szCs w:val="16"/>
                <w:lang w:val="en-GB"/>
              </w:rPr>
              <w:t>") were downloaded from Eurostat</w:t>
            </w:r>
            <w:r>
              <w:rPr>
                <w:rFonts w:ascii="Times New Roman" w:eastAsia="Times New Roman" w:hAnsi="Times New Roman" w:cs="Times New Roman"/>
                <w:color w:val="000000"/>
                <w:sz w:val="16"/>
                <w:szCs w:val="16"/>
                <w:lang w:val="en-GB"/>
              </w:rPr>
              <w:t xml:space="preserve"> on 23.11.2023</w:t>
            </w:r>
            <w:r w:rsidRPr="00767EF7">
              <w:rPr>
                <w:rFonts w:ascii="Times New Roman" w:eastAsia="Times New Roman" w:hAnsi="Times New Roman" w:cs="Times New Roman"/>
                <w:color w:val="000000"/>
                <w:sz w:val="16"/>
                <w:szCs w:val="16"/>
                <w:lang w:val="en-GB"/>
              </w:rPr>
              <w:t xml:space="preserve"> in a CSV format</w:t>
            </w:r>
            <w:r>
              <w:rPr>
                <w:rFonts w:ascii="Times New Roman" w:eastAsia="Times New Roman" w:hAnsi="Times New Roman" w:cs="Times New Roman"/>
                <w:color w:val="000000"/>
                <w:sz w:val="16"/>
                <w:szCs w:val="16"/>
                <w:lang w:val="en-GB"/>
              </w:rPr>
              <w:t xml:space="preserve"> (last updated on 19.04.2023)</w:t>
            </w:r>
            <w:r w:rsidRPr="00767EF7">
              <w:rPr>
                <w:rFonts w:ascii="Times New Roman" w:eastAsia="Times New Roman" w:hAnsi="Times New Roman" w:cs="Times New Roman"/>
                <w:color w:val="000000"/>
                <w:sz w:val="16"/>
                <w:szCs w:val="16"/>
                <w:lang w:val="en-GB"/>
              </w:rPr>
              <w:t>.</w:t>
            </w:r>
          </w:p>
        </w:tc>
        <w:tc>
          <w:tcPr>
            <w:tcW w:w="993" w:type="pct"/>
          </w:tcPr>
          <w:p w14:paraId="6F1D65CD" w14:textId="77777777" w:rsidR="00DB344D" w:rsidRPr="00767EF7" w:rsidRDefault="00DB344D" w:rsidP="00BA542C">
            <w:pPr>
              <w:rPr>
                <w:rFonts w:ascii="Times New Roman" w:eastAsia="Times New Roman" w:hAnsi="Times New Roman" w:cs="Times New Roman"/>
                <w:color w:val="0563C1"/>
                <w:sz w:val="16"/>
                <w:szCs w:val="16"/>
                <w:u w:val="single"/>
                <w:lang w:val="en-GB"/>
              </w:rPr>
            </w:pPr>
            <w:r w:rsidRPr="00767EF7">
              <w:rPr>
                <w:rFonts w:ascii="Times New Roman" w:eastAsia="Times New Roman" w:hAnsi="Times New Roman" w:cs="Times New Roman"/>
                <w:color w:val="0563C1"/>
                <w:sz w:val="16"/>
                <w:szCs w:val="16"/>
                <w:u w:val="single"/>
                <w:lang w:val="en-GB"/>
              </w:rPr>
              <w:t>https://ec.europa.eu/eurostat</w:t>
            </w:r>
          </w:p>
        </w:tc>
      </w:tr>
      <w:tr w:rsidR="00DB344D" w:rsidRPr="00C144A6" w14:paraId="32948E75" w14:textId="77777777" w:rsidTr="00BA542C">
        <w:trPr>
          <w:trHeight w:val="1701"/>
        </w:trPr>
        <w:tc>
          <w:tcPr>
            <w:tcW w:w="626" w:type="pct"/>
          </w:tcPr>
          <w:p w14:paraId="433D4C2F" w14:textId="77777777" w:rsidR="00DB344D" w:rsidRPr="00767EF7" w:rsidRDefault="00DB344D" w:rsidP="00BA542C">
            <w:pPr>
              <w:spacing w:line="276" w:lineRule="auto"/>
              <w:rPr>
                <w:rFonts w:ascii="Times New Roman" w:eastAsia="Times New Roman" w:hAnsi="Times New Roman" w:cs="Times New Roman"/>
                <w:i/>
                <w:iCs/>
                <w:color w:val="000000"/>
                <w:sz w:val="16"/>
                <w:szCs w:val="16"/>
                <w:lang w:val="en-GB"/>
              </w:rPr>
            </w:pPr>
            <w:r w:rsidRPr="00767EF7">
              <w:rPr>
                <w:rFonts w:ascii="Times New Roman" w:eastAsia="Times New Roman" w:hAnsi="Times New Roman" w:cs="Times New Roman"/>
                <w:i/>
                <w:iCs/>
                <w:color w:val="000000"/>
                <w:sz w:val="16"/>
                <w:szCs w:val="16"/>
                <w:lang w:val="en-GB"/>
              </w:rPr>
              <w:t>Border Control Posts (BCPs) and Control Points (CPs)</w:t>
            </w:r>
          </w:p>
        </w:tc>
        <w:tc>
          <w:tcPr>
            <w:tcW w:w="551" w:type="pct"/>
          </w:tcPr>
          <w:p w14:paraId="21A08809"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Coordinates (latitude and longitude)</w:t>
            </w:r>
          </w:p>
        </w:tc>
        <w:tc>
          <w:tcPr>
            <w:tcW w:w="786" w:type="pct"/>
          </w:tcPr>
          <w:p w14:paraId="268F7665"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European Commission website and Map of the Border Control Posts, Control Points and Inspection Centre locations in England, Scotland, Wales, and Northern Ireland authorised for plant and plant products.</w:t>
            </w:r>
          </w:p>
        </w:tc>
        <w:tc>
          <w:tcPr>
            <w:tcW w:w="472" w:type="pct"/>
          </w:tcPr>
          <w:p w14:paraId="68BDD236" w14:textId="77777777" w:rsidR="00DB344D" w:rsidRPr="00767EF7" w:rsidRDefault="00DB344D" w:rsidP="00BA542C">
            <w:pPr>
              <w:spacing w:line="276" w:lineRule="auto"/>
              <w:rPr>
                <w:rStyle w:val="CommentReference"/>
                <w:rFonts w:ascii="Times New Roman" w:hAnsi="Times New Roman" w:cs="Times New Roman"/>
                <w:lang w:val="en-GB"/>
              </w:rPr>
            </w:pPr>
            <w:r w:rsidRPr="00767EF7">
              <w:rPr>
                <w:rStyle w:val="CommentReference"/>
                <w:rFonts w:ascii="Times New Roman" w:hAnsi="Times New Roman" w:cs="Times New Roman"/>
                <w:lang w:val="en-GB"/>
              </w:rPr>
              <w:t>C</w:t>
            </w:r>
            <w:r w:rsidRPr="00767EF7">
              <w:rPr>
                <w:rStyle w:val="CommentReference"/>
                <w:rFonts w:ascii="Times New Roman" w:hAnsi="Times New Roman" w:cs="Times New Roman"/>
              </w:rPr>
              <w:t>urrent</w:t>
            </w:r>
          </w:p>
        </w:tc>
        <w:tc>
          <w:tcPr>
            <w:tcW w:w="1572" w:type="pct"/>
          </w:tcPr>
          <w:p w14:paraId="5536536F" w14:textId="6DE14EE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 xml:space="preserve">We compiled an Excel spreadsheet with all the BCPs and CPs and extracted spatial coordinates for each point. As the UK is not a member of the EU, BCPs and CPs information was gathered from the map of the Border Control Posts, Control Points and Inspection Centre locations in England, Scotland, Wales, and </w:t>
            </w:r>
            <w:r w:rsidRPr="00BA12A1">
              <w:rPr>
                <w:rFonts w:ascii="Times New Roman" w:eastAsia="Times New Roman" w:hAnsi="Times New Roman" w:cs="Times New Roman"/>
                <w:color w:val="000000"/>
                <w:sz w:val="16"/>
                <w:szCs w:val="16"/>
                <w:lang w:val="en-GB"/>
              </w:rPr>
              <w:t xml:space="preserve">Northern </w:t>
            </w:r>
            <w:r w:rsidRPr="00484CDE">
              <w:rPr>
                <w:rFonts w:ascii="Times New Roman" w:eastAsia="Times New Roman" w:hAnsi="Times New Roman" w:cs="Times New Roman"/>
                <w:color w:val="000000"/>
                <w:sz w:val="16"/>
                <w:szCs w:val="16"/>
                <w:lang w:val="en-GB"/>
              </w:rPr>
              <w:t xml:space="preserve">Ireland authorised for plant and plant products. </w:t>
            </w:r>
            <w:r w:rsidRPr="00BA12A1">
              <w:rPr>
                <w:rFonts w:ascii="Times New Roman" w:eastAsia="Times New Roman" w:hAnsi="Times New Roman" w:cs="Times New Roman"/>
                <w:color w:val="000000"/>
                <w:sz w:val="16"/>
                <w:szCs w:val="16"/>
                <w:lang w:val="en-GB"/>
              </w:rPr>
              <w:t>For the purposes of our analysis, the cumulated number of BCPs and CPs in each</w:t>
            </w:r>
            <w:r w:rsidRPr="00767EF7">
              <w:rPr>
                <w:rFonts w:ascii="Times New Roman" w:eastAsia="Times New Roman" w:hAnsi="Times New Roman" w:cs="Times New Roman"/>
                <w:color w:val="000000"/>
                <w:sz w:val="16"/>
                <w:szCs w:val="16"/>
                <w:lang w:val="en-GB"/>
              </w:rPr>
              <w:t xml:space="preserve"> NUTS2 region was used.</w:t>
            </w:r>
          </w:p>
          <w:p w14:paraId="202B9FCB"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p>
        </w:tc>
        <w:tc>
          <w:tcPr>
            <w:tcW w:w="993" w:type="pct"/>
          </w:tcPr>
          <w:p w14:paraId="449DF9C0" w14:textId="77777777" w:rsidR="00DB344D" w:rsidRPr="00767EF7" w:rsidRDefault="000D5C53" w:rsidP="00BA542C">
            <w:pPr>
              <w:rPr>
                <w:rFonts w:ascii="Times New Roman" w:eastAsia="Times New Roman" w:hAnsi="Times New Roman" w:cs="Times New Roman"/>
                <w:color w:val="0563C1"/>
                <w:sz w:val="16"/>
                <w:szCs w:val="16"/>
                <w:u w:val="single"/>
                <w:lang w:val="en-GB"/>
              </w:rPr>
            </w:pPr>
            <w:hyperlink r:id="rId12" w:history="1">
              <w:r w:rsidR="00DB344D" w:rsidRPr="00767EF7">
                <w:rPr>
                  <w:rStyle w:val="Hyperlink"/>
                  <w:rFonts w:ascii="Times New Roman" w:eastAsia="Times New Roman" w:hAnsi="Times New Roman" w:cs="Times New Roman"/>
                  <w:sz w:val="16"/>
                  <w:szCs w:val="16"/>
                  <w:lang w:val="en-GB"/>
                </w:rPr>
                <w:t>https://food.ec.europa.eu/horizontal-topics/official-controls-and-enforcement/imported-products/contact-details-bcps-and-cps-plants-and-plant-products_en</w:t>
              </w:r>
            </w:hyperlink>
            <w:r w:rsidR="00DB344D" w:rsidRPr="00767EF7">
              <w:rPr>
                <w:rFonts w:ascii="Times New Roman" w:eastAsia="Times New Roman" w:hAnsi="Times New Roman" w:cs="Times New Roman"/>
                <w:color w:val="0563C1"/>
                <w:sz w:val="16"/>
                <w:szCs w:val="16"/>
                <w:u w:val="single"/>
                <w:lang w:val="en-GB"/>
              </w:rPr>
              <w:t xml:space="preserve"> </w:t>
            </w:r>
          </w:p>
          <w:p w14:paraId="7B830DC4" w14:textId="77777777" w:rsidR="00DB344D" w:rsidRPr="00767EF7" w:rsidRDefault="00DB344D" w:rsidP="00BA542C">
            <w:pPr>
              <w:rPr>
                <w:rFonts w:ascii="Times New Roman" w:hAnsi="Times New Roman" w:cs="Times New Roman"/>
                <w:sz w:val="16"/>
                <w:szCs w:val="16"/>
                <w:lang w:val="en-GB"/>
              </w:rPr>
            </w:pPr>
            <w:r w:rsidRPr="00767EF7">
              <w:rPr>
                <w:rFonts w:ascii="Times New Roman" w:hAnsi="Times New Roman" w:cs="Times New Roman"/>
                <w:sz w:val="16"/>
                <w:szCs w:val="16"/>
                <w:lang w:val="en-GB"/>
              </w:rPr>
              <w:t>and</w:t>
            </w:r>
          </w:p>
          <w:p w14:paraId="6DB4224B" w14:textId="77777777" w:rsidR="00DB344D" w:rsidRPr="00767EF7" w:rsidRDefault="00DB344D" w:rsidP="00BA542C">
            <w:pPr>
              <w:rPr>
                <w:rFonts w:ascii="Times New Roman" w:eastAsia="Times New Roman" w:hAnsi="Times New Roman" w:cs="Times New Roman"/>
                <w:color w:val="0563C1"/>
                <w:sz w:val="16"/>
                <w:szCs w:val="16"/>
                <w:u w:val="single"/>
                <w:lang w:val="en-GB"/>
              </w:rPr>
            </w:pPr>
            <w:r w:rsidRPr="00767EF7">
              <w:rPr>
                <w:rFonts w:ascii="Times New Roman" w:eastAsia="Times New Roman" w:hAnsi="Times New Roman" w:cs="Times New Roman"/>
                <w:color w:val="0563C1"/>
                <w:sz w:val="16"/>
                <w:szCs w:val="16"/>
                <w:u w:val="single"/>
                <w:lang w:val="en-GB"/>
              </w:rPr>
              <w:t>https://www.google.com/maps/d/viewer?mid=1qN6zDL0pX7NrIr46X3gOV265vw4odirS&amp;ll=52.97044790000003%2C-0.02014440000000839&amp;z=8</w:t>
            </w:r>
          </w:p>
        </w:tc>
      </w:tr>
      <w:tr w:rsidR="00DB344D" w:rsidRPr="00C144A6" w14:paraId="10C600EF" w14:textId="77777777" w:rsidTr="00BA542C">
        <w:trPr>
          <w:trHeight w:val="1701"/>
        </w:trPr>
        <w:tc>
          <w:tcPr>
            <w:tcW w:w="626" w:type="pct"/>
          </w:tcPr>
          <w:p w14:paraId="0829F80C" w14:textId="77777777" w:rsidR="00DB344D" w:rsidRPr="00767EF7" w:rsidRDefault="00DB344D" w:rsidP="00BA542C">
            <w:pPr>
              <w:spacing w:line="276" w:lineRule="auto"/>
              <w:rPr>
                <w:rFonts w:ascii="Times New Roman" w:eastAsia="Times New Roman" w:hAnsi="Times New Roman" w:cs="Times New Roman"/>
                <w:i/>
                <w:iCs/>
                <w:color w:val="000000"/>
                <w:sz w:val="16"/>
                <w:szCs w:val="16"/>
                <w:lang w:val="en-GB"/>
              </w:rPr>
            </w:pPr>
            <w:r w:rsidRPr="00767EF7">
              <w:rPr>
                <w:rFonts w:ascii="Times New Roman" w:eastAsia="Times New Roman" w:hAnsi="Times New Roman" w:cs="Times New Roman"/>
                <w:i/>
                <w:iCs/>
                <w:color w:val="000000"/>
                <w:sz w:val="16"/>
                <w:szCs w:val="16"/>
                <w:lang w:val="en-GB"/>
              </w:rPr>
              <w:t>Crop Diversity</w:t>
            </w:r>
          </w:p>
        </w:tc>
        <w:tc>
          <w:tcPr>
            <w:tcW w:w="551" w:type="pct"/>
          </w:tcPr>
          <w:p w14:paraId="4D1D9A28"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eastAsia="Times New Roman" w:hAnsi="Times New Roman" w:cs="Times New Roman"/>
                <w:color w:val="000000"/>
                <w:sz w:val="16"/>
                <w:szCs w:val="16"/>
                <w:lang w:val="en-GB"/>
              </w:rPr>
              <w:t>10000 m x 10000 m</w:t>
            </w:r>
          </w:p>
        </w:tc>
        <w:tc>
          <w:tcPr>
            <w:tcW w:w="786" w:type="pct"/>
          </w:tcPr>
          <w:p w14:paraId="03AFDA69" w14:textId="77777777" w:rsidR="00DB344D" w:rsidRPr="00767EF7" w:rsidRDefault="00DB344D" w:rsidP="00BA542C">
            <w:pPr>
              <w:spacing w:line="276" w:lineRule="auto"/>
              <w:rPr>
                <w:rFonts w:ascii="Times New Roman" w:hAnsi="Times New Roman" w:cs="Times New Roman"/>
                <w:sz w:val="16"/>
                <w:szCs w:val="16"/>
                <w:lang w:val="en-GB"/>
              </w:rPr>
            </w:pPr>
            <w:r w:rsidRPr="00767EF7">
              <w:rPr>
                <w:rFonts w:ascii="Times New Roman" w:hAnsi="Times New Roman" w:cs="Times New Roman"/>
                <w:sz w:val="16"/>
                <w:szCs w:val="16"/>
                <w:lang w:val="en-GB"/>
              </w:rPr>
              <w:t>Machefer et al., 2023</w:t>
            </w:r>
          </w:p>
          <w:p w14:paraId="0C5A9483"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hAnsi="Times New Roman" w:cs="Times New Roman"/>
                <w:sz w:val="16"/>
                <w:szCs w:val="16"/>
                <w:lang w:val="en-GB"/>
              </w:rPr>
              <w:t>Joint Research Centre (JRC) of the European Commission</w:t>
            </w:r>
          </w:p>
        </w:tc>
        <w:tc>
          <w:tcPr>
            <w:tcW w:w="472" w:type="pct"/>
          </w:tcPr>
          <w:p w14:paraId="0A001912" w14:textId="77777777" w:rsidR="00DB344D" w:rsidRPr="00767EF7" w:rsidRDefault="00DB344D" w:rsidP="00BA542C">
            <w:pPr>
              <w:spacing w:line="276" w:lineRule="auto"/>
              <w:rPr>
                <w:rStyle w:val="CommentReference"/>
                <w:rFonts w:ascii="Times New Roman" w:hAnsi="Times New Roman" w:cs="Times New Roman"/>
                <w:lang w:val="en-GB"/>
              </w:rPr>
            </w:pPr>
            <w:r w:rsidRPr="00767EF7">
              <w:rPr>
                <w:rFonts w:ascii="Times New Roman" w:hAnsi="Times New Roman" w:cs="Times New Roman"/>
                <w:sz w:val="16"/>
                <w:szCs w:val="16"/>
                <w:lang w:val="en-GB"/>
              </w:rPr>
              <w:t>2018</w:t>
            </w:r>
          </w:p>
        </w:tc>
        <w:tc>
          <w:tcPr>
            <w:tcW w:w="1572" w:type="pct"/>
          </w:tcPr>
          <w:p w14:paraId="40CE72D9" w14:textId="77777777" w:rsidR="00DB344D" w:rsidRPr="00767EF7" w:rsidRDefault="00DB344D" w:rsidP="00BA542C">
            <w:pPr>
              <w:spacing w:line="276" w:lineRule="auto"/>
              <w:rPr>
                <w:rFonts w:ascii="Times New Roman" w:eastAsia="Times New Roman" w:hAnsi="Times New Roman" w:cs="Times New Roman"/>
                <w:color w:val="000000"/>
                <w:sz w:val="16"/>
                <w:szCs w:val="16"/>
                <w:lang w:val="en-GB"/>
              </w:rPr>
            </w:pPr>
            <w:r w:rsidRPr="00767EF7">
              <w:rPr>
                <w:rFonts w:ascii="Times New Roman" w:hAnsi="Times New Roman" w:cs="Times New Roman"/>
                <w:sz w:val="16"/>
                <w:szCs w:val="16"/>
                <w:lang w:val="en-GB"/>
              </w:rPr>
              <w:t xml:space="preserve">We downloaded a crop diversity layer showing the EU crop diversity in 2018: the map is based on Eurostat LUCAS in-situ data and Sentinel-1 (S1) Synthetic Aperture Radar (SAR) observations. Further details can be found in </w:t>
            </w:r>
            <w:r w:rsidRPr="00767EF7">
              <w:rPr>
                <w:rFonts w:ascii="Times New Roman" w:hAnsi="Times New Roman" w:cs="Times New Roman"/>
                <w:sz w:val="16"/>
                <w:szCs w:val="16"/>
                <w:lang w:val="en-GB"/>
              </w:rPr>
              <w:fldChar w:fldCharType="begin" w:fldLock="1"/>
            </w:r>
            <w:r>
              <w:rPr>
                <w:rFonts w:ascii="Times New Roman" w:hAnsi="Times New Roman" w:cs="Times New Roman"/>
                <w:sz w:val="16"/>
                <w:szCs w:val="16"/>
                <w:lang w:val="en-GB"/>
              </w:rPr>
              <w:instrText>ADDIN CSL_CITATION {"citationItems":[{"id":"ITEM-1","itemData":{"abstract":"Understanding crop diversity is crucial for resilience in farming, ecosystem services, and effective agro-environmental policies. We utilize a novel EU-wide satellite product (2018, 10 m resolution) to assess crop diversity across different scales. We define local crop diversity ($\\alpha$-diversity) at 1 km scale, which in the EU is proportional to the area covered by large farms or clusters of small-to-medium sized farms. We also compute $\\gamma$-diversity, covering landscape, regional, and national levels crop diversity. $\\beta$-diversity ($\\gamma$/$\\alpha$) provides a measure of between agroecosystems diversity. National $\\alpha$, $\\gamma$, and $\\beta$ diversity varies greatly ($\\alpha$: 2.1-3.9, $\\gamma$: 3.5-7.5, $\\beta$: 1.22-2.27). EU-wide $\\gamma$-diversity increases logarithmically with spatial aggregation (1 km: 2.85, 100 km: 4.27). We categorize EU Member States (MS) into four groups for crop diversification policy recommendations. Compared to the USA, the EU exhibits higher diversity related to differences in farm structure and practices. High local $\\alpha$-diversity is only found for MS with small farms (&lt;25 ha), but their presence doesn't always guarantee high local diversity. This study aids CAP implementation in the EU, with potential for annual continental Copernicus crop type maps and ecosystem co-variates exploration for a deeper understanding of agro-ecosystem services.","author":[{"dropping-particle":"","family":"Machefer","given":"Melissande","non-dropping-particle":"","parse-names":false,"suffix":""},{"dropping-particle":"","family":"Zampieri","given":"Matteo","non-dropping-particle":"","parse-names":false,"suffix":""},{"dropping-particle":"","family":"Velde","given":"Marijn","non-dropping-particle":"van der","parse-names":false,"suffix":""},{"dropping-particle":"","family":"Dentener","given":"Frank","non-dropping-particle":"","parse-names":false,"suffix":""},{"dropping-particle":"","family":"Claverie","given":"Martin","non-dropping-particle":"","parse-names":false,"suffix":""},{"dropping-particle":"","family":"Andrimont","given":"Raphael d","non-dropping-particle":"","parse-names":false,"suffix":""}],"id":"ITEM-1","issued":{"date-parts":[["2023"]]},"title":"Assessing crop diversity across scales using high-resolution remote sensing over the European Union: first insights for agro-environmental policies","type":"article-journal"},"uris":["http://www.mendeley.com/documents/?uuid=93fa5296-cd64-4da0-a896-2b3e2eb8bcd7"]}],"mendeley":{"formattedCitation":"(Machefer et al. 2023)","plainTextFormattedCitation":"(Machefer et al. 2023)","previouslyFormattedCitation":"(Machefer et al. 2023)"},"properties":{"noteIndex":0},"schema":"https://github.com/citation-style-language/schema/raw/master/csl-citation.json"}</w:instrText>
            </w:r>
            <w:r w:rsidRPr="00767EF7">
              <w:rPr>
                <w:rFonts w:ascii="Times New Roman" w:hAnsi="Times New Roman" w:cs="Times New Roman"/>
                <w:sz w:val="16"/>
                <w:szCs w:val="16"/>
                <w:lang w:val="en-GB"/>
              </w:rPr>
              <w:fldChar w:fldCharType="separate"/>
            </w:r>
            <w:r w:rsidRPr="004E3D87">
              <w:rPr>
                <w:rFonts w:ascii="Times New Roman" w:hAnsi="Times New Roman" w:cs="Times New Roman"/>
                <w:noProof/>
                <w:sz w:val="16"/>
                <w:szCs w:val="16"/>
                <w:lang w:val="en-GB"/>
              </w:rPr>
              <w:t>(Machefer et al. 2023)</w:t>
            </w:r>
            <w:r w:rsidRPr="00767EF7">
              <w:rPr>
                <w:rFonts w:ascii="Times New Roman" w:hAnsi="Times New Roman" w:cs="Times New Roman"/>
                <w:sz w:val="16"/>
                <w:szCs w:val="16"/>
                <w:lang w:val="en-GB"/>
              </w:rPr>
              <w:fldChar w:fldCharType="end"/>
            </w:r>
            <w:r w:rsidRPr="00767EF7">
              <w:rPr>
                <w:rFonts w:ascii="Times New Roman" w:hAnsi="Times New Roman" w:cs="Times New Roman"/>
                <w:sz w:val="16"/>
                <w:szCs w:val="16"/>
                <w:lang w:val="en-GB"/>
              </w:rPr>
              <w:t>.</w:t>
            </w:r>
            <w:r w:rsidRPr="009D0BAF">
              <w:rPr>
                <w:lang w:val="en-GB"/>
              </w:rPr>
              <w:t xml:space="preserve"> </w:t>
            </w:r>
            <w:r w:rsidRPr="009D0BAF">
              <w:rPr>
                <w:rFonts w:ascii="Times New Roman" w:hAnsi="Times New Roman" w:cs="Times New Roman"/>
                <w:sz w:val="16"/>
                <w:szCs w:val="16"/>
                <w:lang w:val="en-GB"/>
              </w:rPr>
              <w:t>We calculated the crop diversity for each NUTS2 based on the mean of the diversity at the 10 km x 10 km scale</w:t>
            </w:r>
            <w:r>
              <w:rPr>
                <w:rFonts w:ascii="Times New Roman" w:hAnsi="Times New Roman" w:cs="Times New Roman"/>
                <w:sz w:val="16"/>
                <w:szCs w:val="16"/>
                <w:lang w:val="en-GB"/>
              </w:rPr>
              <w:t>.</w:t>
            </w:r>
          </w:p>
        </w:tc>
        <w:tc>
          <w:tcPr>
            <w:tcW w:w="993" w:type="pct"/>
          </w:tcPr>
          <w:p w14:paraId="4B18C839" w14:textId="77777777" w:rsidR="00DB344D" w:rsidRPr="00767EF7" w:rsidRDefault="00DB344D" w:rsidP="00BA542C">
            <w:pPr>
              <w:rPr>
                <w:rFonts w:ascii="Times New Roman" w:eastAsia="Times New Roman" w:hAnsi="Times New Roman" w:cs="Times New Roman"/>
                <w:color w:val="0563C1"/>
                <w:sz w:val="16"/>
                <w:szCs w:val="16"/>
                <w:u w:val="single"/>
                <w:lang w:val="en-GB"/>
              </w:rPr>
            </w:pPr>
            <w:r w:rsidRPr="00767EF7">
              <w:rPr>
                <w:rFonts w:ascii="Times New Roman" w:eastAsia="Times New Roman" w:hAnsi="Times New Roman" w:cs="Times New Roman"/>
                <w:color w:val="0563C1"/>
                <w:sz w:val="16"/>
                <w:szCs w:val="16"/>
                <w:u w:val="single"/>
                <w:lang w:val="en-GB"/>
              </w:rPr>
              <w:t>https://jeodpp.jrc.ec.europa.eu/ftp/jrc-opendata/DRLL/CropDiversity/CropdDiversity/</w:t>
            </w:r>
          </w:p>
        </w:tc>
      </w:tr>
    </w:tbl>
    <w:p w14:paraId="171E9C94" w14:textId="77777777" w:rsidR="00DB344D" w:rsidRPr="0067230E" w:rsidRDefault="00DB344D" w:rsidP="00DB344D">
      <w:pPr>
        <w:spacing w:line="360" w:lineRule="auto"/>
        <w:jc w:val="both"/>
        <w:rPr>
          <w:rFonts w:ascii="Times New Roman" w:hAnsi="Times New Roman" w:cs="Times New Roman"/>
          <w:sz w:val="14"/>
          <w:szCs w:val="14"/>
          <w:lang w:val="en-GB"/>
        </w:rPr>
      </w:pPr>
    </w:p>
    <w:p w14:paraId="00C4F0B2" w14:textId="77777777" w:rsidR="003668E8" w:rsidRDefault="003668E8" w:rsidP="00D338BD">
      <w:pPr>
        <w:spacing w:line="360" w:lineRule="auto"/>
        <w:jc w:val="both"/>
        <w:rPr>
          <w:rFonts w:ascii="Times New Roman" w:hAnsi="Times New Roman" w:cs="Times New Roman"/>
          <w:noProof/>
          <w:sz w:val="20"/>
          <w:szCs w:val="20"/>
          <w:lang w:val="en-GB"/>
        </w:rPr>
      </w:pPr>
    </w:p>
    <w:p w14:paraId="7628EDBA" w14:textId="478F7691" w:rsidR="00D347A2" w:rsidRPr="00D347A2" w:rsidRDefault="00D347A2" w:rsidP="00D338BD">
      <w:pPr>
        <w:spacing w:line="360" w:lineRule="auto"/>
        <w:jc w:val="both"/>
        <w:rPr>
          <w:rFonts w:ascii="Times New Roman" w:hAnsi="Times New Roman" w:cs="Times New Roman"/>
          <w:b/>
          <w:bCs/>
          <w:noProof/>
          <w:sz w:val="20"/>
          <w:szCs w:val="20"/>
          <w:lang w:val="en-GB"/>
        </w:rPr>
      </w:pPr>
      <w:r w:rsidRPr="00D347A2">
        <w:rPr>
          <w:rFonts w:ascii="Times New Roman" w:hAnsi="Times New Roman" w:cs="Times New Roman"/>
          <w:b/>
          <w:bCs/>
          <w:noProof/>
          <w:sz w:val="20"/>
          <w:szCs w:val="20"/>
          <w:lang w:val="en-GB"/>
        </w:rPr>
        <w:lastRenderedPageBreak/>
        <w:t>Appendix II: map of the network of neighbourhood relationships between NUTS2 regions</w:t>
      </w:r>
    </w:p>
    <w:p w14:paraId="1B7EF999" w14:textId="1E172D94" w:rsidR="003668E8" w:rsidRDefault="00DC442B" w:rsidP="00D338BD">
      <w:pPr>
        <w:spacing w:line="360" w:lineRule="auto"/>
        <w:jc w:val="both"/>
        <w:rPr>
          <w:rFonts w:ascii="Times New Roman" w:hAnsi="Times New Roman" w:cs="Times New Roman"/>
          <w:noProof/>
          <w:sz w:val="20"/>
          <w:szCs w:val="20"/>
          <w:lang w:val="en-GB"/>
        </w:rPr>
      </w:pPr>
      <w:r>
        <w:rPr>
          <w:noProof/>
        </w:rPr>
        <w:drawing>
          <wp:inline distT="0" distB="0" distL="0" distR="0" wp14:anchorId="7A3C4A0C" wp14:editId="4D12DAEA">
            <wp:extent cx="5318150" cy="5912656"/>
            <wp:effectExtent l="0" t="0" r="0" b="0"/>
            <wp:docPr id="809402212" name="Picture 1" descr="A map of europe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02212" name="Picture 1" descr="A map of europe with red lines&#10;&#10;Description automatically generated"/>
                    <pic:cNvPicPr/>
                  </pic:nvPicPr>
                  <pic:blipFill>
                    <a:blip r:embed="rId13"/>
                    <a:stretch>
                      <a:fillRect/>
                    </a:stretch>
                  </pic:blipFill>
                  <pic:spPr>
                    <a:xfrm>
                      <a:off x="0" y="0"/>
                      <a:ext cx="5322671" cy="5917682"/>
                    </a:xfrm>
                    <a:prstGeom prst="rect">
                      <a:avLst/>
                    </a:prstGeom>
                  </pic:spPr>
                </pic:pic>
              </a:graphicData>
            </a:graphic>
          </wp:inline>
        </w:drawing>
      </w:r>
    </w:p>
    <w:p w14:paraId="356940BB" w14:textId="1A970305" w:rsidR="003668E8" w:rsidRPr="00BE3890" w:rsidRDefault="003668E8" w:rsidP="00BE3890">
      <w:pPr>
        <w:spacing w:line="360" w:lineRule="auto"/>
        <w:jc w:val="center"/>
        <w:rPr>
          <w:rFonts w:ascii="Times New Roman" w:hAnsi="Times New Roman" w:cs="Times New Roman"/>
          <w:sz w:val="20"/>
          <w:szCs w:val="20"/>
          <w:lang w:val="en-GB"/>
        </w:rPr>
      </w:pPr>
      <w:r w:rsidRPr="00BE3890">
        <w:rPr>
          <w:rFonts w:ascii="Times New Roman" w:hAnsi="Times New Roman" w:cs="Times New Roman"/>
          <w:sz w:val="20"/>
          <w:szCs w:val="20"/>
          <w:lang w:val="en-GB"/>
        </w:rPr>
        <w:t xml:space="preserve">Figure </w:t>
      </w:r>
      <w:r w:rsidR="00D347A2">
        <w:rPr>
          <w:rFonts w:ascii="Times New Roman" w:hAnsi="Times New Roman" w:cs="Times New Roman"/>
          <w:sz w:val="20"/>
          <w:szCs w:val="20"/>
          <w:lang w:val="en-GB"/>
        </w:rPr>
        <w:t>S1</w:t>
      </w:r>
      <w:r w:rsidRPr="00BE3890">
        <w:rPr>
          <w:rFonts w:ascii="Times New Roman" w:hAnsi="Times New Roman" w:cs="Times New Roman"/>
          <w:sz w:val="20"/>
          <w:szCs w:val="20"/>
          <w:lang w:val="en-GB"/>
        </w:rPr>
        <w:t xml:space="preserve">: </w:t>
      </w:r>
      <w:r w:rsidR="00AC0031">
        <w:rPr>
          <w:rFonts w:ascii="Times New Roman" w:hAnsi="Times New Roman" w:cs="Times New Roman"/>
          <w:sz w:val="20"/>
          <w:szCs w:val="20"/>
          <w:lang w:val="en-GB"/>
        </w:rPr>
        <w:t>N</w:t>
      </w:r>
      <w:r w:rsidRPr="00BE3890">
        <w:rPr>
          <w:rFonts w:ascii="Times New Roman" w:hAnsi="Times New Roman" w:cs="Times New Roman"/>
          <w:sz w:val="20"/>
          <w:szCs w:val="20"/>
          <w:lang w:val="en-GB"/>
        </w:rPr>
        <w:t xml:space="preserve">etwork of neighbourhood relationships between NUTS2 regions. Two regions are identified as neighbours if they are adjacent (i.e., they share boundaries) with at least two other regions. For regions without shared boundaries, their neighbourhood relationship is determined by proximity to the nearest two regions </w:t>
      </w:r>
    </w:p>
    <w:p w14:paraId="3E778ADF" w14:textId="77777777" w:rsidR="003668E8" w:rsidRDefault="003668E8" w:rsidP="00D338BD">
      <w:pPr>
        <w:spacing w:line="360" w:lineRule="auto"/>
        <w:jc w:val="both"/>
        <w:rPr>
          <w:rFonts w:ascii="Times New Roman" w:hAnsi="Times New Roman" w:cs="Times New Roman"/>
          <w:noProof/>
          <w:sz w:val="20"/>
          <w:szCs w:val="20"/>
          <w:lang w:val="en-GB"/>
        </w:rPr>
      </w:pPr>
    </w:p>
    <w:p w14:paraId="5D508A94" w14:textId="77777777" w:rsidR="00D347A2" w:rsidRDefault="00D347A2" w:rsidP="00D338BD">
      <w:pPr>
        <w:spacing w:line="360" w:lineRule="auto"/>
        <w:jc w:val="both"/>
        <w:rPr>
          <w:rFonts w:ascii="Times New Roman" w:hAnsi="Times New Roman" w:cs="Times New Roman"/>
          <w:noProof/>
          <w:sz w:val="20"/>
          <w:szCs w:val="20"/>
          <w:lang w:val="en-GB"/>
        </w:rPr>
      </w:pPr>
    </w:p>
    <w:p w14:paraId="464967ED" w14:textId="77777777" w:rsidR="00D979D5" w:rsidRDefault="00D979D5" w:rsidP="00D338BD">
      <w:pPr>
        <w:spacing w:line="360" w:lineRule="auto"/>
        <w:jc w:val="both"/>
        <w:rPr>
          <w:rFonts w:ascii="Times New Roman" w:hAnsi="Times New Roman" w:cs="Times New Roman"/>
          <w:noProof/>
          <w:sz w:val="20"/>
          <w:szCs w:val="20"/>
          <w:lang w:val="en-GB"/>
        </w:rPr>
      </w:pPr>
    </w:p>
    <w:p w14:paraId="0BD5C483" w14:textId="77777777" w:rsidR="00D347A2" w:rsidRDefault="00D347A2" w:rsidP="00D338BD">
      <w:pPr>
        <w:spacing w:line="360" w:lineRule="auto"/>
        <w:jc w:val="both"/>
        <w:rPr>
          <w:rFonts w:ascii="Times New Roman" w:hAnsi="Times New Roman" w:cs="Times New Roman"/>
          <w:noProof/>
          <w:sz w:val="20"/>
          <w:szCs w:val="20"/>
          <w:lang w:val="en-GB"/>
        </w:rPr>
      </w:pPr>
    </w:p>
    <w:p w14:paraId="7474CD14" w14:textId="77777777" w:rsidR="00D347A2" w:rsidRDefault="00D347A2" w:rsidP="00D338BD">
      <w:pPr>
        <w:spacing w:line="360" w:lineRule="auto"/>
        <w:jc w:val="both"/>
        <w:rPr>
          <w:rFonts w:ascii="Times New Roman" w:hAnsi="Times New Roman" w:cs="Times New Roman"/>
          <w:noProof/>
          <w:sz w:val="20"/>
          <w:szCs w:val="20"/>
          <w:lang w:val="en-GB"/>
        </w:rPr>
      </w:pPr>
    </w:p>
    <w:p w14:paraId="7B3D3986" w14:textId="41E61FCE" w:rsidR="00D347A2" w:rsidRPr="00D347A2" w:rsidRDefault="00D347A2" w:rsidP="00D347A2">
      <w:pPr>
        <w:spacing w:line="360" w:lineRule="auto"/>
        <w:jc w:val="both"/>
        <w:rPr>
          <w:rFonts w:ascii="Times New Roman" w:hAnsi="Times New Roman" w:cs="Times New Roman"/>
          <w:b/>
          <w:bCs/>
          <w:sz w:val="20"/>
          <w:szCs w:val="20"/>
          <w:lang w:val="en-GB"/>
        </w:rPr>
      </w:pPr>
      <w:r w:rsidRPr="00D347A2">
        <w:rPr>
          <w:rFonts w:ascii="Times New Roman" w:hAnsi="Times New Roman" w:cs="Times New Roman"/>
          <w:b/>
          <w:bCs/>
          <w:sz w:val="20"/>
          <w:szCs w:val="20"/>
          <w:lang w:val="en-GB"/>
        </w:rPr>
        <w:lastRenderedPageBreak/>
        <w:t xml:space="preserve">Appendix III: </w:t>
      </w:r>
      <w:r w:rsidR="00853A66" w:rsidRPr="00853A66">
        <w:rPr>
          <w:rFonts w:ascii="Times New Roman" w:hAnsi="Times New Roman" w:cs="Times New Roman"/>
          <w:b/>
          <w:bCs/>
          <w:sz w:val="20"/>
          <w:szCs w:val="20"/>
          <w:lang w:val="en-GB"/>
        </w:rPr>
        <w:t>Graphical representation of the response variable and the covariates</w:t>
      </w:r>
    </w:p>
    <w:p w14:paraId="5C4ED50D" w14:textId="77777777" w:rsidR="00D347A2" w:rsidRDefault="00D347A2" w:rsidP="00D347A2">
      <w:pPr>
        <w:spacing w:line="360" w:lineRule="auto"/>
        <w:jc w:val="both"/>
        <w:rPr>
          <w:rFonts w:ascii="Times New Roman" w:hAnsi="Times New Roman" w:cs="Times New Roman"/>
          <w:sz w:val="20"/>
          <w:szCs w:val="20"/>
          <w:lang w:val="en-GB"/>
        </w:rPr>
      </w:pPr>
    </w:p>
    <w:p w14:paraId="08B76C71" w14:textId="77777777" w:rsidR="00D347A2" w:rsidRDefault="00D347A2" w:rsidP="00D338BD">
      <w:pPr>
        <w:spacing w:line="360" w:lineRule="auto"/>
        <w:jc w:val="both"/>
        <w:rPr>
          <w:rFonts w:ascii="Times New Roman" w:hAnsi="Times New Roman" w:cs="Times New Roman"/>
          <w:noProof/>
          <w:sz w:val="20"/>
          <w:szCs w:val="20"/>
          <w:lang w:val="en-GB"/>
        </w:rPr>
        <w:sectPr w:rsidR="00D347A2" w:rsidSect="004D60F2">
          <w:type w:val="continuous"/>
          <w:pgSz w:w="11906" w:h="16838"/>
          <w:pgMar w:top="1440" w:right="1440" w:bottom="1440" w:left="1440" w:header="720" w:footer="720" w:gutter="0"/>
          <w:cols w:space="720"/>
          <w:docGrid w:linePitch="360"/>
        </w:sectPr>
      </w:pPr>
    </w:p>
    <w:p w14:paraId="76D697A6" w14:textId="30D11AB0" w:rsidR="005A5861" w:rsidRPr="00CA2FB4" w:rsidRDefault="00492E13" w:rsidP="00492E13">
      <w:pPr>
        <w:spacing w:line="360" w:lineRule="auto"/>
        <w:jc w:val="center"/>
        <w:rPr>
          <w:rFonts w:ascii="Times New Roman" w:hAnsi="Times New Roman" w:cs="Times New Roman"/>
          <w:noProof/>
          <w:sz w:val="20"/>
          <w:szCs w:val="20"/>
        </w:rPr>
      </w:pPr>
      <w:r w:rsidRPr="00492E13">
        <w:rPr>
          <w:rFonts w:ascii="Times New Roman" w:hAnsi="Times New Roman" w:cs="Times New Roman"/>
          <w:noProof/>
          <w:sz w:val="20"/>
          <w:szCs w:val="20"/>
        </w:rPr>
        <w:lastRenderedPageBreak/>
        <w:drawing>
          <wp:inline distT="0" distB="0" distL="0" distR="0" wp14:anchorId="6E862865" wp14:editId="4816D476">
            <wp:extent cx="8862540" cy="4242816"/>
            <wp:effectExtent l="0" t="0" r="0" b="5715"/>
            <wp:docPr id="1871801001" name="Picture 7"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01001" name="Picture 7" descr="A screenshot of a map&#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t="9057" b="11346"/>
                    <a:stretch/>
                  </pic:blipFill>
                  <pic:spPr bwMode="auto">
                    <a:xfrm>
                      <a:off x="0" y="0"/>
                      <a:ext cx="8863330" cy="4243194"/>
                    </a:xfrm>
                    <a:prstGeom prst="rect">
                      <a:avLst/>
                    </a:prstGeom>
                    <a:noFill/>
                    <a:ln>
                      <a:noFill/>
                    </a:ln>
                    <a:extLst>
                      <a:ext uri="{53640926-AAD7-44D8-BBD7-CCE9431645EC}">
                        <a14:shadowObscured xmlns:a14="http://schemas.microsoft.com/office/drawing/2010/main"/>
                      </a:ext>
                    </a:extLst>
                  </pic:spPr>
                </pic:pic>
              </a:graphicData>
            </a:graphic>
          </wp:inline>
        </w:drawing>
      </w:r>
    </w:p>
    <w:p w14:paraId="1E874C08" w14:textId="07636074" w:rsidR="006071A8" w:rsidRPr="000B1BC2" w:rsidRDefault="005A5861" w:rsidP="00D338BD">
      <w:pPr>
        <w:spacing w:line="360" w:lineRule="auto"/>
        <w:jc w:val="center"/>
        <w:rPr>
          <w:rFonts w:ascii="Times New Roman" w:hAnsi="Times New Roman" w:cs="Times New Roman"/>
          <w:lang w:val="en-GB"/>
        </w:rPr>
        <w:sectPr w:rsidR="006071A8" w:rsidRPr="000B1BC2" w:rsidSect="004D60F2">
          <w:type w:val="continuous"/>
          <w:pgSz w:w="16838" w:h="11906" w:orient="landscape"/>
          <w:pgMar w:top="1440" w:right="1440" w:bottom="1440" w:left="1440" w:header="720" w:footer="720" w:gutter="0"/>
          <w:cols w:space="720"/>
          <w:docGrid w:linePitch="360"/>
        </w:sectPr>
      </w:pPr>
      <w:r w:rsidRPr="004748E4">
        <w:rPr>
          <w:rFonts w:ascii="Times New Roman" w:hAnsi="Times New Roman" w:cs="Times New Roman"/>
          <w:sz w:val="20"/>
          <w:szCs w:val="20"/>
          <w:lang w:val="en-GB"/>
        </w:rPr>
        <w:t xml:space="preserve">Figure </w:t>
      </w:r>
      <w:r w:rsidR="00D347A2" w:rsidRPr="00D347A2">
        <w:rPr>
          <w:rFonts w:ascii="Times New Roman" w:hAnsi="Times New Roman" w:cs="Times New Roman"/>
          <w:sz w:val="20"/>
          <w:szCs w:val="20"/>
          <w:lang w:val="en-GB"/>
        </w:rPr>
        <w:t>S1</w:t>
      </w:r>
      <w:r w:rsidRPr="004748E4">
        <w:rPr>
          <w:rFonts w:ascii="Times New Roman" w:hAnsi="Times New Roman" w:cs="Times New Roman"/>
          <w:noProof/>
          <w:sz w:val="20"/>
          <w:szCs w:val="20"/>
          <w:lang w:val="en-GB"/>
        </w:rPr>
        <w:t>:</w:t>
      </w:r>
      <w:r w:rsidRPr="004748E4">
        <w:rPr>
          <w:rFonts w:ascii="Times New Roman" w:hAnsi="Times New Roman" w:cs="Times New Roman"/>
          <w:sz w:val="20"/>
          <w:szCs w:val="20"/>
          <w:lang w:val="en-GB"/>
        </w:rPr>
        <w:t xml:space="preserve"> </w:t>
      </w:r>
      <w:r w:rsidR="00AC0031">
        <w:rPr>
          <w:rFonts w:ascii="Times New Roman" w:hAnsi="Times New Roman" w:cs="Times New Roman"/>
          <w:sz w:val="20"/>
          <w:szCs w:val="20"/>
          <w:lang w:val="en-GB"/>
        </w:rPr>
        <w:t>M</w:t>
      </w:r>
      <w:r w:rsidRPr="004748E4">
        <w:rPr>
          <w:rFonts w:ascii="Times New Roman" w:hAnsi="Times New Roman" w:cs="Times New Roman"/>
          <w:sz w:val="20"/>
          <w:szCs w:val="20"/>
          <w:lang w:val="en-GB"/>
        </w:rPr>
        <w:t xml:space="preserve">aps </w:t>
      </w:r>
      <w:r w:rsidR="00AC0031">
        <w:rPr>
          <w:rFonts w:ascii="Times New Roman" w:hAnsi="Times New Roman" w:cs="Times New Roman"/>
          <w:sz w:val="20"/>
          <w:szCs w:val="20"/>
          <w:lang w:val="en-GB"/>
        </w:rPr>
        <w:t>of</w:t>
      </w:r>
      <w:r w:rsidRPr="004748E4">
        <w:rPr>
          <w:rFonts w:ascii="Times New Roman" w:hAnsi="Times New Roman" w:cs="Times New Roman"/>
          <w:sz w:val="20"/>
          <w:szCs w:val="20"/>
          <w:lang w:val="en-GB"/>
        </w:rPr>
        <w:t xml:space="preserve"> average temperature (</w:t>
      </w:r>
      <w:r w:rsidR="00A812BA">
        <w:rPr>
          <w:rFonts w:ascii="Times New Roman" w:hAnsi="Times New Roman" w:cs="Times New Roman"/>
          <w:sz w:val="20"/>
          <w:szCs w:val="20"/>
          <w:lang w:val="en-GB"/>
        </w:rPr>
        <w:t>S1</w:t>
      </w:r>
      <w:r w:rsidRPr="004748E4">
        <w:rPr>
          <w:rFonts w:ascii="Times New Roman" w:hAnsi="Times New Roman" w:cs="Times New Roman"/>
          <w:sz w:val="20"/>
          <w:szCs w:val="20"/>
          <w:lang w:val="en-GB"/>
        </w:rPr>
        <w:t xml:space="preserve">a. figure on the left) and </w:t>
      </w:r>
      <w:r w:rsidR="006071A8">
        <w:rPr>
          <w:rFonts w:ascii="Times New Roman" w:hAnsi="Times New Roman" w:cs="Times New Roman"/>
          <w:sz w:val="20"/>
          <w:szCs w:val="20"/>
          <w:lang w:val="en-GB"/>
        </w:rPr>
        <w:t xml:space="preserve">average </w:t>
      </w:r>
      <w:r w:rsidRPr="004748E4">
        <w:rPr>
          <w:rFonts w:ascii="Times New Roman" w:hAnsi="Times New Roman" w:cs="Times New Roman"/>
          <w:sz w:val="20"/>
          <w:szCs w:val="20"/>
          <w:lang w:val="en-GB"/>
        </w:rPr>
        <w:t>precipitation (</w:t>
      </w:r>
      <w:r w:rsidR="00A812BA">
        <w:rPr>
          <w:rFonts w:ascii="Times New Roman" w:hAnsi="Times New Roman" w:cs="Times New Roman"/>
          <w:sz w:val="20"/>
          <w:szCs w:val="20"/>
          <w:lang w:val="en-GB"/>
        </w:rPr>
        <w:t>S1</w:t>
      </w:r>
      <w:r w:rsidRPr="004748E4">
        <w:rPr>
          <w:rFonts w:ascii="Times New Roman" w:hAnsi="Times New Roman" w:cs="Times New Roman"/>
          <w:sz w:val="20"/>
          <w:szCs w:val="20"/>
          <w:lang w:val="en-GB"/>
        </w:rPr>
        <w:t>b. figure on the right)</w:t>
      </w:r>
      <w:r w:rsidR="00AC0031">
        <w:rPr>
          <w:rFonts w:ascii="Times New Roman" w:hAnsi="Times New Roman" w:cs="Times New Roman"/>
          <w:sz w:val="20"/>
          <w:szCs w:val="20"/>
          <w:lang w:val="en-GB"/>
        </w:rPr>
        <w:t xml:space="preserve"> for NUTS2 regions in the EU. D</w:t>
      </w:r>
      <w:r w:rsidRPr="004748E4">
        <w:rPr>
          <w:rFonts w:ascii="Times New Roman" w:hAnsi="Times New Roman" w:cs="Times New Roman"/>
          <w:sz w:val="20"/>
          <w:szCs w:val="20"/>
          <w:lang w:val="en-GB"/>
        </w:rPr>
        <w:t>ata from WorldClim</w:t>
      </w:r>
      <w:r w:rsidR="00AC0031">
        <w:rPr>
          <w:rFonts w:ascii="Times New Roman" w:hAnsi="Times New Roman" w:cs="Times New Roman"/>
          <w:sz w:val="20"/>
          <w:szCs w:val="20"/>
          <w:lang w:val="en-GB"/>
        </w:rPr>
        <w:t xml:space="preserve"> v2.1</w:t>
      </w:r>
      <w:r w:rsidRPr="004748E4">
        <w:rPr>
          <w:rFonts w:ascii="Times New Roman" w:hAnsi="Times New Roman" w:cs="Times New Roman"/>
          <w:sz w:val="20"/>
          <w:szCs w:val="20"/>
          <w:lang w:val="en-GB"/>
        </w:rPr>
        <w:t xml:space="preserve">. The </w:t>
      </w:r>
      <w:r w:rsidR="00A812BA">
        <w:rPr>
          <w:rFonts w:ascii="Times New Roman" w:hAnsi="Times New Roman" w:cs="Times New Roman"/>
          <w:sz w:val="20"/>
          <w:szCs w:val="20"/>
          <w:lang w:val="en-GB"/>
        </w:rPr>
        <w:t>circles</w:t>
      </w:r>
      <w:r w:rsidRPr="004748E4">
        <w:rPr>
          <w:rFonts w:ascii="Times New Roman" w:hAnsi="Times New Roman" w:cs="Times New Roman"/>
          <w:sz w:val="20"/>
          <w:szCs w:val="20"/>
          <w:lang w:val="en-GB"/>
        </w:rPr>
        <w:t xml:space="preserve"> represent the pests</w:t>
      </w:r>
      <w:r w:rsidR="006071A8">
        <w:rPr>
          <w:rFonts w:ascii="Times New Roman" w:hAnsi="Times New Roman" w:cs="Times New Roman"/>
          <w:sz w:val="20"/>
          <w:szCs w:val="20"/>
          <w:lang w:val="en-GB"/>
        </w:rPr>
        <w:t>’</w:t>
      </w:r>
      <w:r w:rsidRPr="004748E4">
        <w:rPr>
          <w:rFonts w:ascii="Times New Roman" w:hAnsi="Times New Roman" w:cs="Times New Roman"/>
          <w:sz w:val="20"/>
          <w:szCs w:val="20"/>
          <w:lang w:val="en-GB"/>
        </w:rPr>
        <w:t xml:space="preserve"> </w:t>
      </w:r>
      <w:r w:rsidR="00D979D5">
        <w:rPr>
          <w:rFonts w:ascii="Times New Roman" w:hAnsi="Times New Roman" w:cs="Times New Roman"/>
          <w:sz w:val="20"/>
          <w:szCs w:val="20"/>
          <w:lang w:val="en-GB"/>
        </w:rPr>
        <w:t xml:space="preserve">first </w:t>
      </w:r>
      <w:r w:rsidRPr="004748E4">
        <w:rPr>
          <w:rFonts w:ascii="Times New Roman" w:hAnsi="Times New Roman" w:cs="Times New Roman"/>
          <w:sz w:val="20"/>
          <w:szCs w:val="20"/>
          <w:lang w:val="en-GB"/>
        </w:rPr>
        <w:t xml:space="preserve">introduction </w:t>
      </w:r>
      <w:r w:rsidR="006071A8">
        <w:rPr>
          <w:rFonts w:ascii="Times New Roman" w:hAnsi="Times New Roman" w:cs="Times New Roman"/>
          <w:sz w:val="20"/>
          <w:szCs w:val="20"/>
          <w:lang w:val="en-GB"/>
        </w:rPr>
        <w:t xml:space="preserve">cumulative </w:t>
      </w:r>
      <w:r w:rsidRPr="004748E4">
        <w:rPr>
          <w:rFonts w:ascii="Times New Roman" w:hAnsi="Times New Roman" w:cs="Times New Roman"/>
          <w:sz w:val="20"/>
          <w:szCs w:val="20"/>
          <w:lang w:val="en-GB"/>
        </w:rPr>
        <w:t xml:space="preserve">counts </w:t>
      </w:r>
      <w:r w:rsidR="00AC0031">
        <w:rPr>
          <w:rFonts w:ascii="Times New Roman" w:hAnsi="Times New Roman" w:cs="Times New Roman"/>
          <w:sz w:val="20"/>
          <w:szCs w:val="20"/>
          <w:lang w:val="en-GB"/>
        </w:rPr>
        <w:t xml:space="preserve">for each NUTS2 region </w:t>
      </w:r>
      <w:r w:rsidR="0004273D">
        <w:rPr>
          <w:rFonts w:ascii="Times New Roman" w:hAnsi="Times New Roman" w:cs="Times New Roman"/>
          <w:sz w:val="20"/>
          <w:szCs w:val="20"/>
          <w:lang w:val="en-GB"/>
        </w:rPr>
        <w:t xml:space="preserve"> </w:t>
      </w:r>
      <w:r w:rsidR="0004273D">
        <w:rPr>
          <w:rFonts w:ascii="Times New Roman" w:hAnsi="Times New Roman" w:cs="Times New Roman"/>
          <w:sz w:val="20"/>
          <w:szCs w:val="20"/>
          <w:lang w:val="en-GB"/>
        </w:rPr>
        <w:fldChar w:fldCharType="begin" w:fldLock="1"/>
      </w:r>
      <w:r w:rsidR="009273BA">
        <w:rPr>
          <w:rFonts w:ascii="Times New Roman" w:hAnsi="Times New Roman" w:cs="Times New Roman"/>
          <w:sz w:val="20"/>
          <w:szCs w:val="20"/>
          <w:lang w:val="en-GB"/>
        </w:rPr>
        <w:instrText>ADDIN CSL_CITATION {"citationItems":[{"id":"ITEM-1","itemData":{"DOI":"10.1038/s41597-023-02643-9","ISSN":"2052-4463","abstract":"World trade has greatly increased in recent decades, together with a higher risk of introducing non-indigenous pests. Introduction trends show no sign of saturation, and it seems likely that many more species will enter and establish in new territories in the future. A key challenge in analysing pest invasion patterns is the paucity of historical data on pest introductions. A comprehensive dataset of pests’ introductions in the EU, including their spatial occurrences, is not currently available and information is scattered across different sources or buried in the scientific literature. Therefore, we collected pests’ introduction information (e.g., year, host) from online scientific databases and literature; we then gathered primary spatial data related to the site of first introductions. Finally, we identified the potential pathways of entry for each pest. The dataset contains expert-revised data on 278 pests introduced in the EU between 1999 and 2019, alongside their spatial occurrence and potential pathways of entry, providing a basis to better understand the factors associated with the likelihood of pest introduction. It is important to note that this dataset does not contain the current distribution of the introduced pests, but only records of their first introduction in the EU.","author":[{"dropping-particle":"","family":"Rosace","given":"Maria Chiara","non-dropping-particle":"","parse-names":false,"suffix":""},{"dropping-particle":"","family":"Cendoya","given":"Martina","non-dropping-particle":"","parse-names":false,"suffix":""},{"dropping-particle":"","family":"Mattion","given":"Giulia","non-dropping-particle":"","parse-names":false,"suffix":""},{"dropping-particle":"","family":"Vicent","given":"Antonio","non-dropping-particle":"","parse-names":false,"suffix":""},{"dropping-particle":"","family":"Battisti","given":"Andrea","non-dropping-particle":"","parse-names":false,"suffix":""},{"dropping-particle":"","family":"Cavaletto","given":"Giacomo","non-dropping-particle":"","parse-names":false,"suffix":""},{"dropping-particle":"","family":"Marini","given":"Lorenzo","non-dropping-particle":"","parse-names":false,"suffix":""},{"dropping-particle":"","family":"Rossi","given":"Vittorio","non-dropping-particle":"","parse-names":false,"suffix":""}],"container-title":"Scientific Data","id":"ITEM-1","issue":"1","issued":{"date-parts":[["2023","10","21"]]},"page":"731","publisher":"Springer US","title":"A spatio-temporal dataset of plant pests’ first introductions across the EU and potential entry pathways","type":"article-journal","volume":"10"},"uris":["http://www.mendeley.com/documents/?uuid=0375efc2-aa08-4325-8944-bb2959a0adda"]}],"mendeley":{"formattedCitation":"(Rosace et al. 2023)","plainTextFormattedCitation":"(Rosace et al. 2023)","previouslyFormattedCitation":"(Rosace et al. 2023)"},"properties":{"noteIndex":0},"schema":"https://github.com/citation-style-language/schema/raw/master/csl-citation.json"}</w:instrText>
      </w:r>
      <w:r w:rsidR="0004273D">
        <w:rPr>
          <w:rFonts w:ascii="Times New Roman" w:hAnsi="Times New Roman" w:cs="Times New Roman"/>
          <w:sz w:val="20"/>
          <w:szCs w:val="20"/>
          <w:lang w:val="en-GB"/>
        </w:rPr>
        <w:fldChar w:fldCharType="separate"/>
      </w:r>
      <w:r w:rsidR="0004273D" w:rsidRPr="0004273D">
        <w:rPr>
          <w:rFonts w:ascii="Times New Roman" w:hAnsi="Times New Roman" w:cs="Times New Roman"/>
          <w:noProof/>
          <w:sz w:val="20"/>
          <w:szCs w:val="20"/>
          <w:lang w:val="en-GB"/>
        </w:rPr>
        <w:t>(Rosace et al. 2023)</w:t>
      </w:r>
      <w:r w:rsidR="0004273D">
        <w:rPr>
          <w:rFonts w:ascii="Times New Roman" w:hAnsi="Times New Roman" w:cs="Times New Roman"/>
          <w:sz w:val="20"/>
          <w:szCs w:val="20"/>
          <w:lang w:val="en-GB"/>
        </w:rPr>
        <w:fldChar w:fldCharType="end"/>
      </w:r>
    </w:p>
    <w:p w14:paraId="477C8215" w14:textId="17EBA4B1" w:rsidR="006071A8" w:rsidRDefault="000E600F" w:rsidP="000E600F">
      <w:pPr>
        <w:spacing w:line="360" w:lineRule="auto"/>
        <w:jc w:val="center"/>
        <w:rPr>
          <w:lang w:val="en-GB"/>
        </w:rPr>
      </w:pPr>
      <w:r>
        <w:rPr>
          <w:noProof/>
          <w:lang w:val="en-GB"/>
        </w:rPr>
        <w:lastRenderedPageBreak/>
        <w:drawing>
          <wp:inline distT="0" distB="0" distL="0" distR="0" wp14:anchorId="2939E1D3" wp14:editId="6AFFCA77">
            <wp:extent cx="4562005" cy="4426194"/>
            <wp:effectExtent l="0" t="0" r="0" b="0"/>
            <wp:docPr id="11671253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8457" cy="4432454"/>
                    </a:xfrm>
                    <a:prstGeom prst="rect">
                      <a:avLst/>
                    </a:prstGeom>
                    <a:noFill/>
                  </pic:spPr>
                </pic:pic>
              </a:graphicData>
            </a:graphic>
          </wp:inline>
        </w:drawing>
      </w:r>
    </w:p>
    <w:p w14:paraId="0E973BCB" w14:textId="6A0BB6E3" w:rsidR="006071A8" w:rsidRDefault="006071A8" w:rsidP="00D338BD">
      <w:pPr>
        <w:spacing w:line="360" w:lineRule="auto"/>
        <w:jc w:val="center"/>
        <w:rPr>
          <w:rFonts w:ascii="Times New Roman" w:hAnsi="Times New Roman" w:cs="Times New Roman"/>
          <w:sz w:val="20"/>
          <w:szCs w:val="20"/>
          <w:lang w:val="en-GB"/>
        </w:rPr>
      </w:pPr>
      <w:r w:rsidRPr="00BB14A1">
        <w:rPr>
          <w:rFonts w:ascii="Times New Roman" w:hAnsi="Times New Roman" w:cs="Times New Roman"/>
          <w:sz w:val="20"/>
          <w:szCs w:val="20"/>
          <w:lang w:val="en-GB"/>
        </w:rPr>
        <w:t xml:space="preserve">Figure </w:t>
      </w:r>
      <w:r w:rsidR="00D347A2" w:rsidRPr="00D347A2">
        <w:rPr>
          <w:rFonts w:ascii="Times New Roman" w:hAnsi="Times New Roman" w:cs="Times New Roman"/>
          <w:sz w:val="20"/>
          <w:szCs w:val="20"/>
          <w:lang w:val="en-GB"/>
        </w:rPr>
        <w:t>S</w:t>
      </w:r>
      <w:r w:rsidR="00D347A2">
        <w:rPr>
          <w:rFonts w:ascii="Times New Roman" w:hAnsi="Times New Roman" w:cs="Times New Roman"/>
          <w:sz w:val="20"/>
          <w:szCs w:val="20"/>
          <w:lang w:val="en-GB"/>
        </w:rPr>
        <w:t>2</w:t>
      </w:r>
      <w:r w:rsidRPr="001E47C1">
        <w:rPr>
          <w:rFonts w:ascii="Times New Roman" w:hAnsi="Times New Roman" w:cs="Times New Roman"/>
          <w:noProof/>
          <w:sz w:val="20"/>
          <w:szCs w:val="20"/>
          <w:lang w:val="en-GB"/>
        </w:rPr>
        <w:t>:</w:t>
      </w:r>
      <w:r w:rsidRPr="001E47C1">
        <w:rPr>
          <w:rFonts w:ascii="Times New Roman" w:hAnsi="Times New Roman" w:cs="Times New Roman"/>
          <w:sz w:val="20"/>
          <w:szCs w:val="20"/>
          <w:lang w:val="en-GB"/>
        </w:rPr>
        <w:t xml:space="preserve"> </w:t>
      </w:r>
      <w:r w:rsidR="00AC0031">
        <w:rPr>
          <w:rFonts w:ascii="Times New Roman" w:hAnsi="Times New Roman" w:cs="Times New Roman"/>
          <w:sz w:val="20"/>
          <w:szCs w:val="20"/>
          <w:lang w:val="en-GB"/>
        </w:rPr>
        <w:t>M</w:t>
      </w:r>
      <w:r w:rsidRPr="00470EE6">
        <w:rPr>
          <w:rFonts w:ascii="Times New Roman" w:hAnsi="Times New Roman" w:cs="Times New Roman"/>
          <w:sz w:val="20"/>
          <w:szCs w:val="20"/>
          <w:lang w:val="en-GB"/>
        </w:rPr>
        <w:t xml:space="preserve">ap </w:t>
      </w:r>
      <w:r w:rsidR="00AC0031">
        <w:rPr>
          <w:rFonts w:ascii="Times New Roman" w:hAnsi="Times New Roman" w:cs="Times New Roman"/>
          <w:sz w:val="20"/>
          <w:szCs w:val="20"/>
          <w:lang w:val="en-GB"/>
        </w:rPr>
        <w:t>of</w:t>
      </w:r>
      <w:r>
        <w:rPr>
          <w:rFonts w:ascii="Times New Roman" w:hAnsi="Times New Roman" w:cs="Times New Roman"/>
          <w:sz w:val="20"/>
          <w:szCs w:val="20"/>
          <w:lang w:val="en-GB"/>
        </w:rPr>
        <w:t xml:space="preserve"> human population density from Eurostat. </w:t>
      </w:r>
      <w:r w:rsidR="00D369D5">
        <w:rPr>
          <w:rFonts w:ascii="Times New Roman" w:hAnsi="Times New Roman" w:cs="Times New Roman"/>
          <w:sz w:val="20"/>
          <w:szCs w:val="20"/>
          <w:lang w:val="en-GB"/>
        </w:rPr>
        <w:t xml:space="preserve">Data were </w:t>
      </w:r>
      <w:r w:rsidR="00D369D5" w:rsidRPr="00D369D5">
        <w:rPr>
          <w:rFonts w:ascii="Times New Roman" w:hAnsi="Times New Roman" w:cs="Times New Roman"/>
          <w:sz w:val="20"/>
          <w:szCs w:val="20"/>
          <w:lang w:val="en-GB"/>
        </w:rPr>
        <w:t>normali</w:t>
      </w:r>
      <w:r w:rsidR="00D369D5">
        <w:rPr>
          <w:rFonts w:ascii="Times New Roman" w:hAnsi="Times New Roman" w:cs="Times New Roman"/>
          <w:sz w:val="20"/>
          <w:szCs w:val="20"/>
          <w:lang w:val="en-GB"/>
        </w:rPr>
        <w:t>s</w:t>
      </w:r>
      <w:r w:rsidR="00D369D5" w:rsidRPr="00D369D5">
        <w:rPr>
          <w:rFonts w:ascii="Times New Roman" w:hAnsi="Times New Roman" w:cs="Times New Roman"/>
          <w:sz w:val="20"/>
          <w:szCs w:val="20"/>
          <w:lang w:val="en-GB"/>
        </w:rPr>
        <w:t>ed by the area for each NUTS2 region.</w:t>
      </w:r>
      <w:r w:rsidR="00D369D5">
        <w:rPr>
          <w:rFonts w:ascii="Times New Roman" w:hAnsi="Times New Roman" w:cs="Times New Roman"/>
          <w:sz w:val="20"/>
          <w:szCs w:val="20"/>
          <w:lang w:val="en-GB"/>
        </w:rPr>
        <w:t xml:space="preserve"> </w:t>
      </w:r>
      <w:r w:rsidR="00D369D5" w:rsidRPr="00D369D5">
        <w:rPr>
          <w:rFonts w:ascii="Times New Roman" w:hAnsi="Times New Roman" w:cs="Times New Roman"/>
          <w:sz w:val="20"/>
          <w:szCs w:val="20"/>
          <w:lang w:val="en-GB"/>
        </w:rPr>
        <w:t>This normali</w:t>
      </w:r>
      <w:r w:rsidR="00D369D5">
        <w:rPr>
          <w:rFonts w:ascii="Times New Roman" w:hAnsi="Times New Roman" w:cs="Times New Roman"/>
          <w:sz w:val="20"/>
          <w:szCs w:val="20"/>
          <w:lang w:val="en-GB"/>
        </w:rPr>
        <w:t>s</w:t>
      </w:r>
      <w:r w:rsidR="00D369D5" w:rsidRPr="00D369D5">
        <w:rPr>
          <w:rFonts w:ascii="Times New Roman" w:hAnsi="Times New Roman" w:cs="Times New Roman"/>
          <w:sz w:val="20"/>
          <w:szCs w:val="20"/>
          <w:lang w:val="en-GB"/>
        </w:rPr>
        <w:t>ed population density indicates how densely populated each NUTS2 region is, relative to its size.</w:t>
      </w:r>
      <w:r w:rsidR="00D369D5">
        <w:rPr>
          <w:rFonts w:ascii="Times New Roman" w:hAnsi="Times New Roman" w:cs="Times New Roman"/>
          <w:sz w:val="20"/>
          <w:szCs w:val="20"/>
          <w:lang w:val="en-GB"/>
        </w:rPr>
        <w:t xml:space="preserve"> </w:t>
      </w:r>
      <w:r w:rsidRPr="004748E4">
        <w:rPr>
          <w:rFonts w:ascii="Times New Roman" w:hAnsi="Times New Roman" w:cs="Times New Roman"/>
          <w:sz w:val="20"/>
          <w:szCs w:val="20"/>
          <w:lang w:val="en-GB"/>
        </w:rPr>
        <w:t xml:space="preserve">The </w:t>
      </w:r>
      <w:r>
        <w:rPr>
          <w:rFonts w:ascii="Times New Roman" w:hAnsi="Times New Roman" w:cs="Times New Roman"/>
          <w:sz w:val="20"/>
          <w:szCs w:val="20"/>
          <w:lang w:val="en-GB"/>
        </w:rPr>
        <w:t>circles</w:t>
      </w:r>
      <w:r w:rsidRPr="004748E4">
        <w:rPr>
          <w:rFonts w:ascii="Times New Roman" w:hAnsi="Times New Roman" w:cs="Times New Roman"/>
          <w:sz w:val="20"/>
          <w:szCs w:val="20"/>
          <w:lang w:val="en-GB"/>
        </w:rPr>
        <w:t xml:space="preserve"> represent the pests</w:t>
      </w:r>
      <w:r>
        <w:rPr>
          <w:rFonts w:ascii="Times New Roman" w:hAnsi="Times New Roman" w:cs="Times New Roman"/>
          <w:sz w:val="20"/>
          <w:szCs w:val="20"/>
          <w:lang w:val="en-GB"/>
        </w:rPr>
        <w:t>’</w:t>
      </w:r>
      <w:r w:rsidRPr="004748E4">
        <w:rPr>
          <w:rFonts w:ascii="Times New Roman" w:hAnsi="Times New Roman" w:cs="Times New Roman"/>
          <w:sz w:val="20"/>
          <w:szCs w:val="20"/>
          <w:lang w:val="en-GB"/>
        </w:rPr>
        <w:t xml:space="preserve"> </w:t>
      </w:r>
      <w:r w:rsidR="00D979D5">
        <w:rPr>
          <w:rFonts w:ascii="Times New Roman" w:hAnsi="Times New Roman" w:cs="Times New Roman"/>
          <w:sz w:val="20"/>
          <w:szCs w:val="20"/>
          <w:lang w:val="en-GB"/>
        </w:rPr>
        <w:t xml:space="preserve">first </w:t>
      </w:r>
      <w:r w:rsidRPr="004748E4">
        <w:rPr>
          <w:rFonts w:ascii="Times New Roman" w:hAnsi="Times New Roman" w:cs="Times New Roman"/>
          <w:sz w:val="20"/>
          <w:szCs w:val="20"/>
          <w:lang w:val="en-GB"/>
        </w:rPr>
        <w:t xml:space="preserve">introduction </w:t>
      </w:r>
      <w:r>
        <w:rPr>
          <w:rFonts w:ascii="Times New Roman" w:hAnsi="Times New Roman" w:cs="Times New Roman"/>
          <w:sz w:val="20"/>
          <w:szCs w:val="20"/>
          <w:lang w:val="en-GB"/>
        </w:rPr>
        <w:t xml:space="preserve">cumulative </w:t>
      </w:r>
      <w:r w:rsidRPr="004748E4">
        <w:rPr>
          <w:rFonts w:ascii="Times New Roman" w:hAnsi="Times New Roman" w:cs="Times New Roman"/>
          <w:sz w:val="20"/>
          <w:szCs w:val="20"/>
          <w:lang w:val="en-GB"/>
        </w:rPr>
        <w:t xml:space="preserve">counts </w:t>
      </w:r>
      <w:r w:rsidR="000E092A">
        <w:rPr>
          <w:rFonts w:ascii="Times New Roman" w:hAnsi="Times New Roman" w:cs="Times New Roman"/>
          <w:sz w:val="20"/>
          <w:szCs w:val="20"/>
          <w:lang w:val="en-GB"/>
        </w:rPr>
        <w:t>for each NUTS2 region (</w:t>
      </w:r>
      <w:r w:rsidRPr="004748E4">
        <w:rPr>
          <w:rFonts w:ascii="Times New Roman" w:hAnsi="Times New Roman" w:cs="Times New Roman"/>
          <w:sz w:val="20"/>
          <w:szCs w:val="20"/>
          <w:lang w:val="en-GB"/>
        </w:rPr>
        <w:t>Rosace et al. 2023).</w:t>
      </w:r>
    </w:p>
    <w:p w14:paraId="1091F069" w14:textId="77777777" w:rsidR="00C73935" w:rsidRDefault="00C73935" w:rsidP="00D338BD">
      <w:pPr>
        <w:spacing w:line="360" w:lineRule="auto"/>
        <w:jc w:val="center"/>
        <w:rPr>
          <w:rFonts w:ascii="Times New Roman" w:hAnsi="Times New Roman" w:cs="Times New Roman"/>
          <w:sz w:val="20"/>
          <w:szCs w:val="20"/>
          <w:lang w:val="en-GB"/>
        </w:rPr>
      </w:pPr>
    </w:p>
    <w:p w14:paraId="63588222" w14:textId="77777777" w:rsidR="00C73935" w:rsidRPr="008E6AFB" w:rsidRDefault="00C73935" w:rsidP="00D338BD">
      <w:pPr>
        <w:spacing w:line="360" w:lineRule="auto"/>
        <w:jc w:val="center"/>
        <w:rPr>
          <w:lang w:val="en-GB"/>
        </w:rPr>
      </w:pPr>
    </w:p>
    <w:p w14:paraId="030D16B5" w14:textId="6AC972C3" w:rsidR="006071A8" w:rsidRDefault="002E2410" w:rsidP="002E2410">
      <w:pPr>
        <w:spacing w:line="360" w:lineRule="auto"/>
        <w:jc w:val="center"/>
        <w:rPr>
          <w:rFonts w:ascii="Times New Roman" w:hAnsi="Times New Roman" w:cs="Times New Roman"/>
          <w:sz w:val="20"/>
          <w:szCs w:val="20"/>
          <w:lang w:val="en-GB"/>
        </w:rPr>
      </w:pPr>
      <w:bookmarkStart w:id="0" w:name="_Hlk158214653"/>
      <w:r>
        <w:rPr>
          <w:rFonts w:ascii="Times New Roman" w:hAnsi="Times New Roman" w:cs="Times New Roman"/>
          <w:noProof/>
          <w:sz w:val="20"/>
          <w:szCs w:val="20"/>
          <w:lang w:val="en-GB"/>
        </w:rPr>
        <w:lastRenderedPageBreak/>
        <w:drawing>
          <wp:inline distT="0" distB="0" distL="0" distR="0" wp14:anchorId="745F80B8" wp14:editId="5B783DBB">
            <wp:extent cx="5389675" cy="5229225"/>
            <wp:effectExtent l="0" t="0" r="1905" b="0"/>
            <wp:docPr id="11968691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3705" cy="5233135"/>
                    </a:xfrm>
                    <a:prstGeom prst="rect">
                      <a:avLst/>
                    </a:prstGeom>
                    <a:noFill/>
                  </pic:spPr>
                </pic:pic>
              </a:graphicData>
            </a:graphic>
          </wp:inline>
        </w:drawing>
      </w:r>
    </w:p>
    <w:p w14:paraId="282CD13B" w14:textId="56EE1694" w:rsidR="006071A8" w:rsidRPr="008E6AFB" w:rsidRDefault="006071A8" w:rsidP="00D338BD">
      <w:pPr>
        <w:spacing w:line="360" w:lineRule="auto"/>
        <w:jc w:val="both"/>
        <w:rPr>
          <w:lang w:val="en-GB"/>
        </w:rPr>
      </w:pPr>
      <w:r w:rsidRPr="00BB14A1">
        <w:rPr>
          <w:rFonts w:ascii="Times New Roman" w:hAnsi="Times New Roman" w:cs="Times New Roman"/>
          <w:sz w:val="20"/>
          <w:szCs w:val="20"/>
          <w:lang w:val="en-GB"/>
        </w:rPr>
        <w:t xml:space="preserve">Figure </w:t>
      </w:r>
      <w:r w:rsidR="00D347A2" w:rsidRPr="00D347A2">
        <w:rPr>
          <w:rFonts w:ascii="Times New Roman" w:hAnsi="Times New Roman" w:cs="Times New Roman"/>
          <w:sz w:val="20"/>
          <w:szCs w:val="20"/>
          <w:lang w:val="en-GB"/>
        </w:rPr>
        <w:t>S3</w:t>
      </w:r>
      <w:r w:rsidRPr="001E47C1">
        <w:rPr>
          <w:rFonts w:ascii="Times New Roman" w:hAnsi="Times New Roman" w:cs="Times New Roman"/>
          <w:noProof/>
          <w:sz w:val="20"/>
          <w:szCs w:val="20"/>
          <w:lang w:val="en-GB"/>
        </w:rPr>
        <w:t>:</w:t>
      </w:r>
      <w:r w:rsidRPr="001E47C1">
        <w:rPr>
          <w:rFonts w:ascii="Times New Roman" w:hAnsi="Times New Roman" w:cs="Times New Roman"/>
          <w:sz w:val="20"/>
          <w:szCs w:val="20"/>
          <w:lang w:val="en-GB"/>
        </w:rPr>
        <w:t xml:space="preserve"> </w:t>
      </w:r>
      <w:r w:rsidR="000E092A">
        <w:rPr>
          <w:rFonts w:ascii="Times New Roman" w:hAnsi="Times New Roman" w:cs="Times New Roman"/>
          <w:sz w:val="20"/>
          <w:szCs w:val="20"/>
          <w:lang w:val="en-GB"/>
        </w:rPr>
        <w:t>M</w:t>
      </w:r>
      <w:r w:rsidRPr="00470EE6">
        <w:rPr>
          <w:rFonts w:ascii="Times New Roman" w:hAnsi="Times New Roman" w:cs="Times New Roman"/>
          <w:sz w:val="20"/>
          <w:szCs w:val="20"/>
          <w:lang w:val="en-GB"/>
        </w:rPr>
        <w:t xml:space="preserve">ap </w:t>
      </w:r>
      <w:r>
        <w:rPr>
          <w:rFonts w:ascii="Times New Roman" w:hAnsi="Times New Roman" w:cs="Times New Roman"/>
          <w:sz w:val="20"/>
          <w:szCs w:val="20"/>
          <w:lang w:val="en-GB"/>
        </w:rPr>
        <w:t xml:space="preserve">of </w:t>
      </w:r>
      <w:r w:rsidR="000E092A">
        <w:rPr>
          <w:rFonts w:ascii="Times New Roman" w:hAnsi="Times New Roman" w:cs="Times New Roman"/>
          <w:sz w:val="20"/>
          <w:szCs w:val="20"/>
          <w:lang w:val="en-GB"/>
        </w:rPr>
        <w:t xml:space="preserve">the number of </w:t>
      </w:r>
      <w:r>
        <w:rPr>
          <w:rFonts w:ascii="Times New Roman" w:hAnsi="Times New Roman" w:cs="Times New Roman"/>
          <w:sz w:val="20"/>
          <w:szCs w:val="20"/>
          <w:lang w:val="en-GB"/>
        </w:rPr>
        <w:t>Border Control Posts (BCPs) and Control Posts</w:t>
      </w:r>
      <w:r w:rsidR="00D338BD">
        <w:rPr>
          <w:rFonts w:ascii="Times New Roman" w:hAnsi="Times New Roman" w:cs="Times New Roman"/>
          <w:sz w:val="20"/>
          <w:szCs w:val="20"/>
          <w:lang w:val="en-GB"/>
        </w:rPr>
        <w:t xml:space="preserve"> (CPs)</w:t>
      </w:r>
      <w:r>
        <w:rPr>
          <w:rFonts w:ascii="Times New Roman" w:hAnsi="Times New Roman" w:cs="Times New Roman"/>
          <w:sz w:val="20"/>
          <w:szCs w:val="20"/>
          <w:lang w:val="en-GB"/>
        </w:rPr>
        <w:t xml:space="preserve"> collected as described in </w:t>
      </w:r>
      <w:r w:rsidR="00835FD1">
        <w:rPr>
          <w:rFonts w:ascii="Times New Roman" w:hAnsi="Times New Roman" w:cs="Times New Roman"/>
          <w:sz w:val="20"/>
          <w:szCs w:val="20"/>
          <w:lang w:val="en-GB"/>
        </w:rPr>
        <w:t>Appendix I Table S1</w:t>
      </w:r>
      <w:r>
        <w:rPr>
          <w:rFonts w:ascii="Times New Roman" w:hAnsi="Times New Roman" w:cs="Times New Roman"/>
          <w:sz w:val="20"/>
          <w:szCs w:val="20"/>
          <w:lang w:val="en-GB"/>
        </w:rPr>
        <w:t xml:space="preserve">. </w:t>
      </w:r>
      <w:r w:rsidR="008C50AA" w:rsidRPr="008C50AA">
        <w:rPr>
          <w:rFonts w:ascii="Times New Roman" w:hAnsi="Times New Roman" w:cs="Times New Roman"/>
          <w:sz w:val="20"/>
          <w:szCs w:val="20"/>
          <w:lang w:val="en-GB"/>
        </w:rPr>
        <w:t xml:space="preserve">The density of </w:t>
      </w:r>
      <w:r w:rsidR="008C50AA">
        <w:rPr>
          <w:rFonts w:ascii="Times New Roman" w:hAnsi="Times New Roman" w:cs="Times New Roman"/>
          <w:sz w:val="20"/>
          <w:szCs w:val="20"/>
          <w:lang w:val="en-GB"/>
        </w:rPr>
        <w:t>BCPs and CPs</w:t>
      </w:r>
      <w:r w:rsidR="008C50AA" w:rsidRPr="008C50AA">
        <w:rPr>
          <w:rFonts w:ascii="Times New Roman" w:hAnsi="Times New Roman" w:cs="Times New Roman"/>
          <w:sz w:val="20"/>
          <w:szCs w:val="20"/>
          <w:lang w:val="en-GB"/>
        </w:rPr>
        <w:t xml:space="preserve"> per unit </w:t>
      </w:r>
      <w:r w:rsidR="008C50AA">
        <w:rPr>
          <w:rFonts w:ascii="Times New Roman" w:hAnsi="Times New Roman" w:cs="Times New Roman"/>
          <w:sz w:val="20"/>
          <w:szCs w:val="20"/>
          <w:lang w:val="en-GB"/>
        </w:rPr>
        <w:t xml:space="preserve">NUTS2 </w:t>
      </w:r>
      <w:r w:rsidR="008C50AA" w:rsidRPr="008C50AA">
        <w:rPr>
          <w:rFonts w:ascii="Times New Roman" w:hAnsi="Times New Roman" w:cs="Times New Roman"/>
          <w:sz w:val="20"/>
          <w:szCs w:val="20"/>
          <w:lang w:val="en-GB"/>
        </w:rPr>
        <w:t>area was calculated by dividing the number of</w:t>
      </w:r>
      <w:r w:rsidR="008C50AA">
        <w:rPr>
          <w:rFonts w:ascii="Times New Roman" w:hAnsi="Times New Roman" w:cs="Times New Roman"/>
          <w:sz w:val="20"/>
          <w:szCs w:val="20"/>
          <w:lang w:val="en-GB"/>
        </w:rPr>
        <w:t xml:space="preserve"> BCPs and CPs</w:t>
      </w:r>
      <w:r w:rsidR="008C50AA" w:rsidRPr="008C50AA">
        <w:rPr>
          <w:rFonts w:ascii="Times New Roman" w:hAnsi="Times New Roman" w:cs="Times New Roman"/>
          <w:sz w:val="20"/>
          <w:szCs w:val="20"/>
          <w:lang w:val="en-GB"/>
        </w:rPr>
        <w:t xml:space="preserve"> in each NUTS2 region by the area of that region.</w:t>
      </w:r>
      <w:r w:rsidR="008C50AA">
        <w:rPr>
          <w:rFonts w:ascii="Times New Roman" w:hAnsi="Times New Roman" w:cs="Times New Roman"/>
          <w:sz w:val="20"/>
          <w:szCs w:val="20"/>
          <w:lang w:val="en-GB"/>
        </w:rPr>
        <w:t xml:space="preserve"> </w:t>
      </w:r>
      <w:r w:rsidRPr="004748E4">
        <w:rPr>
          <w:rFonts w:ascii="Times New Roman" w:hAnsi="Times New Roman" w:cs="Times New Roman"/>
          <w:sz w:val="20"/>
          <w:szCs w:val="20"/>
          <w:lang w:val="en-GB"/>
        </w:rPr>
        <w:t xml:space="preserve">The </w:t>
      </w:r>
      <w:r>
        <w:rPr>
          <w:rFonts w:ascii="Times New Roman" w:hAnsi="Times New Roman" w:cs="Times New Roman"/>
          <w:sz w:val="20"/>
          <w:szCs w:val="20"/>
          <w:lang w:val="en-GB"/>
        </w:rPr>
        <w:t>circles</w:t>
      </w:r>
      <w:r w:rsidRPr="004748E4">
        <w:rPr>
          <w:rFonts w:ascii="Times New Roman" w:hAnsi="Times New Roman" w:cs="Times New Roman"/>
          <w:sz w:val="20"/>
          <w:szCs w:val="20"/>
          <w:lang w:val="en-GB"/>
        </w:rPr>
        <w:t xml:space="preserve"> represent the pests</w:t>
      </w:r>
      <w:r>
        <w:rPr>
          <w:rFonts w:ascii="Times New Roman" w:hAnsi="Times New Roman" w:cs="Times New Roman"/>
          <w:sz w:val="20"/>
          <w:szCs w:val="20"/>
          <w:lang w:val="en-GB"/>
        </w:rPr>
        <w:t>’</w:t>
      </w:r>
      <w:r w:rsidRPr="004748E4">
        <w:rPr>
          <w:rFonts w:ascii="Times New Roman" w:hAnsi="Times New Roman" w:cs="Times New Roman"/>
          <w:sz w:val="20"/>
          <w:szCs w:val="20"/>
          <w:lang w:val="en-GB"/>
        </w:rPr>
        <w:t xml:space="preserve"> </w:t>
      </w:r>
      <w:r w:rsidR="00D979D5">
        <w:rPr>
          <w:rFonts w:ascii="Times New Roman" w:hAnsi="Times New Roman" w:cs="Times New Roman"/>
          <w:sz w:val="20"/>
          <w:szCs w:val="20"/>
          <w:lang w:val="en-GB"/>
        </w:rPr>
        <w:t xml:space="preserve">first </w:t>
      </w:r>
      <w:r w:rsidRPr="004748E4">
        <w:rPr>
          <w:rFonts w:ascii="Times New Roman" w:hAnsi="Times New Roman" w:cs="Times New Roman"/>
          <w:sz w:val="20"/>
          <w:szCs w:val="20"/>
          <w:lang w:val="en-GB"/>
        </w:rPr>
        <w:t xml:space="preserve">introduction </w:t>
      </w:r>
      <w:r>
        <w:rPr>
          <w:rFonts w:ascii="Times New Roman" w:hAnsi="Times New Roman" w:cs="Times New Roman"/>
          <w:sz w:val="20"/>
          <w:szCs w:val="20"/>
          <w:lang w:val="en-GB"/>
        </w:rPr>
        <w:t xml:space="preserve">cumulative </w:t>
      </w:r>
      <w:r w:rsidRPr="004748E4">
        <w:rPr>
          <w:rFonts w:ascii="Times New Roman" w:hAnsi="Times New Roman" w:cs="Times New Roman"/>
          <w:sz w:val="20"/>
          <w:szCs w:val="20"/>
          <w:lang w:val="en-GB"/>
        </w:rPr>
        <w:t>counts</w:t>
      </w:r>
      <w:r w:rsidR="000E092A">
        <w:rPr>
          <w:rFonts w:ascii="Times New Roman" w:hAnsi="Times New Roman" w:cs="Times New Roman"/>
          <w:sz w:val="20"/>
          <w:szCs w:val="20"/>
          <w:lang w:val="en-GB"/>
        </w:rPr>
        <w:t xml:space="preserve"> for each NUTS2 region</w:t>
      </w:r>
      <w:r w:rsidRPr="004748E4">
        <w:rPr>
          <w:rFonts w:ascii="Times New Roman" w:hAnsi="Times New Roman" w:cs="Times New Roman"/>
          <w:sz w:val="20"/>
          <w:szCs w:val="20"/>
          <w:lang w:val="en-GB"/>
        </w:rPr>
        <w:t xml:space="preserve"> </w:t>
      </w:r>
      <w:r w:rsidR="000E092A">
        <w:rPr>
          <w:rFonts w:ascii="Times New Roman" w:hAnsi="Times New Roman" w:cs="Times New Roman"/>
          <w:sz w:val="20"/>
          <w:szCs w:val="20"/>
          <w:lang w:val="en-GB"/>
        </w:rPr>
        <w:t>(</w:t>
      </w:r>
      <w:r w:rsidRPr="004748E4">
        <w:rPr>
          <w:rFonts w:ascii="Times New Roman" w:hAnsi="Times New Roman" w:cs="Times New Roman"/>
          <w:sz w:val="20"/>
          <w:szCs w:val="20"/>
          <w:lang w:val="en-GB"/>
        </w:rPr>
        <w:t>Rosace et al. 2023).</w:t>
      </w:r>
    </w:p>
    <w:bookmarkEnd w:id="0"/>
    <w:p w14:paraId="006AD94E" w14:textId="77777777" w:rsidR="006071A8" w:rsidRPr="005C2EAB" w:rsidRDefault="006071A8" w:rsidP="00D338BD">
      <w:pPr>
        <w:spacing w:line="360" w:lineRule="auto"/>
        <w:jc w:val="both"/>
        <w:rPr>
          <w:rFonts w:ascii="Times New Roman" w:hAnsi="Times New Roman" w:cs="Times New Roman"/>
          <w:b/>
          <w:bCs/>
          <w:lang w:val="en-GB"/>
        </w:rPr>
      </w:pPr>
    </w:p>
    <w:p w14:paraId="1E1F2AE1" w14:textId="5DD0EBEE" w:rsidR="006071A8" w:rsidRDefault="000D5C53" w:rsidP="000D5C53">
      <w:pPr>
        <w:spacing w:line="360" w:lineRule="auto"/>
        <w:jc w:val="center"/>
        <w:rPr>
          <w:lang w:val="en-GB"/>
        </w:rPr>
      </w:pPr>
      <w:r>
        <w:rPr>
          <w:noProof/>
          <w:lang w:val="en-GB"/>
        </w:rPr>
        <w:lastRenderedPageBreak/>
        <w:drawing>
          <wp:inline distT="0" distB="0" distL="0" distR="0" wp14:anchorId="004B527A" wp14:editId="4235101C">
            <wp:extent cx="5166144" cy="5012348"/>
            <wp:effectExtent l="0" t="0" r="0" b="0"/>
            <wp:docPr id="19977638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69997" cy="5016087"/>
                    </a:xfrm>
                    <a:prstGeom prst="rect">
                      <a:avLst/>
                    </a:prstGeom>
                    <a:noFill/>
                  </pic:spPr>
                </pic:pic>
              </a:graphicData>
            </a:graphic>
          </wp:inline>
        </w:drawing>
      </w:r>
    </w:p>
    <w:p w14:paraId="2CBCAD4B" w14:textId="0C9D7C3C" w:rsidR="006071A8" w:rsidRDefault="006071A8" w:rsidP="00D338BD">
      <w:pPr>
        <w:spacing w:line="360" w:lineRule="auto"/>
        <w:jc w:val="center"/>
        <w:rPr>
          <w:rFonts w:ascii="Times New Roman" w:hAnsi="Times New Roman" w:cs="Times New Roman"/>
          <w:sz w:val="20"/>
          <w:szCs w:val="20"/>
          <w:lang w:val="en-GB"/>
        </w:rPr>
      </w:pPr>
      <w:r w:rsidRPr="00BB14A1">
        <w:rPr>
          <w:rFonts w:ascii="Times New Roman" w:hAnsi="Times New Roman" w:cs="Times New Roman"/>
          <w:sz w:val="20"/>
          <w:szCs w:val="20"/>
          <w:lang w:val="en-GB"/>
        </w:rPr>
        <w:t xml:space="preserve">Figure </w:t>
      </w:r>
      <w:r w:rsidR="00D347A2">
        <w:rPr>
          <w:rFonts w:ascii="Times New Roman" w:hAnsi="Times New Roman" w:cs="Times New Roman"/>
          <w:sz w:val="20"/>
          <w:szCs w:val="20"/>
          <w:lang w:val="en-GB"/>
        </w:rPr>
        <w:t>S4</w:t>
      </w:r>
      <w:r w:rsidRPr="001E47C1">
        <w:rPr>
          <w:rFonts w:ascii="Times New Roman" w:hAnsi="Times New Roman" w:cs="Times New Roman"/>
          <w:noProof/>
          <w:sz w:val="20"/>
          <w:szCs w:val="20"/>
          <w:lang w:val="en-GB"/>
        </w:rPr>
        <w:t>:</w:t>
      </w:r>
      <w:r w:rsidRPr="001E47C1">
        <w:rPr>
          <w:rFonts w:ascii="Times New Roman" w:hAnsi="Times New Roman" w:cs="Times New Roman"/>
          <w:sz w:val="20"/>
          <w:szCs w:val="20"/>
          <w:lang w:val="en-GB"/>
        </w:rPr>
        <w:t xml:space="preserve"> </w:t>
      </w:r>
      <w:r w:rsidRPr="00470EE6">
        <w:rPr>
          <w:rFonts w:ascii="Times New Roman" w:hAnsi="Times New Roman" w:cs="Times New Roman"/>
          <w:sz w:val="20"/>
          <w:szCs w:val="20"/>
          <w:lang w:val="en-GB"/>
        </w:rPr>
        <w:t xml:space="preserve">The map </w:t>
      </w:r>
      <w:r w:rsidRPr="00201F86">
        <w:rPr>
          <w:rFonts w:ascii="Times New Roman" w:hAnsi="Times New Roman" w:cs="Times New Roman"/>
          <w:sz w:val="20"/>
          <w:szCs w:val="20"/>
          <w:lang w:val="en-GB"/>
        </w:rPr>
        <w:t xml:space="preserve">shows </w:t>
      </w:r>
      <w:r w:rsidR="00E43E16">
        <w:rPr>
          <w:rFonts w:ascii="Times New Roman" w:hAnsi="Times New Roman" w:cs="Times New Roman"/>
          <w:sz w:val="20"/>
          <w:szCs w:val="20"/>
          <w:lang w:val="en-GB"/>
        </w:rPr>
        <w:t>the EU crop diversity</w:t>
      </w:r>
      <w:r w:rsidRPr="00201F86">
        <w:rPr>
          <w:rFonts w:ascii="Times New Roman" w:hAnsi="Times New Roman" w:cs="Times New Roman"/>
          <w:sz w:val="20"/>
          <w:szCs w:val="20"/>
          <w:lang w:val="en-GB"/>
        </w:rPr>
        <w:t xml:space="preserve"> in 2018</w:t>
      </w:r>
      <w:r>
        <w:rPr>
          <w:rFonts w:ascii="Times New Roman" w:hAnsi="Times New Roman" w:cs="Times New Roman"/>
          <w:sz w:val="20"/>
          <w:szCs w:val="20"/>
          <w:lang w:val="en-GB"/>
        </w:rPr>
        <w:t xml:space="preserve"> </w:t>
      </w:r>
      <w:r>
        <w:rPr>
          <w:rFonts w:ascii="Times New Roman" w:hAnsi="Times New Roman" w:cs="Times New Roman"/>
          <w:sz w:val="20"/>
          <w:szCs w:val="20"/>
          <w:lang w:val="en-GB"/>
        </w:rPr>
        <w:fldChar w:fldCharType="begin" w:fldLock="1"/>
      </w:r>
      <w:r w:rsidR="00484CDE">
        <w:rPr>
          <w:rFonts w:ascii="Times New Roman" w:hAnsi="Times New Roman" w:cs="Times New Roman"/>
          <w:sz w:val="20"/>
          <w:szCs w:val="20"/>
          <w:lang w:val="en-GB"/>
        </w:rPr>
        <w:instrText>ADDIN CSL_CITATION {"citationItems":[{"id":"ITEM-1","itemData":{"abstract":"Understanding crop diversity is crucial for resilience in farming, ecosystem services, and effective agro-environmental policies. We utilize a novel EU-wide satellite product (2018, 10 m resolution) to assess crop diversity across different scales. We define local crop diversity ($\\alpha$-diversity) at 1 km scale, which in the EU is proportional to the area covered by large farms or clusters of small-to-medium sized farms. We also compute $\\gamma$-diversity, covering landscape, regional, and national levels crop diversity. $\\beta$-diversity ($\\gamma$/$\\alpha$) provides a measure of between agroecosystems diversity. National $\\alpha$, $\\gamma$, and $\\beta$ diversity varies greatly ($\\alpha$: 2.1-3.9, $\\gamma$: 3.5-7.5, $\\beta$: 1.22-2.27). EU-wide $\\gamma$-diversity increases logarithmically with spatial aggregation (1 km: 2.85, 100 km: 4.27). We categorize EU Member States (MS) into four groups for crop diversification policy recommendations. Compared to the USA, the EU exhibits higher diversity related to differences in farm structure and practices. High local $\\alpha$-diversity is only found for MS with small farms (&lt;25 ha), but their presence doesn't always guarantee high local diversity. This study aids CAP implementation in the EU, with potential for annual continental Copernicus crop type maps and ecosystem co-variates exploration for a deeper understanding of agro-ecosystem services.","author":[{"dropping-particle":"","family":"Machefer","given":"Melissande","non-dropping-particle":"","parse-names":false,"suffix":""},{"dropping-particle":"","family":"Zampieri","given":"Matteo","non-dropping-particle":"","parse-names":false,"suffix":""},{"dropping-particle":"","family":"Velde","given":"Marijn","non-dropping-particle":"van der","parse-names":false,"suffix":""},{"dropping-particle":"","family":"Dentener","given":"Frank","non-dropping-particle":"","parse-names":false,"suffix":""},{"dropping-particle":"","family":"Claverie","given":"Martin","non-dropping-particle":"","parse-names":false,"suffix":""},{"dropping-particle":"","family":"Andrimont","given":"Raphael d","non-dropping-particle":"","parse-names":false,"suffix":""}],"id":"ITEM-1","issued":{"date-parts":[["2023"]]},"title":"Assessing crop diversity across scales using high-resolution remote sensing over the European Union: first insights for agro-environmental policies","type":"article-journal"},"uris":["http://www.mendeley.com/documents/?uuid=93fa5296-cd64-4da0-a896-2b3e2eb8bcd7"]},{"id":"ITEM-2","itemData":{"author":[{"dropping-particle":"","family":"D'andrimont","given":"R","non-dropping-particle":"","parse-names":false,"suffix":""},{"dropping-particle":"","family":"Zampieri","given":"M","non-dropping-particle":"","parse-names":false,"suffix":""},{"dropping-particle":"","family":"Claverie","given":"M","non-dropping-particle":"","parse-names":false,"suffix":""},{"dropping-particle":"","family":"Dentener","given":"F","non-dropping-particle":"","parse-names":false,"suffix":""},{"dropping-particle":"","family":"Velde","given":"M","non-dropping-particle":"Van der","parse-names":false,"suffix":""}],"container-title":"European Commission","id":"ITEM-2","issued":{"date-parts":[["2022"]]},"title":"EU Crop Diversity","type":"article-journal","volume":"JRC129557"},"uris":["http://www.mendeley.com/documents/?uuid=ba4794eb-4a7b-458b-8d8c-e6d11dc1daa7"]}],"mendeley":{"formattedCitation":"(D’andrimont et al. 2022; Machefer et al. 2023)","plainTextFormattedCitation":"(D’andrimont et al. 2022; Machefer et al. 2023)","previouslyFormattedCitation":"(Machefer et al. 2023)"},"properties":{"noteIndex":0},"schema":"https://github.com/citation-style-language/schema/raw/master/csl-citation.json"}</w:instrText>
      </w:r>
      <w:r>
        <w:rPr>
          <w:rFonts w:ascii="Times New Roman" w:hAnsi="Times New Roman" w:cs="Times New Roman"/>
          <w:sz w:val="20"/>
          <w:szCs w:val="20"/>
          <w:lang w:val="en-GB"/>
        </w:rPr>
        <w:fldChar w:fldCharType="separate"/>
      </w:r>
      <w:r w:rsidR="00484CDE" w:rsidRPr="00484CDE">
        <w:rPr>
          <w:rFonts w:ascii="Times New Roman" w:hAnsi="Times New Roman" w:cs="Times New Roman"/>
          <w:noProof/>
          <w:sz w:val="20"/>
          <w:szCs w:val="20"/>
          <w:lang w:val="en-GB"/>
        </w:rPr>
        <w:t>(D’andrimont et al. 2022; Machefer et al. 2023)</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w:t>
      </w:r>
      <w:r w:rsidR="00467482" w:rsidRPr="00467482">
        <w:rPr>
          <w:rFonts w:ascii="Times New Roman" w:hAnsi="Times New Roman" w:cs="Times New Roman"/>
          <w:sz w:val="20"/>
          <w:szCs w:val="20"/>
          <w:lang w:val="en-GB"/>
        </w:rPr>
        <w:t xml:space="preserve"> </w:t>
      </w:r>
      <w:r w:rsidR="00627ABA">
        <w:rPr>
          <w:rFonts w:ascii="Times New Roman" w:hAnsi="Times New Roman" w:cs="Times New Roman"/>
          <w:sz w:val="20"/>
          <w:szCs w:val="20"/>
          <w:lang w:val="en-GB"/>
        </w:rPr>
        <w:t>Data were</w:t>
      </w:r>
      <w:r w:rsidR="00627ABA" w:rsidRPr="00627ABA">
        <w:rPr>
          <w:rFonts w:ascii="Times New Roman" w:hAnsi="Times New Roman" w:cs="Times New Roman"/>
          <w:sz w:val="20"/>
          <w:szCs w:val="20"/>
          <w:lang w:val="en-GB"/>
        </w:rPr>
        <w:t xml:space="preserve"> normalised by area for each NUTS2 region. </w:t>
      </w:r>
      <w:r w:rsidR="00467482" w:rsidRPr="004748E4">
        <w:rPr>
          <w:rFonts w:ascii="Times New Roman" w:hAnsi="Times New Roman" w:cs="Times New Roman"/>
          <w:sz w:val="20"/>
          <w:szCs w:val="20"/>
          <w:lang w:val="en-GB"/>
        </w:rPr>
        <w:t xml:space="preserve">The </w:t>
      </w:r>
      <w:r w:rsidR="00467482">
        <w:rPr>
          <w:rFonts w:ascii="Times New Roman" w:hAnsi="Times New Roman" w:cs="Times New Roman"/>
          <w:sz w:val="20"/>
          <w:szCs w:val="20"/>
          <w:lang w:val="en-GB"/>
        </w:rPr>
        <w:t>circles</w:t>
      </w:r>
      <w:r w:rsidR="00467482" w:rsidRPr="004748E4">
        <w:rPr>
          <w:rFonts w:ascii="Times New Roman" w:hAnsi="Times New Roman" w:cs="Times New Roman"/>
          <w:sz w:val="20"/>
          <w:szCs w:val="20"/>
          <w:lang w:val="en-GB"/>
        </w:rPr>
        <w:t xml:space="preserve"> represent the pests</w:t>
      </w:r>
      <w:r w:rsidR="00467482">
        <w:rPr>
          <w:rFonts w:ascii="Times New Roman" w:hAnsi="Times New Roman" w:cs="Times New Roman"/>
          <w:sz w:val="20"/>
          <w:szCs w:val="20"/>
          <w:lang w:val="en-GB"/>
        </w:rPr>
        <w:t>’</w:t>
      </w:r>
      <w:r w:rsidR="00D979D5">
        <w:rPr>
          <w:rFonts w:ascii="Times New Roman" w:hAnsi="Times New Roman" w:cs="Times New Roman"/>
          <w:sz w:val="20"/>
          <w:szCs w:val="20"/>
          <w:lang w:val="en-GB"/>
        </w:rPr>
        <w:t xml:space="preserve"> first</w:t>
      </w:r>
      <w:r w:rsidR="00467482" w:rsidRPr="004748E4">
        <w:rPr>
          <w:rFonts w:ascii="Times New Roman" w:hAnsi="Times New Roman" w:cs="Times New Roman"/>
          <w:sz w:val="20"/>
          <w:szCs w:val="20"/>
          <w:lang w:val="en-GB"/>
        </w:rPr>
        <w:t xml:space="preserve"> introduction </w:t>
      </w:r>
      <w:r w:rsidR="00467482">
        <w:rPr>
          <w:rFonts w:ascii="Times New Roman" w:hAnsi="Times New Roman" w:cs="Times New Roman"/>
          <w:sz w:val="20"/>
          <w:szCs w:val="20"/>
          <w:lang w:val="en-GB"/>
        </w:rPr>
        <w:t xml:space="preserve">cumulative </w:t>
      </w:r>
      <w:r w:rsidR="00467482" w:rsidRPr="004748E4">
        <w:rPr>
          <w:rFonts w:ascii="Times New Roman" w:hAnsi="Times New Roman" w:cs="Times New Roman"/>
          <w:sz w:val="20"/>
          <w:szCs w:val="20"/>
          <w:lang w:val="en-GB"/>
        </w:rPr>
        <w:t xml:space="preserve">counts </w:t>
      </w:r>
      <w:r w:rsidR="000E092A" w:rsidRPr="000E092A">
        <w:rPr>
          <w:rFonts w:ascii="Times New Roman" w:hAnsi="Times New Roman" w:cs="Times New Roman"/>
          <w:sz w:val="20"/>
          <w:szCs w:val="20"/>
          <w:lang w:val="en-GB"/>
        </w:rPr>
        <w:t xml:space="preserve">for each NUTS2 region </w:t>
      </w:r>
      <w:r w:rsidR="000E092A">
        <w:rPr>
          <w:rFonts w:ascii="Times New Roman" w:hAnsi="Times New Roman" w:cs="Times New Roman"/>
          <w:sz w:val="20"/>
          <w:szCs w:val="20"/>
          <w:lang w:val="en-GB"/>
        </w:rPr>
        <w:t>(</w:t>
      </w:r>
      <w:r w:rsidR="00467482" w:rsidRPr="004748E4">
        <w:rPr>
          <w:rFonts w:ascii="Times New Roman" w:hAnsi="Times New Roman" w:cs="Times New Roman"/>
          <w:sz w:val="20"/>
          <w:szCs w:val="20"/>
          <w:lang w:val="en-GB"/>
        </w:rPr>
        <w:t>Rosace et al. 2023).</w:t>
      </w:r>
    </w:p>
    <w:p w14:paraId="3A48BE8F" w14:textId="77777777" w:rsidR="00D347A2" w:rsidRDefault="00D347A2" w:rsidP="00D347A2">
      <w:pPr>
        <w:spacing w:line="360" w:lineRule="auto"/>
        <w:rPr>
          <w:rFonts w:ascii="Times New Roman" w:hAnsi="Times New Roman" w:cs="Times New Roman"/>
          <w:sz w:val="20"/>
          <w:szCs w:val="20"/>
          <w:lang w:val="en-GB"/>
        </w:rPr>
      </w:pPr>
    </w:p>
    <w:p w14:paraId="7C63A259" w14:textId="77777777" w:rsidR="00D347A2" w:rsidRDefault="00D347A2" w:rsidP="00D347A2">
      <w:pPr>
        <w:spacing w:line="360" w:lineRule="auto"/>
        <w:rPr>
          <w:rFonts w:ascii="Times New Roman" w:hAnsi="Times New Roman" w:cs="Times New Roman"/>
          <w:sz w:val="20"/>
          <w:szCs w:val="20"/>
          <w:lang w:val="en-GB"/>
        </w:rPr>
      </w:pPr>
    </w:p>
    <w:p w14:paraId="73A105A2" w14:textId="77777777" w:rsidR="00D347A2" w:rsidRDefault="00D347A2" w:rsidP="00D347A2">
      <w:pPr>
        <w:spacing w:line="360" w:lineRule="auto"/>
        <w:rPr>
          <w:rFonts w:ascii="Times New Roman" w:hAnsi="Times New Roman" w:cs="Times New Roman"/>
          <w:sz w:val="20"/>
          <w:szCs w:val="20"/>
          <w:lang w:val="en-GB"/>
        </w:rPr>
      </w:pPr>
    </w:p>
    <w:p w14:paraId="64F4063F" w14:textId="77777777" w:rsidR="00D347A2" w:rsidRDefault="00D347A2" w:rsidP="00D347A2">
      <w:pPr>
        <w:spacing w:line="360" w:lineRule="auto"/>
        <w:rPr>
          <w:rFonts w:ascii="Times New Roman" w:hAnsi="Times New Roman" w:cs="Times New Roman"/>
          <w:sz w:val="20"/>
          <w:szCs w:val="20"/>
          <w:lang w:val="en-GB"/>
        </w:rPr>
      </w:pPr>
    </w:p>
    <w:p w14:paraId="2C602E67" w14:textId="77777777" w:rsidR="00D347A2" w:rsidRDefault="00D347A2" w:rsidP="00D347A2">
      <w:pPr>
        <w:spacing w:line="360" w:lineRule="auto"/>
        <w:rPr>
          <w:rFonts w:ascii="Times New Roman" w:hAnsi="Times New Roman" w:cs="Times New Roman"/>
          <w:sz w:val="20"/>
          <w:szCs w:val="20"/>
          <w:lang w:val="en-GB"/>
        </w:rPr>
      </w:pPr>
    </w:p>
    <w:p w14:paraId="4D917EFE" w14:textId="77777777" w:rsidR="00D347A2" w:rsidRDefault="00D347A2" w:rsidP="00D347A2">
      <w:pPr>
        <w:spacing w:line="360" w:lineRule="auto"/>
        <w:rPr>
          <w:rFonts w:ascii="Times New Roman" w:hAnsi="Times New Roman" w:cs="Times New Roman"/>
          <w:sz w:val="20"/>
          <w:szCs w:val="20"/>
          <w:lang w:val="en-GB"/>
        </w:rPr>
      </w:pPr>
    </w:p>
    <w:p w14:paraId="5FF9C559" w14:textId="77777777" w:rsidR="00D347A2" w:rsidRDefault="00D347A2" w:rsidP="00D347A2">
      <w:pPr>
        <w:spacing w:line="360" w:lineRule="auto"/>
        <w:rPr>
          <w:rFonts w:ascii="Times New Roman" w:hAnsi="Times New Roman" w:cs="Times New Roman"/>
          <w:sz w:val="20"/>
          <w:szCs w:val="20"/>
          <w:lang w:val="en-GB"/>
        </w:rPr>
      </w:pPr>
    </w:p>
    <w:p w14:paraId="14E17409" w14:textId="77777777" w:rsidR="00D347A2" w:rsidRDefault="00D347A2" w:rsidP="00D347A2">
      <w:pPr>
        <w:spacing w:line="360" w:lineRule="auto"/>
        <w:rPr>
          <w:rFonts w:ascii="Times New Roman" w:hAnsi="Times New Roman" w:cs="Times New Roman"/>
          <w:sz w:val="20"/>
          <w:szCs w:val="20"/>
          <w:lang w:val="en-GB"/>
        </w:rPr>
      </w:pPr>
    </w:p>
    <w:p w14:paraId="6BB07EA8" w14:textId="77777777" w:rsidR="00D347A2" w:rsidRDefault="00D347A2" w:rsidP="00D347A2">
      <w:pPr>
        <w:spacing w:line="360" w:lineRule="auto"/>
        <w:rPr>
          <w:rFonts w:ascii="Times New Roman" w:hAnsi="Times New Roman" w:cs="Times New Roman"/>
          <w:sz w:val="20"/>
          <w:szCs w:val="20"/>
          <w:lang w:val="en-GB"/>
        </w:rPr>
      </w:pPr>
    </w:p>
    <w:p w14:paraId="7BDCBD57" w14:textId="77777777" w:rsidR="00D347A2" w:rsidRDefault="00D347A2" w:rsidP="00D347A2">
      <w:pPr>
        <w:spacing w:line="360" w:lineRule="auto"/>
        <w:rPr>
          <w:rFonts w:ascii="Times New Roman" w:hAnsi="Times New Roman" w:cs="Times New Roman"/>
          <w:sz w:val="20"/>
          <w:szCs w:val="20"/>
          <w:lang w:val="en-GB"/>
        </w:rPr>
      </w:pPr>
    </w:p>
    <w:p w14:paraId="60751182" w14:textId="656EFD4C" w:rsidR="00D347A2" w:rsidRPr="00D347A2" w:rsidRDefault="00D347A2" w:rsidP="00D347A2">
      <w:pPr>
        <w:spacing w:line="360" w:lineRule="auto"/>
        <w:jc w:val="both"/>
        <w:rPr>
          <w:rFonts w:ascii="Times New Roman" w:hAnsi="Times New Roman" w:cs="Times New Roman"/>
          <w:b/>
          <w:bCs/>
          <w:sz w:val="20"/>
          <w:szCs w:val="20"/>
          <w:lang w:val="en-GB"/>
        </w:rPr>
      </w:pPr>
      <w:r w:rsidRPr="00D347A2">
        <w:rPr>
          <w:rFonts w:ascii="Times New Roman" w:hAnsi="Times New Roman" w:cs="Times New Roman"/>
          <w:b/>
          <w:bCs/>
          <w:sz w:val="20"/>
          <w:szCs w:val="20"/>
          <w:lang w:val="en-GB"/>
        </w:rPr>
        <w:lastRenderedPageBreak/>
        <w:t xml:space="preserve">Appendix IV: The Pearson correlation matrix </w:t>
      </w:r>
    </w:p>
    <w:p w14:paraId="4338CEF2" w14:textId="77777777" w:rsidR="00D347A2" w:rsidRDefault="00D347A2" w:rsidP="00D347A2">
      <w:pPr>
        <w:spacing w:line="360" w:lineRule="auto"/>
        <w:jc w:val="both"/>
        <w:rPr>
          <w:rFonts w:ascii="Times New Roman" w:hAnsi="Times New Roman" w:cs="Times New Roman"/>
          <w:noProof/>
          <w:sz w:val="20"/>
          <w:szCs w:val="20"/>
          <w:lang w:val="en-GB"/>
        </w:rPr>
      </w:pPr>
    </w:p>
    <w:p w14:paraId="7567FC08" w14:textId="77777777" w:rsidR="00D347A2" w:rsidRDefault="00D347A2" w:rsidP="00D347A2">
      <w:pPr>
        <w:spacing w:line="360" w:lineRule="auto"/>
        <w:jc w:val="both"/>
        <w:rPr>
          <w:rFonts w:ascii="Times New Roman" w:hAnsi="Times New Roman" w:cs="Times New Roman"/>
          <w:noProof/>
          <w:sz w:val="20"/>
          <w:szCs w:val="20"/>
          <w:lang w:val="en-GB"/>
        </w:rPr>
      </w:pPr>
      <w:r>
        <w:rPr>
          <w:rFonts w:ascii="Times New Roman" w:hAnsi="Times New Roman" w:cs="Times New Roman"/>
          <w:noProof/>
          <w:sz w:val="20"/>
          <w:szCs w:val="20"/>
          <w:lang w:val="en-GB"/>
        </w:rPr>
        <w:drawing>
          <wp:inline distT="0" distB="0" distL="0" distR="0" wp14:anchorId="7ECAB18A" wp14:editId="3538985E">
            <wp:extent cx="5249556" cy="4258101"/>
            <wp:effectExtent l="0" t="0" r="8255" b="9525"/>
            <wp:docPr id="496848380" name="Picture 1" descr="A graph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48380" name="Picture 1" descr="A graph with numbers and symbols&#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8318" cy="4273320"/>
                    </a:xfrm>
                    <a:prstGeom prst="rect">
                      <a:avLst/>
                    </a:prstGeom>
                    <a:noFill/>
                  </pic:spPr>
                </pic:pic>
              </a:graphicData>
            </a:graphic>
          </wp:inline>
        </w:drawing>
      </w:r>
    </w:p>
    <w:p w14:paraId="313CA675" w14:textId="1CE8E387" w:rsidR="00D347A2" w:rsidRPr="00F16BE6" w:rsidRDefault="00D347A2" w:rsidP="00D347A2">
      <w:pPr>
        <w:spacing w:line="360" w:lineRule="auto"/>
        <w:jc w:val="both"/>
        <w:rPr>
          <w:rFonts w:ascii="Times New Roman" w:hAnsi="Times New Roman" w:cs="Times New Roman"/>
          <w:noProof/>
          <w:sz w:val="20"/>
          <w:szCs w:val="20"/>
          <w:lang w:val="en-GB"/>
        </w:rPr>
      </w:pPr>
      <w:bookmarkStart w:id="1" w:name="_Ref166578952"/>
      <w:r w:rsidRPr="00F16BE6">
        <w:rPr>
          <w:rFonts w:ascii="Times New Roman" w:hAnsi="Times New Roman" w:cs="Times New Roman"/>
          <w:sz w:val="20"/>
          <w:szCs w:val="20"/>
          <w:lang w:val="en-GB"/>
        </w:rPr>
        <w:t xml:space="preserve">Figure </w:t>
      </w:r>
      <w:r>
        <w:rPr>
          <w:rFonts w:ascii="Times New Roman" w:hAnsi="Times New Roman" w:cs="Times New Roman"/>
          <w:sz w:val="20"/>
          <w:szCs w:val="20"/>
          <w:lang w:val="en-GB"/>
        </w:rPr>
        <w:t>S</w:t>
      </w:r>
      <w:r w:rsidRPr="00F16BE6">
        <w:rPr>
          <w:rFonts w:ascii="Times New Roman" w:hAnsi="Times New Roman" w:cs="Times New Roman"/>
          <w:i/>
          <w:iCs/>
          <w:color w:val="44546A" w:themeColor="text2"/>
          <w:sz w:val="20"/>
          <w:szCs w:val="20"/>
        </w:rPr>
        <w:fldChar w:fldCharType="begin"/>
      </w:r>
      <w:r w:rsidRPr="00F16BE6">
        <w:rPr>
          <w:rFonts w:ascii="Times New Roman" w:hAnsi="Times New Roman" w:cs="Times New Roman"/>
          <w:sz w:val="20"/>
          <w:szCs w:val="20"/>
          <w:lang w:val="en-GB"/>
        </w:rPr>
        <w:instrText xml:space="preserve"> SEQ Figure \* ARABIC </w:instrText>
      </w:r>
      <w:r w:rsidRPr="00F16BE6">
        <w:rPr>
          <w:rFonts w:ascii="Times New Roman" w:hAnsi="Times New Roman" w:cs="Times New Roman"/>
          <w:i/>
          <w:iCs/>
          <w:color w:val="44546A" w:themeColor="text2"/>
          <w:sz w:val="20"/>
          <w:szCs w:val="20"/>
        </w:rPr>
        <w:fldChar w:fldCharType="separate"/>
      </w:r>
      <w:r w:rsidRPr="00F16BE6">
        <w:rPr>
          <w:rFonts w:ascii="Times New Roman" w:hAnsi="Times New Roman" w:cs="Times New Roman"/>
          <w:noProof/>
          <w:sz w:val="20"/>
          <w:szCs w:val="20"/>
          <w:lang w:val="en-GB"/>
        </w:rPr>
        <w:t>1</w:t>
      </w:r>
      <w:r w:rsidRPr="00F16BE6">
        <w:rPr>
          <w:rFonts w:ascii="Times New Roman" w:hAnsi="Times New Roman" w:cs="Times New Roman"/>
          <w:i/>
          <w:iCs/>
          <w:color w:val="44546A" w:themeColor="text2"/>
          <w:sz w:val="20"/>
          <w:szCs w:val="20"/>
        </w:rPr>
        <w:fldChar w:fldCharType="end"/>
      </w:r>
      <w:bookmarkEnd w:id="1"/>
      <w:r w:rsidRPr="00F16BE6">
        <w:rPr>
          <w:rFonts w:ascii="Times New Roman" w:hAnsi="Times New Roman" w:cs="Times New Roman"/>
          <w:sz w:val="20"/>
          <w:szCs w:val="20"/>
          <w:lang w:val="en-GB"/>
        </w:rPr>
        <w:t xml:space="preserve">: </w:t>
      </w:r>
      <w:bookmarkStart w:id="2" w:name="_Hlk168408759"/>
      <w:r w:rsidRPr="00F16BE6">
        <w:rPr>
          <w:rFonts w:ascii="Times New Roman" w:hAnsi="Times New Roman" w:cs="Times New Roman"/>
          <w:sz w:val="20"/>
          <w:szCs w:val="20"/>
          <w:lang w:val="en-GB"/>
        </w:rPr>
        <w:t>Pearson correlation matrix showing the correlation coefficients between variables. Each cell represents the correlation coefficient between two variables. A coefficient close to 1 indicates a strong positive correlation, meaning that as one variable increases, the other tends to increase as well. A coefficient close to -1 indicates a strong negative correlation, meaning that as one variable increases, the other tends to decrease. A coefficient close to 0 indicates little to no linear relationship between the variables.</w:t>
      </w:r>
      <w:bookmarkEnd w:id="2"/>
      <w:r w:rsidR="006554E8">
        <w:rPr>
          <w:rFonts w:ascii="Times New Roman" w:hAnsi="Times New Roman" w:cs="Times New Roman"/>
          <w:sz w:val="20"/>
          <w:szCs w:val="20"/>
          <w:lang w:val="en-GB"/>
        </w:rPr>
        <w:t xml:space="preserve"> Av. Temp = Average Temperature; Av. Prec = Average Precipitation; Log(HumanPD) = Logarithm of Human Population Density; BCPs-CPs = Border Control Posts and Control Posts; </w:t>
      </w:r>
      <w:r w:rsidR="009273BA">
        <w:rPr>
          <w:rFonts w:ascii="Times New Roman" w:hAnsi="Times New Roman" w:cs="Times New Roman"/>
          <w:sz w:val="20"/>
          <w:szCs w:val="20"/>
          <w:lang w:val="en-GB"/>
        </w:rPr>
        <w:t xml:space="preserve">Crop Diversity = Crop Diversity Index from </w:t>
      </w:r>
      <w:r w:rsidR="009273BA">
        <w:rPr>
          <w:rFonts w:ascii="Times New Roman" w:hAnsi="Times New Roman" w:cs="Times New Roman"/>
          <w:sz w:val="20"/>
          <w:szCs w:val="20"/>
          <w:lang w:val="en-GB"/>
        </w:rPr>
        <w:fldChar w:fldCharType="begin" w:fldLock="1"/>
      </w:r>
      <w:r w:rsidR="00E43E16">
        <w:rPr>
          <w:rFonts w:ascii="Times New Roman" w:hAnsi="Times New Roman" w:cs="Times New Roman"/>
          <w:sz w:val="20"/>
          <w:szCs w:val="20"/>
          <w:lang w:val="en-GB"/>
        </w:rPr>
        <w:instrText>ADDIN CSL_CITATION {"citationItems":[{"id":"ITEM-1","itemData":{"abstract":"Understanding crop diversity is crucial for resilience in farming, ecosystem services, and effective agro-environmental policies. We utilize a novel EU-wide satellite product (2018, 10 m resolution) to assess crop diversity across different scales. We define local crop diversity ($\\alpha$-diversity) at 1 km scale, which in the EU is proportional to the area covered by large farms or clusters of small-to-medium sized farms. We also compute $\\gamma$-diversity, covering landscape, regional, and national levels crop diversity. $\\beta$-diversity ($\\gamma$/$\\alpha$) provides a measure of between agroecosystems diversity. National $\\alpha$, $\\gamma$, and $\\beta$ diversity varies greatly ($\\alpha$: 2.1-3.9, $\\gamma$: 3.5-7.5, $\\beta$: 1.22-2.27). EU-wide $\\gamma$-diversity increases logarithmically with spatial aggregation (1 km: 2.85, 100 km: 4.27). We categorize EU Member States (MS) into four groups for crop diversification policy recommendations. Compared to the USA, the EU exhibits higher diversity related to differences in farm structure and practices. High local $\\alpha$-diversity is only found for MS with small farms (&lt;25 ha), but their presence doesn't always guarantee high local diversity. This study aids CAP implementation in the EU, with potential for annual continental Copernicus crop type maps and ecosystem co-variates exploration for a deeper understanding of agro-ecosystem services.","author":[{"dropping-particle":"","family":"Machefer","given":"Melissande","non-dropping-particle":"","parse-names":false,"suffix":""},{"dropping-particle":"","family":"Zampieri","given":"Matteo","non-dropping-particle":"","parse-names":false,"suffix":""},{"dropping-particle":"","family":"Velde","given":"Marijn","non-dropping-particle":"van der","parse-names":false,"suffix":""},{"dropping-particle":"","family":"Dentener","given":"Frank","non-dropping-particle":"","parse-names":false,"suffix":""},{"dropping-particle":"","family":"Claverie","given":"Martin","non-dropping-particle":"","parse-names":false,"suffix":""},{"dropping-particle":"","family":"Andrimont","given":"Raphael d","non-dropping-particle":"","parse-names":false,"suffix":""}],"id":"ITEM-1","issued":{"date-parts":[["2023"]]},"title":"Assessing crop diversity across scales using high-resolution remote sensing over the European Union: first insights for agro-environmental policies","type":"article-journal"},"uris":["http://www.mendeley.com/documents/?uuid=93fa5296-cd64-4da0-a896-2b3e2eb8bcd7"]}],"mendeley":{"formattedCitation":"(Machefer et al. 2023)","plainTextFormattedCitation":"(Machefer et al. 2023)","previouslyFormattedCitation":"(Machefer et al. 2023)"},"properties":{"noteIndex":0},"schema":"https://github.com/citation-style-language/schema/raw/master/csl-citation.json"}</w:instrText>
      </w:r>
      <w:r w:rsidR="009273BA">
        <w:rPr>
          <w:rFonts w:ascii="Times New Roman" w:hAnsi="Times New Roman" w:cs="Times New Roman"/>
          <w:sz w:val="20"/>
          <w:szCs w:val="20"/>
          <w:lang w:val="en-GB"/>
        </w:rPr>
        <w:fldChar w:fldCharType="separate"/>
      </w:r>
      <w:r w:rsidR="009273BA" w:rsidRPr="009273BA">
        <w:rPr>
          <w:rFonts w:ascii="Times New Roman" w:hAnsi="Times New Roman" w:cs="Times New Roman"/>
          <w:noProof/>
          <w:sz w:val="20"/>
          <w:szCs w:val="20"/>
          <w:lang w:val="en-GB"/>
        </w:rPr>
        <w:t>(Machefer et al. 2023)</w:t>
      </w:r>
      <w:r w:rsidR="009273BA">
        <w:rPr>
          <w:rFonts w:ascii="Times New Roman" w:hAnsi="Times New Roman" w:cs="Times New Roman"/>
          <w:sz w:val="20"/>
          <w:szCs w:val="20"/>
          <w:lang w:val="en-GB"/>
        </w:rPr>
        <w:fldChar w:fldCharType="end"/>
      </w:r>
    </w:p>
    <w:p w14:paraId="2334FF74" w14:textId="77777777" w:rsidR="00D347A2" w:rsidRDefault="00D347A2" w:rsidP="00D338BD">
      <w:pPr>
        <w:spacing w:line="360" w:lineRule="auto"/>
        <w:rPr>
          <w:rFonts w:ascii="Times New Roman" w:hAnsi="Times New Roman" w:cs="Times New Roman"/>
          <w:b/>
          <w:bCs/>
          <w:sz w:val="20"/>
          <w:szCs w:val="20"/>
          <w:lang w:val="en-GB"/>
        </w:rPr>
      </w:pPr>
    </w:p>
    <w:p w14:paraId="50590C3D" w14:textId="77777777" w:rsidR="004D60F2" w:rsidRDefault="004D60F2" w:rsidP="00D338BD">
      <w:pPr>
        <w:spacing w:line="360" w:lineRule="auto"/>
        <w:rPr>
          <w:rFonts w:ascii="Times New Roman" w:hAnsi="Times New Roman" w:cs="Times New Roman"/>
          <w:b/>
          <w:bCs/>
          <w:sz w:val="20"/>
          <w:szCs w:val="20"/>
          <w:lang w:val="en-GB"/>
        </w:rPr>
      </w:pPr>
    </w:p>
    <w:p w14:paraId="005EA2D4" w14:textId="77777777" w:rsidR="004D60F2" w:rsidRDefault="004D60F2" w:rsidP="00D338BD">
      <w:pPr>
        <w:spacing w:line="360" w:lineRule="auto"/>
        <w:rPr>
          <w:rFonts w:ascii="Times New Roman" w:hAnsi="Times New Roman" w:cs="Times New Roman"/>
          <w:b/>
          <w:bCs/>
          <w:sz w:val="20"/>
          <w:szCs w:val="20"/>
          <w:lang w:val="en-GB"/>
        </w:rPr>
      </w:pPr>
    </w:p>
    <w:p w14:paraId="1849A81A" w14:textId="77777777" w:rsidR="004D60F2" w:rsidRDefault="004D60F2" w:rsidP="00D338BD">
      <w:pPr>
        <w:spacing w:line="360" w:lineRule="auto"/>
        <w:rPr>
          <w:rFonts w:ascii="Times New Roman" w:hAnsi="Times New Roman" w:cs="Times New Roman"/>
          <w:b/>
          <w:bCs/>
          <w:sz w:val="20"/>
          <w:szCs w:val="20"/>
          <w:lang w:val="en-GB"/>
        </w:rPr>
      </w:pPr>
    </w:p>
    <w:p w14:paraId="73E7221C" w14:textId="77777777" w:rsidR="002E4783" w:rsidRDefault="002E4783" w:rsidP="00D338BD">
      <w:pPr>
        <w:spacing w:line="360" w:lineRule="auto"/>
        <w:rPr>
          <w:rFonts w:ascii="Times New Roman" w:hAnsi="Times New Roman" w:cs="Times New Roman"/>
          <w:b/>
          <w:bCs/>
          <w:sz w:val="20"/>
          <w:szCs w:val="20"/>
          <w:lang w:val="en-GB"/>
        </w:rPr>
      </w:pPr>
    </w:p>
    <w:p w14:paraId="356A23F4" w14:textId="77777777" w:rsidR="004D60F2" w:rsidRDefault="004D60F2" w:rsidP="00D338BD">
      <w:pPr>
        <w:spacing w:line="360" w:lineRule="auto"/>
        <w:rPr>
          <w:rFonts w:ascii="Times New Roman" w:hAnsi="Times New Roman" w:cs="Times New Roman"/>
          <w:b/>
          <w:bCs/>
          <w:sz w:val="20"/>
          <w:szCs w:val="20"/>
          <w:lang w:val="en-GB"/>
        </w:rPr>
      </w:pPr>
    </w:p>
    <w:p w14:paraId="3A600457" w14:textId="77777777" w:rsidR="004D60F2" w:rsidRDefault="004D60F2" w:rsidP="00D338BD">
      <w:pPr>
        <w:spacing w:line="360" w:lineRule="auto"/>
        <w:rPr>
          <w:rFonts w:ascii="Times New Roman" w:hAnsi="Times New Roman" w:cs="Times New Roman"/>
          <w:b/>
          <w:bCs/>
          <w:sz w:val="20"/>
          <w:szCs w:val="20"/>
          <w:lang w:val="en-GB"/>
        </w:rPr>
      </w:pPr>
    </w:p>
    <w:p w14:paraId="2FCFBE63" w14:textId="62C1E57B" w:rsidR="004D60F2" w:rsidRPr="00EB1540" w:rsidRDefault="004D60F2" w:rsidP="004D60F2">
      <w:pPr>
        <w:spacing w:line="360" w:lineRule="auto"/>
        <w:jc w:val="both"/>
        <w:rPr>
          <w:rFonts w:ascii="Times New Roman" w:hAnsi="Times New Roman" w:cs="Times New Roman"/>
          <w:b/>
          <w:bCs/>
          <w:sz w:val="20"/>
          <w:szCs w:val="20"/>
          <w:lang w:val="en-GB"/>
        </w:rPr>
      </w:pPr>
      <w:r w:rsidRPr="00EB1540">
        <w:rPr>
          <w:rFonts w:ascii="Times New Roman" w:hAnsi="Times New Roman" w:cs="Times New Roman"/>
          <w:b/>
          <w:bCs/>
          <w:sz w:val="20"/>
          <w:szCs w:val="20"/>
          <w:lang w:val="en-GB"/>
        </w:rPr>
        <w:lastRenderedPageBreak/>
        <w:t>Appendix V</w:t>
      </w:r>
      <w:r w:rsidR="00EB1540" w:rsidRPr="00EB1540">
        <w:rPr>
          <w:rFonts w:ascii="Times New Roman" w:hAnsi="Times New Roman" w:cs="Times New Roman"/>
          <w:b/>
          <w:bCs/>
          <w:sz w:val="20"/>
          <w:szCs w:val="20"/>
          <w:lang w:val="en-GB"/>
        </w:rPr>
        <w:t xml:space="preserve">: </w:t>
      </w:r>
      <w:r w:rsidR="000E092A">
        <w:rPr>
          <w:rFonts w:ascii="Times New Roman" w:hAnsi="Times New Roman" w:cs="Times New Roman"/>
          <w:b/>
          <w:bCs/>
          <w:sz w:val="20"/>
          <w:szCs w:val="20"/>
          <w:lang w:val="en-GB"/>
        </w:rPr>
        <w:t>M</w:t>
      </w:r>
      <w:r w:rsidR="00EB1540" w:rsidRPr="00EB1540">
        <w:rPr>
          <w:rFonts w:ascii="Times New Roman" w:hAnsi="Times New Roman" w:cs="Times New Roman"/>
          <w:b/>
          <w:bCs/>
          <w:sz w:val="20"/>
          <w:szCs w:val="20"/>
          <w:lang w:val="en-GB"/>
        </w:rPr>
        <w:t>odel selection</w:t>
      </w:r>
    </w:p>
    <w:p w14:paraId="4EADC0AB" w14:textId="77777777" w:rsidR="00EB1540" w:rsidRPr="004D60F2" w:rsidRDefault="00EB1540" w:rsidP="004D60F2">
      <w:pPr>
        <w:spacing w:line="360" w:lineRule="auto"/>
        <w:jc w:val="both"/>
        <w:rPr>
          <w:rFonts w:ascii="Times New Roman" w:hAnsi="Times New Roman" w:cs="Times New Roman"/>
          <w:sz w:val="20"/>
          <w:szCs w:val="20"/>
          <w:lang w:val="en-GB"/>
        </w:rPr>
      </w:pPr>
    </w:p>
    <w:p w14:paraId="01C7FECC" w14:textId="10B3CEBC" w:rsidR="00EB1540" w:rsidRPr="006F0B88" w:rsidRDefault="00EB1540" w:rsidP="00EB1540">
      <w:pPr>
        <w:spacing w:line="360" w:lineRule="auto"/>
        <w:jc w:val="both"/>
        <w:rPr>
          <w:rFonts w:ascii="Times New Roman" w:hAnsi="Times New Roman" w:cs="Times New Roman"/>
          <w:i/>
          <w:iCs/>
          <w:sz w:val="20"/>
          <w:szCs w:val="20"/>
          <w:lang w:val="en-GB"/>
        </w:rPr>
      </w:pPr>
      <w:r w:rsidRPr="672A3C1E">
        <w:rPr>
          <w:rFonts w:ascii="Times New Roman" w:hAnsi="Times New Roman" w:cs="Times New Roman"/>
          <w:sz w:val="20"/>
          <w:szCs w:val="20"/>
          <w:lang w:val="en-GB"/>
        </w:rPr>
        <w:t xml:space="preserve">Table </w:t>
      </w:r>
      <w:r w:rsidRPr="672A3C1E">
        <w:rPr>
          <w:rFonts w:ascii="Times New Roman" w:hAnsi="Times New Roman" w:cs="Times New Roman"/>
          <w:i/>
          <w:iCs/>
          <w:sz w:val="20"/>
          <w:szCs w:val="20"/>
        </w:rPr>
        <w:fldChar w:fldCharType="begin"/>
      </w:r>
      <w:r w:rsidRPr="672A3C1E">
        <w:rPr>
          <w:rFonts w:ascii="Times New Roman" w:hAnsi="Times New Roman" w:cs="Times New Roman"/>
          <w:sz w:val="20"/>
          <w:szCs w:val="20"/>
          <w:lang w:val="en-GB"/>
        </w:rPr>
        <w:instrText xml:space="preserve"> SEQ Table \* ARABIC </w:instrText>
      </w:r>
      <w:r w:rsidRPr="672A3C1E">
        <w:rPr>
          <w:rFonts w:ascii="Times New Roman" w:hAnsi="Times New Roman" w:cs="Times New Roman"/>
          <w:i/>
          <w:iCs/>
          <w:sz w:val="20"/>
          <w:szCs w:val="20"/>
        </w:rPr>
        <w:fldChar w:fldCharType="separate"/>
      </w:r>
      <w:r w:rsidRPr="672A3C1E">
        <w:rPr>
          <w:rFonts w:ascii="Times New Roman" w:hAnsi="Times New Roman" w:cs="Times New Roman"/>
          <w:noProof/>
          <w:sz w:val="20"/>
          <w:szCs w:val="20"/>
          <w:lang w:val="en-GB"/>
        </w:rPr>
        <w:t>1</w:t>
      </w:r>
      <w:r w:rsidRPr="672A3C1E">
        <w:rPr>
          <w:rFonts w:ascii="Times New Roman" w:hAnsi="Times New Roman" w:cs="Times New Roman"/>
          <w:i/>
          <w:iCs/>
          <w:sz w:val="20"/>
          <w:szCs w:val="20"/>
        </w:rPr>
        <w:fldChar w:fldCharType="end"/>
      </w:r>
      <w:r w:rsidRPr="672A3C1E">
        <w:rPr>
          <w:rFonts w:ascii="Times New Roman" w:hAnsi="Times New Roman" w:cs="Times New Roman"/>
          <w:sz w:val="20"/>
          <w:szCs w:val="20"/>
          <w:lang w:val="en-GB"/>
        </w:rPr>
        <w:t xml:space="preserve">: Best models </w:t>
      </w:r>
      <w:r w:rsidR="000E092A">
        <w:rPr>
          <w:rFonts w:ascii="Times New Roman" w:hAnsi="Times New Roman" w:cs="Times New Roman"/>
          <w:sz w:val="20"/>
          <w:szCs w:val="20"/>
          <w:lang w:val="en-GB"/>
        </w:rPr>
        <w:t xml:space="preserve">for the relative risk </w:t>
      </w:r>
      <w:r w:rsidR="00E93C49" w:rsidRPr="00E93C49">
        <w:rPr>
          <w:rFonts w:ascii="Times New Roman" w:hAnsi="Times New Roman" w:cs="Times New Roman"/>
          <w:sz w:val="20"/>
          <w:szCs w:val="20"/>
          <w:lang w:val="en-GB"/>
        </w:rPr>
        <w:t>of pest introductions in NUTS2 regions in the EU</w:t>
      </w:r>
      <w:r w:rsidR="00E93C49">
        <w:rPr>
          <w:rFonts w:ascii="Times New Roman" w:hAnsi="Times New Roman" w:cs="Times New Roman"/>
          <w:sz w:val="20"/>
          <w:szCs w:val="20"/>
          <w:lang w:val="en-GB"/>
        </w:rPr>
        <w:t xml:space="preserve"> </w:t>
      </w:r>
      <w:r w:rsidRPr="672A3C1E">
        <w:rPr>
          <w:rFonts w:ascii="Times New Roman" w:hAnsi="Times New Roman" w:cs="Times New Roman"/>
          <w:sz w:val="20"/>
          <w:szCs w:val="20"/>
          <w:lang w:val="en-GB"/>
        </w:rPr>
        <w:t>based on the Watanabe Akaike information criterion (WAIC) and deviance information criterion (DIC).</w:t>
      </w:r>
      <w:r>
        <w:rPr>
          <w:rFonts w:ascii="Times New Roman" w:hAnsi="Times New Roman" w:cs="Times New Roman"/>
          <w:sz w:val="20"/>
          <w:szCs w:val="20"/>
          <w:lang w:val="en-GB"/>
        </w:rPr>
        <w:t xml:space="preserve"> Temp. = </w:t>
      </w:r>
      <w:r>
        <w:rPr>
          <w:rFonts w:ascii="Times New Roman" w:hAnsi="Times New Roman" w:cs="Times New Roman"/>
          <w:i/>
          <w:iCs/>
          <w:sz w:val="20"/>
          <w:szCs w:val="20"/>
          <w:lang w:val="en-GB"/>
        </w:rPr>
        <w:t>a</w:t>
      </w:r>
      <w:r>
        <w:rPr>
          <w:rFonts w:ascii="Times New Roman" w:hAnsi="Times New Roman" w:cs="Times New Roman"/>
          <w:sz w:val="20"/>
          <w:szCs w:val="20"/>
          <w:lang w:val="en-GB"/>
        </w:rPr>
        <w:t xml:space="preserve">verage </w:t>
      </w:r>
      <w:r>
        <w:rPr>
          <w:rFonts w:ascii="Times New Roman" w:hAnsi="Times New Roman" w:cs="Times New Roman"/>
          <w:i/>
          <w:iCs/>
          <w:sz w:val="20"/>
          <w:szCs w:val="20"/>
          <w:lang w:val="en-GB"/>
        </w:rPr>
        <w:t>t</w:t>
      </w:r>
      <w:r>
        <w:rPr>
          <w:rFonts w:ascii="Times New Roman" w:hAnsi="Times New Roman" w:cs="Times New Roman"/>
          <w:sz w:val="20"/>
          <w:szCs w:val="20"/>
          <w:lang w:val="en-GB"/>
        </w:rPr>
        <w:t xml:space="preserve">emperature; Prec. = </w:t>
      </w:r>
      <w:r>
        <w:rPr>
          <w:rFonts w:ascii="Times New Roman" w:hAnsi="Times New Roman" w:cs="Times New Roman"/>
          <w:i/>
          <w:iCs/>
          <w:sz w:val="20"/>
          <w:szCs w:val="20"/>
          <w:lang w:val="en-GB"/>
        </w:rPr>
        <w:t>a</w:t>
      </w:r>
      <w:r>
        <w:rPr>
          <w:rFonts w:ascii="Times New Roman" w:hAnsi="Times New Roman" w:cs="Times New Roman"/>
          <w:sz w:val="20"/>
          <w:szCs w:val="20"/>
          <w:lang w:val="en-GB"/>
        </w:rPr>
        <w:t xml:space="preserve">verage </w:t>
      </w:r>
      <w:r>
        <w:rPr>
          <w:rFonts w:ascii="Times New Roman" w:hAnsi="Times New Roman" w:cs="Times New Roman"/>
          <w:i/>
          <w:iCs/>
          <w:sz w:val="20"/>
          <w:szCs w:val="20"/>
          <w:lang w:val="en-GB"/>
        </w:rPr>
        <w:t>p</w:t>
      </w:r>
      <w:r>
        <w:rPr>
          <w:rFonts w:ascii="Times New Roman" w:hAnsi="Times New Roman" w:cs="Times New Roman"/>
          <w:sz w:val="20"/>
          <w:szCs w:val="20"/>
          <w:lang w:val="en-GB"/>
        </w:rPr>
        <w:t xml:space="preserve">recipitation; HumanPD = </w:t>
      </w:r>
      <w:r>
        <w:rPr>
          <w:rFonts w:ascii="Times New Roman" w:hAnsi="Times New Roman" w:cs="Times New Roman"/>
          <w:i/>
          <w:iCs/>
          <w:sz w:val="20"/>
          <w:szCs w:val="20"/>
          <w:lang w:val="en-GB"/>
        </w:rPr>
        <w:t>h</w:t>
      </w:r>
      <w:r>
        <w:rPr>
          <w:rFonts w:ascii="Times New Roman" w:hAnsi="Times New Roman" w:cs="Times New Roman"/>
          <w:sz w:val="20"/>
          <w:szCs w:val="20"/>
          <w:lang w:val="en-GB"/>
        </w:rPr>
        <w:t xml:space="preserve">uman </w:t>
      </w:r>
      <w:r>
        <w:rPr>
          <w:rFonts w:ascii="Times New Roman" w:hAnsi="Times New Roman" w:cs="Times New Roman"/>
          <w:i/>
          <w:iCs/>
          <w:sz w:val="20"/>
          <w:szCs w:val="20"/>
          <w:lang w:val="en-GB"/>
        </w:rPr>
        <w:t>p</w:t>
      </w:r>
      <w:r>
        <w:rPr>
          <w:rFonts w:ascii="Times New Roman" w:hAnsi="Times New Roman" w:cs="Times New Roman"/>
          <w:sz w:val="20"/>
          <w:szCs w:val="20"/>
          <w:lang w:val="en-GB"/>
        </w:rPr>
        <w:t xml:space="preserve">opulation </w:t>
      </w:r>
      <w:r>
        <w:rPr>
          <w:rFonts w:ascii="Times New Roman" w:hAnsi="Times New Roman" w:cs="Times New Roman"/>
          <w:i/>
          <w:iCs/>
          <w:sz w:val="20"/>
          <w:szCs w:val="20"/>
          <w:lang w:val="en-GB"/>
        </w:rPr>
        <w:t>d</w:t>
      </w:r>
      <w:r>
        <w:rPr>
          <w:rFonts w:ascii="Times New Roman" w:hAnsi="Times New Roman" w:cs="Times New Roman"/>
          <w:sz w:val="20"/>
          <w:szCs w:val="20"/>
          <w:lang w:val="en-GB"/>
        </w:rPr>
        <w:t xml:space="preserve">ensity; </w:t>
      </w:r>
      <w:r w:rsidRPr="00195F4B">
        <w:rPr>
          <w:rFonts w:ascii="Times New Roman" w:hAnsi="Times New Roman" w:cs="Times New Roman"/>
          <w:sz w:val="20"/>
          <w:szCs w:val="20"/>
          <w:lang w:val="en-GB"/>
        </w:rPr>
        <w:t>S = spatial random effect</w:t>
      </w:r>
      <w:r>
        <w:rPr>
          <w:rFonts w:ascii="Times New Roman" w:hAnsi="Times New Roman" w:cs="Times New Roman"/>
          <w:i/>
          <w:iCs/>
          <w:sz w:val="20"/>
          <w:szCs w:val="20"/>
          <w:lang w:val="en-GB"/>
        </w:rPr>
        <w:t xml:space="preserve"> </w:t>
      </w:r>
      <w:r w:rsidRPr="00195F4B">
        <w:rPr>
          <w:rFonts w:ascii="Times New Roman" w:hAnsi="Times New Roman" w:cs="Times New Roman"/>
          <w:sz w:val="20"/>
          <w:szCs w:val="20"/>
          <w:lang w:val="en-GB"/>
        </w:rPr>
        <w:t>(</w:t>
      </w:r>
      <w:r w:rsidRPr="00275095">
        <w:rPr>
          <w:rFonts w:ascii="Times New Roman" w:hAnsi="Times New Roman" w:cs="Times New Roman"/>
          <w:i/>
          <w:iCs/>
          <w:sz w:val="20"/>
          <w:szCs w:val="20"/>
          <w:lang w:val="en-GB"/>
        </w:rPr>
        <w:t>u</w:t>
      </w:r>
      <w:r w:rsidRPr="00195F4B">
        <w:rPr>
          <w:rFonts w:ascii="Times New Roman" w:hAnsi="Times New Roman" w:cs="Times New Roman"/>
          <w:sz w:val="20"/>
          <w:szCs w:val="20"/>
          <w:lang w:val="en-GB"/>
        </w:rPr>
        <w:t>) + independent random effect (</w:t>
      </w:r>
      <w:r>
        <w:rPr>
          <w:rFonts w:ascii="Times New Roman" w:hAnsi="Times New Roman" w:cs="Times New Roman"/>
          <w:sz w:val="20"/>
          <w:szCs w:val="20"/>
          <w:lang w:val="en-GB"/>
        </w:rPr>
        <w:t>v</w:t>
      </w:r>
      <w:r w:rsidRPr="00195F4B">
        <w:rPr>
          <w:rFonts w:ascii="Times New Roman" w:hAnsi="Times New Roman" w:cs="Times New Roman"/>
          <w:sz w:val="20"/>
          <w:szCs w:val="20"/>
          <w:lang w:val="en-GB"/>
        </w:rPr>
        <w:t>)</w:t>
      </w:r>
    </w:p>
    <w:tbl>
      <w:tblPr>
        <w:tblStyle w:val="TableGridLight"/>
        <w:tblW w:w="9465" w:type="dxa"/>
        <w:tblLook w:val="04A0" w:firstRow="1" w:lastRow="0" w:firstColumn="1" w:lastColumn="0" w:noHBand="0" w:noVBand="1"/>
      </w:tblPr>
      <w:tblGrid>
        <w:gridCol w:w="3539"/>
        <w:gridCol w:w="2963"/>
        <w:gridCol w:w="2963"/>
      </w:tblGrid>
      <w:tr w:rsidR="00EB1540" w:rsidRPr="00C144A6" w14:paraId="056C2B16" w14:textId="77777777" w:rsidTr="002C0554">
        <w:tc>
          <w:tcPr>
            <w:tcW w:w="3539" w:type="dxa"/>
            <w:hideMark/>
          </w:tcPr>
          <w:p w14:paraId="708678DA"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Model</w:t>
            </w:r>
          </w:p>
        </w:tc>
        <w:tc>
          <w:tcPr>
            <w:tcW w:w="2963" w:type="dxa"/>
            <w:hideMark/>
          </w:tcPr>
          <w:p w14:paraId="71D72B7F" w14:textId="77777777" w:rsidR="00EB1540" w:rsidRPr="009273BA" w:rsidRDefault="00EB1540" w:rsidP="002C0554">
            <w:pPr>
              <w:spacing w:after="150" w:line="276" w:lineRule="atLeast"/>
              <w:jc w:val="right"/>
              <w:rPr>
                <w:rFonts w:ascii="Times New Roman" w:eastAsia="Times New Roman" w:hAnsi="Times New Roman" w:cs="Times New Roman"/>
                <w:b/>
                <w:bCs/>
                <w:sz w:val="16"/>
                <w:szCs w:val="16"/>
                <w:lang w:val="en-GB" w:eastAsia="it-IT"/>
              </w:rPr>
            </w:pPr>
            <w:r w:rsidRPr="009273BA">
              <w:rPr>
                <w:rFonts w:ascii="Times New Roman" w:eastAsia="Times New Roman" w:hAnsi="Times New Roman" w:cs="Times New Roman"/>
                <w:b/>
                <w:bCs/>
                <w:sz w:val="16"/>
                <w:szCs w:val="16"/>
                <w:lang w:val="en-GB" w:eastAsia="it-IT"/>
              </w:rPr>
              <w:t>WAIC</w:t>
            </w:r>
          </w:p>
        </w:tc>
        <w:tc>
          <w:tcPr>
            <w:tcW w:w="2963" w:type="dxa"/>
          </w:tcPr>
          <w:p w14:paraId="66AC920F" w14:textId="77777777" w:rsidR="00EB1540" w:rsidRPr="009273BA" w:rsidRDefault="00EB1540" w:rsidP="002C0554">
            <w:pPr>
              <w:spacing w:after="150" w:line="276" w:lineRule="atLeast"/>
              <w:jc w:val="right"/>
              <w:rPr>
                <w:rFonts w:ascii="Times New Roman" w:eastAsia="Times New Roman" w:hAnsi="Times New Roman" w:cs="Times New Roman"/>
                <w:b/>
                <w:bCs/>
                <w:sz w:val="16"/>
                <w:szCs w:val="16"/>
                <w:lang w:val="en-GB" w:eastAsia="it-IT"/>
              </w:rPr>
            </w:pPr>
            <w:r w:rsidRPr="009273BA">
              <w:rPr>
                <w:rFonts w:ascii="Times New Roman" w:eastAsia="Times New Roman" w:hAnsi="Times New Roman" w:cs="Times New Roman"/>
                <w:b/>
                <w:bCs/>
                <w:sz w:val="16"/>
                <w:szCs w:val="16"/>
                <w:lang w:val="en-GB" w:eastAsia="it-IT"/>
              </w:rPr>
              <w:t>DIC</w:t>
            </w:r>
          </w:p>
        </w:tc>
      </w:tr>
      <w:tr w:rsidR="00EB1540" w:rsidRPr="00C144A6" w14:paraId="3F67627D" w14:textId="77777777" w:rsidTr="002C0554">
        <w:tc>
          <w:tcPr>
            <w:tcW w:w="3539" w:type="dxa"/>
            <w:hideMark/>
          </w:tcPr>
          <w:p w14:paraId="21BD921B"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672A3C1E">
              <w:rPr>
                <w:rFonts w:ascii="Times New Roman" w:hAnsi="Times New Roman" w:cs="Times New Roman"/>
                <w:b/>
                <w:bCs/>
                <w:sz w:val="16"/>
                <w:szCs w:val="16"/>
                <w:lang w:val="en-GB"/>
              </w:rPr>
              <w:t>Temp. + Prec. + log(HumanPD) + S</w:t>
            </w:r>
          </w:p>
        </w:tc>
        <w:tc>
          <w:tcPr>
            <w:tcW w:w="2963" w:type="dxa"/>
            <w:hideMark/>
          </w:tcPr>
          <w:p w14:paraId="009AE89C"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457.70</w:t>
            </w:r>
          </w:p>
        </w:tc>
        <w:tc>
          <w:tcPr>
            <w:tcW w:w="2963" w:type="dxa"/>
          </w:tcPr>
          <w:p w14:paraId="51DA5122"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456.04</w:t>
            </w:r>
          </w:p>
        </w:tc>
      </w:tr>
      <w:tr w:rsidR="00EB1540" w:rsidRPr="00C144A6" w14:paraId="2DEC6FB4" w14:textId="77777777" w:rsidTr="002C0554">
        <w:tc>
          <w:tcPr>
            <w:tcW w:w="3539" w:type="dxa"/>
            <w:hideMark/>
          </w:tcPr>
          <w:p w14:paraId="7C3A323E"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Temp. + Prec. + log(HumanPD) + CropD + S</w:t>
            </w:r>
          </w:p>
        </w:tc>
        <w:tc>
          <w:tcPr>
            <w:tcW w:w="2963" w:type="dxa"/>
            <w:hideMark/>
          </w:tcPr>
          <w:p w14:paraId="5FA676BF"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458.61</w:t>
            </w:r>
          </w:p>
        </w:tc>
        <w:tc>
          <w:tcPr>
            <w:tcW w:w="2963" w:type="dxa"/>
          </w:tcPr>
          <w:p w14:paraId="102671E7"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456.11</w:t>
            </w:r>
          </w:p>
        </w:tc>
      </w:tr>
      <w:tr w:rsidR="00EB1540" w:rsidRPr="00C144A6" w14:paraId="2A8A5865" w14:textId="77777777" w:rsidTr="002C0554">
        <w:tc>
          <w:tcPr>
            <w:tcW w:w="3539" w:type="dxa"/>
            <w:hideMark/>
          </w:tcPr>
          <w:p w14:paraId="62861C7D"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Prec. + log(HumanPD) + S</w:t>
            </w:r>
          </w:p>
        </w:tc>
        <w:tc>
          <w:tcPr>
            <w:tcW w:w="2963" w:type="dxa"/>
            <w:hideMark/>
          </w:tcPr>
          <w:p w14:paraId="4DFFC7EB"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460.05</w:t>
            </w:r>
          </w:p>
        </w:tc>
        <w:tc>
          <w:tcPr>
            <w:tcW w:w="2963" w:type="dxa"/>
          </w:tcPr>
          <w:p w14:paraId="68A55A69"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459.68</w:t>
            </w:r>
          </w:p>
        </w:tc>
      </w:tr>
      <w:tr w:rsidR="00EB1540" w:rsidRPr="00C144A6" w14:paraId="4747B53E" w14:textId="77777777" w:rsidTr="002C0554">
        <w:tc>
          <w:tcPr>
            <w:tcW w:w="3539" w:type="dxa"/>
            <w:hideMark/>
          </w:tcPr>
          <w:p w14:paraId="186DE3E6"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Temp. + log(HumanPD) + S</w:t>
            </w:r>
          </w:p>
        </w:tc>
        <w:tc>
          <w:tcPr>
            <w:tcW w:w="2963" w:type="dxa"/>
            <w:hideMark/>
          </w:tcPr>
          <w:p w14:paraId="4ACCB3CA"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461.36</w:t>
            </w:r>
          </w:p>
        </w:tc>
        <w:tc>
          <w:tcPr>
            <w:tcW w:w="2963" w:type="dxa"/>
          </w:tcPr>
          <w:p w14:paraId="2A1A1FEE"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458.69</w:t>
            </w:r>
          </w:p>
        </w:tc>
      </w:tr>
      <w:tr w:rsidR="00EB1540" w:rsidRPr="00C144A6" w14:paraId="3DD33FA2" w14:textId="77777777" w:rsidTr="002C0554">
        <w:tc>
          <w:tcPr>
            <w:tcW w:w="3539" w:type="dxa"/>
            <w:hideMark/>
          </w:tcPr>
          <w:p w14:paraId="2500E5D0"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log(HumanPD) + S</w:t>
            </w:r>
          </w:p>
        </w:tc>
        <w:tc>
          <w:tcPr>
            <w:tcW w:w="2963" w:type="dxa"/>
            <w:hideMark/>
          </w:tcPr>
          <w:p w14:paraId="2E7D31AF"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461.64</w:t>
            </w:r>
          </w:p>
        </w:tc>
        <w:tc>
          <w:tcPr>
            <w:tcW w:w="2963" w:type="dxa"/>
          </w:tcPr>
          <w:p w14:paraId="13E7C73E"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460.55</w:t>
            </w:r>
          </w:p>
        </w:tc>
      </w:tr>
      <w:tr w:rsidR="00EB1540" w:rsidRPr="00C144A6" w14:paraId="7FA8BEA5" w14:textId="77777777" w:rsidTr="002C0554">
        <w:tc>
          <w:tcPr>
            <w:tcW w:w="3539" w:type="dxa"/>
            <w:hideMark/>
          </w:tcPr>
          <w:p w14:paraId="6C3D06D6"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Prec. + log(HumanPD) + CropD + S</w:t>
            </w:r>
          </w:p>
        </w:tc>
        <w:tc>
          <w:tcPr>
            <w:tcW w:w="2963" w:type="dxa"/>
            <w:hideMark/>
          </w:tcPr>
          <w:p w14:paraId="7C3C298A"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462.02</w:t>
            </w:r>
          </w:p>
        </w:tc>
        <w:tc>
          <w:tcPr>
            <w:tcW w:w="2963" w:type="dxa"/>
          </w:tcPr>
          <w:p w14:paraId="2B127F42"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460.55</w:t>
            </w:r>
          </w:p>
        </w:tc>
      </w:tr>
      <w:tr w:rsidR="00EB1540" w:rsidRPr="00C144A6" w14:paraId="745523D8" w14:textId="77777777" w:rsidTr="002C0554">
        <w:tc>
          <w:tcPr>
            <w:tcW w:w="3539" w:type="dxa"/>
            <w:hideMark/>
          </w:tcPr>
          <w:p w14:paraId="07A6BE93"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Temp. + log(HumanPD) + CropD + S</w:t>
            </w:r>
          </w:p>
        </w:tc>
        <w:tc>
          <w:tcPr>
            <w:tcW w:w="2963" w:type="dxa"/>
            <w:hideMark/>
          </w:tcPr>
          <w:p w14:paraId="22E9BFFB"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462.04</w:t>
            </w:r>
          </w:p>
        </w:tc>
        <w:tc>
          <w:tcPr>
            <w:tcW w:w="2963" w:type="dxa"/>
          </w:tcPr>
          <w:p w14:paraId="7C76CAF5"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459.14</w:t>
            </w:r>
          </w:p>
        </w:tc>
      </w:tr>
      <w:tr w:rsidR="00EB1540" w:rsidRPr="00C144A6" w14:paraId="2EDC71F5" w14:textId="77777777" w:rsidTr="002C0554">
        <w:tc>
          <w:tcPr>
            <w:tcW w:w="3539" w:type="dxa"/>
            <w:hideMark/>
          </w:tcPr>
          <w:p w14:paraId="014D05A4"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log(HumanPD) + CropD + S</w:t>
            </w:r>
          </w:p>
        </w:tc>
        <w:tc>
          <w:tcPr>
            <w:tcW w:w="2963" w:type="dxa"/>
            <w:hideMark/>
          </w:tcPr>
          <w:p w14:paraId="02DE14E9"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464.66</w:t>
            </w:r>
          </w:p>
        </w:tc>
        <w:tc>
          <w:tcPr>
            <w:tcW w:w="2963" w:type="dxa"/>
          </w:tcPr>
          <w:p w14:paraId="1CD4E831"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462.23</w:t>
            </w:r>
          </w:p>
        </w:tc>
      </w:tr>
      <w:tr w:rsidR="00EB1540" w:rsidRPr="00C144A6" w14:paraId="61D8C014" w14:textId="77777777" w:rsidTr="002C0554">
        <w:tc>
          <w:tcPr>
            <w:tcW w:w="3539" w:type="dxa"/>
            <w:hideMark/>
          </w:tcPr>
          <w:p w14:paraId="5A0CA080"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log(HumanPD) + BCP</w:t>
            </w:r>
            <w:r>
              <w:rPr>
                <w:rFonts w:ascii="Times New Roman" w:hAnsi="Times New Roman" w:cs="Times New Roman"/>
                <w:b/>
                <w:bCs/>
                <w:sz w:val="16"/>
                <w:szCs w:val="16"/>
                <w:lang w:val="en-GB"/>
              </w:rPr>
              <w:t>s-CPs</w:t>
            </w:r>
            <w:r w:rsidRPr="00732D09">
              <w:rPr>
                <w:rFonts w:ascii="Times New Roman" w:hAnsi="Times New Roman" w:cs="Times New Roman"/>
                <w:b/>
                <w:bCs/>
                <w:sz w:val="16"/>
                <w:szCs w:val="16"/>
                <w:lang w:val="en-GB"/>
              </w:rPr>
              <w:t>+ S</w:t>
            </w:r>
          </w:p>
        </w:tc>
        <w:tc>
          <w:tcPr>
            <w:tcW w:w="2963" w:type="dxa"/>
            <w:hideMark/>
          </w:tcPr>
          <w:p w14:paraId="3176448D"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476.96</w:t>
            </w:r>
          </w:p>
        </w:tc>
        <w:tc>
          <w:tcPr>
            <w:tcW w:w="2963" w:type="dxa"/>
          </w:tcPr>
          <w:p w14:paraId="2130A28D"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462.75</w:t>
            </w:r>
          </w:p>
        </w:tc>
      </w:tr>
      <w:tr w:rsidR="00EB1540" w:rsidRPr="00C144A6" w14:paraId="2A282171" w14:textId="77777777" w:rsidTr="002C0554">
        <w:tc>
          <w:tcPr>
            <w:tcW w:w="3539" w:type="dxa"/>
            <w:hideMark/>
          </w:tcPr>
          <w:p w14:paraId="534DBCB2" w14:textId="77777777" w:rsidR="00EB1540" w:rsidRPr="00732D09" w:rsidRDefault="00EB1540" w:rsidP="002C0554">
            <w:pPr>
              <w:spacing w:line="360" w:lineRule="auto"/>
              <w:jc w:val="both"/>
              <w:rPr>
                <w:rFonts w:ascii="Times New Roman" w:hAnsi="Times New Roman" w:cs="Times New Roman"/>
                <w:b/>
                <w:bCs/>
                <w:sz w:val="16"/>
                <w:szCs w:val="16"/>
                <w:lang w:val="en-GB"/>
              </w:rPr>
            </w:pPr>
            <w:r w:rsidRPr="00732D09">
              <w:rPr>
                <w:rFonts w:ascii="Times New Roman" w:hAnsi="Times New Roman" w:cs="Times New Roman"/>
                <w:b/>
                <w:bCs/>
                <w:sz w:val="16"/>
                <w:szCs w:val="16"/>
                <w:lang w:val="en-GB"/>
              </w:rPr>
              <w:t>Prec. + log(HumanPD) + BCP</w:t>
            </w:r>
            <w:r>
              <w:rPr>
                <w:rFonts w:ascii="Times New Roman" w:hAnsi="Times New Roman" w:cs="Times New Roman"/>
                <w:b/>
                <w:bCs/>
                <w:sz w:val="16"/>
                <w:szCs w:val="16"/>
                <w:lang w:val="en-GB"/>
              </w:rPr>
              <w:t>s-CPs</w:t>
            </w:r>
            <w:r w:rsidRPr="00732D09">
              <w:rPr>
                <w:rFonts w:ascii="Times New Roman" w:hAnsi="Times New Roman" w:cs="Times New Roman"/>
                <w:b/>
                <w:bCs/>
                <w:sz w:val="16"/>
                <w:szCs w:val="16"/>
                <w:lang w:val="en-GB"/>
              </w:rPr>
              <w:t xml:space="preserve"> + S</w:t>
            </w:r>
          </w:p>
        </w:tc>
        <w:tc>
          <w:tcPr>
            <w:tcW w:w="2963" w:type="dxa"/>
            <w:hideMark/>
          </w:tcPr>
          <w:p w14:paraId="684CD50C"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488.51</w:t>
            </w:r>
          </w:p>
        </w:tc>
        <w:tc>
          <w:tcPr>
            <w:tcW w:w="2963" w:type="dxa"/>
          </w:tcPr>
          <w:p w14:paraId="66962C23" w14:textId="77777777" w:rsidR="00EB1540" w:rsidRPr="009273BA" w:rsidRDefault="00EB1540" w:rsidP="002C0554">
            <w:pPr>
              <w:spacing w:after="150" w:line="276" w:lineRule="atLeast"/>
              <w:jc w:val="right"/>
              <w:rPr>
                <w:rFonts w:ascii="Times New Roman" w:eastAsia="Times New Roman" w:hAnsi="Times New Roman" w:cs="Times New Roman"/>
                <w:sz w:val="16"/>
                <w:szCs w:val="16"/>
                <w:lang w:val="en-GB" w:eastAsia="it-IT"/>
              </w:rPr>
            </w:pPr>
            <w:r w:rsidRPr="009273BA">
              <w:rPr>
                <w:rFonts w:ascii="Times New Roman" w:eastAsia="Times New Roman" w:hAnsi="Times New Roman" w:cs="Times New Roman"/>
                <w:sz w:val="16"/>
                <w:szCs w:val="16"/>
                <w:lang w:val="en-GB" w:eastAsia="it-IT"/>
              </w:rPr>
              <w:t>461.49</w:t>
            </w:r>
          </w:p>
        </w:tc>
      </w:tr>
    </w:tbl>
    <w:p w14:paraId="6097C703" w14:textId="77777777" w:rsidR="00EB1540" w:rsidRDefault="00EB1540" w:rsidP="00EB1540">
      <w:pPr>
        <w:spacing w:line="360" w:lineRule="auto"/>
        <w:jc w:val="both"/>
        <w:rPr>
          <w:rFonts w:ascii="Times New Roman" w:hAnsi="Times New Roman" w:cs="Times New Roman"/>
          <w:sz w:val="20"/>
          <w:szCs w:val="20"/>
          <w:lang w:val="en-GB"/>
        </w:rPr>
      </w:pPr>
    </w:p>
    <w:p w14:paraId="0B5AA745" w14:textId="77777777" w:rsidR="004D60F2" w:rsidRPr="00A812BA" w:rsidRDefault="004D60F2" w:rsidP="00D338BD">
      <w:pPr>
        <w:spacing w:line="360" w:lineRule="auto"/>
        <w:rPr>
          <w:rFonts w:ascii="Times New Roman" w:hAnsi="Times New Roman" w:cs="Times New Roman"/>
          <w:b/>
          <w:bCs/>
          <w:sz w:val="20"/>
          <w:szCs w:val="20"/>
          <w:lang w:val="en-GB"/>
        </w:rPr>
      </w:pPr>
    </w:p>
    <w:sectPr w:rsidR="004D60F2" w:rsidRPr="00A812BA" w:rsidSect="004D60F2">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32D32"/>
    <w:multiLevelType w:val="hybridMultilevel"/>
    <w:tmpl w:val="C55049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40D0CD6"/>
    <w:multiLevelType w:val="hybridMultilevel"/>
    <w:tmpl w:val="C55049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9C2B22"/>
    <w:multiLevelType w:val="hybridMultilevel"/>
    <w:tmpl w:val="C55049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BA01FD"/>
    <w:multiLevelType w:val="hybridMultilevel"/>
    <w:tmpl w:val="C55049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DC6D2F"/>
    <w:multiLevelType w:val="hybridMultilevel"/>
    <w:tmpl w:val="D472A700"/>
    <w:lvl w:ilvl="0" w:tplc="36860ECE">
      <w:start w:val="1"/>
      <w:numFmt w:val="decimal"/>
      <w:lvlText w:val="%1."/>
      <w:lvlJc w:val="left"/>
      <w:pPr>
        <w:ind w:left="1440" w:hanging="360"/>
      </w:pPr>
    </w:lvl>
    <w:lvl w:ilvl="1" w:tplc="6C1E3BFA">
      <w:start w:val="1"/>
      <w:numFmt w:val="decimal"/>
      <w:lvlText w:val="%2."/>
      <w:lvlJc w:val="left"/>
      <w:pPr>
        <w:ind w:left="1440" w:hanging="360"/>
      </w:pPr>
    </w:lvl>
    <w:lvl w:ilvl="2" w:tplc="5B0083C2">
      <w:start w:val="1"/>
      <w:numFmt w:val="decimal"/>
      <w:lvlText w:val="%3."/>
      <w:lvlJc w:val="left"/>
      <w:pPr>
        <w:ind w:left="1440" w:hanging="360"/>
      </w:pPr>
    </w:lvl>
    <w:lvl w:ilvl="3" w:tplc="3732F506">
      <w:start w:val="1"/>
      <w:numFmt w:val="decimal"/>
      <w:lvlText w:val="%4."/>
      <w:lvlJc w:val="left"/>
      <w:pPr>
        <w:ind w:left="1440" w:hanging="360"/>
      </w:pPr>
    </w:lvl>
    <w:lvl w:ilvl="4" w:tplc="873A573A">
      <w:start w:val="1"/>
      <w:numFmt w:val="decimal"/>
      <w:lvlText w:val="%5."/>
      <w:lvlJc w:val="left"/>
      <w:pPr>
        <w:ind w:left="1440" w:hanging="360"/>
      </w:pPr>
    </w:lvl>
    <w:lvl w:ilvl="5" w:tplc="E17E58C2">
      <w:start w:val="1"/>
      <w:numFmt w:val="decimal"/>
      <w:lvlText w:val="%6."/>
      <w:lvlJc w:val="left"/>
      <w:pPr>
        <w:ind w:left="1440" w:hanging="360"/>
      </w:pPr>
    </w:lvl>
    <w:lvl w:ilvl="6" w:tplc="5F6E8CAE">
      <w:start w:val="1"/>
      <w:numFmt w:val="decimal"/>
      <w:lvlText w:val="%7."/>
      <w:lvlJc w:val="left"/>
      <w:pPr>
        <w:ind w:left="1440" w:hanging="360"/>
      </w:pPr>
    </w:lvl>
    <w:lvl w:ilvl="7" w:tplc="6D247432">
      <w:start w:val="1"/>
      <w:numFmt w:val="decimal"/>
      <w:lvlText w:val="%8."/>
      <w:lvlJc w:val="left"/>
      <w:pPr>
        <w:ind w:left="1440" w:hanging="360"/>
      </w:pPr>
    </w:lvl>
    <w:lvl w:ilvl="8" w:tplc="4180534C">
      <w:start w:val="1"/>
      <w:numFmt w:val="decimal"/>
      <w:lvlText w:val="%9."/>
      <w:lvlJc w:val="left"/>
      <w:pPr>
        <w:ind w:left="1440" w:hanging="360"/>
      </w:pPr>
    </w:lvl>
  </w:abstractNum>
  <w:num w:numId="1" w16cid:durableId="165168284">
    <w:abstractNumId w:val="0"/>
  </w:num>
  <w:num w:numId="2" w16cid:durableId="1853452577">
    <w:abstractNumId w:val="4"/>
  </w:num>
  <w:num w:numId="3" w16cid:durableId="1754937595">
    <w:abstractNumId w:val="2"/>
  </w:num>
  <w:num w:numId="4" w16cid:durableId="443505272">
    <w:abstractNumId w:val="1"/>
  </w:num>
  <w:num w:numId="5" w16cid:durableId="1905988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xNTO1MDQxNjYyNjdU0lEKTi0uzszPAymwqAUAlX7tGywAAAA="/>
  </w:docVars>
  <w:rsids>
    <w:rsidRoot w:val="00F63E8E"/>
    <w:rsid w:val="00007277"/>
    <w:rsid w:val="0001266B"/>
    <w:rsid w:val="0002599E"/>
    <w:rsid w:val="0003144E"/>
    <w:rsid w:val="0004273D"/>
    <w:rsid w:val="00056961"/>
    <w:rsid w:val="00076FDA"/>
    <w:rsid w:val="000A4870"/>
    <w:rsid w:val="000B4971"/>
    <w:rsid w:val="000D5C53"/>
    <w:rsid w:val="000E092A"/>
    <w:rsid w:val="000E600F"/>
    <w:rsid w:val="00112FAD"/>
    <w:rsid w:val="00117385"/>
    <w:rsid w:val="00137A44"/>
    <w:rsid w:val="00146386"/>
    <w:rsid w:val="0015635F"/>
    <w:rsid w:val="001A4FD6"/>
    <w:rsid w:val="001B0D23"/>
    <w:rsid w:val="001C45B6"/>
    <w:rsid w:val="0022025A"/>
    <w:rsid w:val="00246558"/>
    <w:rsid w:val="00287127"/>
    <w:rsid w:val="002E2410"/>
    <w:rsid w:val="002E4783"/>
    <w:rsid w:val="002F0253"/>
    <w:rsid w:val="003143AE"/>
    <w:rsid w:val="00345701"/>
    <w:rsid w:val="003668E8"/>
    <w:rsid w:val="003D2B51"/>
    <w:rsid w:val="003D6209"/>
    <w:rsid w:val="00402EDD"/>
    <w:rsid w:val="004057E3"/>
    <w:rsid w:val="00420844"/>
    <w:rsid w:val="00467482"/>
    <w:rsid w:val="004748E4"/>
    <w:rsid w:val="004766F3"/>
    <w:rsid w:val="00484CDE"/>
    <w:rsid w:val="00492248"/>
    <w:rsid w:val="00492E13"/>
    <w:rsid w:val="004D60F2"/>
    <w:rsid w:val="004F1645"/>
    <w:rsid w:val="004F55A7"/>
    <w:rsid w:val="00505BC6"/>
    <w:rsid w:val="005255D1"/>
    <w:rsid w:val="00533818"/>
    <w:rsid w:val="00576E1D"/>
    <w:rsid w:val="00583B4A"/>
    <w:rsid w:val="005A5861"/>
    <w:rsid w:val="005B2DBD"/>
    <w:rsid w:val="005F36C3"/>
    <w:rsid w:val="006071A8"/>
    <w:rsid w:val="0061686E"/>
    <w:rsid w:val="006266F2"/>
    <w:rsid w:val="00627ABA"/>
    <w:rsid w:val="006554E8"/>
    <w:rsid w:val="006574BF"/>
    <w:rsid w:val="00681558"/>
    <w:rsid w:val="006F7CFA"/>
    <w:rsid w:val="00705761"/>
    <w:rsid w:val="00707C47"/>
    <w:rsid w:val="00735079"/>
    <w:rsid w:val="00736EA4"/>
    <w:rsid w:val="00773A09"/>
    <w:rsid w:val="00782044"/>
    <w:rsid w:val="00795D4B"/>
    <w:rsid w:val="007B6302"/>
    <w:rsid w:val="007D5EE0"/>
    <w:rsid w:val="007E3919"/>
    <w:rsid w:val="008029DF"/>
    <w:rsid w:val="00803C3A"/>
    <w:rsid w:val="008256BC"/>
    <w:rsid w:val="00826EE0"/>
    <w:rsid w:val="00835FD1"/>
    <w:rsid w:val="00853A66"/>
    <w:rsid w:val="00855B95"/>
    <w:rsid w:val="008632AA"/>
    <w:rsid w:val="008B6513"/>
    <w:rsid w:val="008C50AA"/>
    <w:rsid w:val="00905677"/>
    <w:rsid w:val="009273BA"/>
    <w:rsid w:val="00935A1C"/>
    <w:rsid w:val="00982CAA"/>
    <w:rsid w:val="009968DD"/>
    <w:rsid w:val="009A00EF"/>
    <w:rsid w:val="009C75CB"/>
    <w:rsid w:val="00A10E76"/>
    <w:rsid w:val="00A239AB"/>
    <w:rsid w:val="00A57699"/>
    <w:rsid w:val="00A60A58"/>
    <w:rsid w:val="00A812BA"/>
    <w:rsid w:val="00A95653"/>
    <w:rsid w:val="00AC0031"/>
    <w:rsid w:val="00AC1806"/>
    <w:rsid w:val="00AE0622"/>
    <w:rsid w:val="00AF02C7"/>
    <w:rsid w:val="00AF65C9"/>
    <w:rsid w:val="00B062C7"/>
    <w:rsid w:val="00B24770"/>
    <w:rsid w:val="00B32B27"/>
    <w:rsid w:val="00B746C1"/>
    <w:rsid w:val="00B91B6C"/>
    <w:rsid w:val="00BB07B1"/>
    <w:rsid w:val="00BD50D8"/>
    <w:rsid w:val="00BE0309"/>
    <w:rsid w:val="00BE3890"/>
    <w:rsid w:val="00BF557D"/>
    <w:rsid w:val="00C06429"/>
    <w:rsid w:val="00C144A6"/>
    <w:rsid w:val="00C15C63"/>
    <w:rsid w:val="00C46652"/>
    <w:rsid w:val="00C73935"/>
    <w:rsid w:val="00C861CE"/>
    <w:rsid w:val="00CA2FB4"/>
    <w:rsid w:val="00CB43FA"/>
    <w:rsid w:val="00D00451"/>
    <w:rsid w:val="00D338BD"/>
    <w:rsid w:val="00D347A2"/>
    <w:rsid w:val="00D369D5"/>
    <w:rsid w:val="00D376F1"/>
    <w:rsid w:val="00D9373D"/>
    <w:rsid w:val="00D979D5"/>
    <w:rsid w:val="00DB1B67"/>
    <w:rsid w:val="00DB344D"/>
    <w:rsid w:val="00DC05B8"/>
    <w:rsid w:val="00DC442B"/>
    <w:rsid w:val="00DD5180"/>
    <w:rsid w:val="00DF079C"/>
    <w:rsid w:val="00DF129A"/>
    <w:rsid w:val="00E133D4"/>
    <w:rsid w:val="00E264BF"/>
    <w:rsid w:val="00E43E16"/>
    <w:rsid w:val="00E93C49"/>
    <w:rsid w:val="00EB1540"/>
    <w:rsid w:val="00EB3AFC"/>
    <w:rsid w:val="00EC2E99"/>
    <w:rsid w:val="00EC705D"/>
    <w:rsid w:val="00F16BE6"/>
    <w:rsid w:val="00F459BD"/>
    <w:rsid w:val="00F63E8E"/>
    <w:rsid w:val="00FB5E99"/>
    <w:rsid w:val="00FD78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34E42DBA"/>
  <w15:chartTrackingRefBased/>
  <w15:docId w15:val="{6962C0D9-B118-4B56-A2D5-F0B70C82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3E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3E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3E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3E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3E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3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E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3E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3E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3E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3E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3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E8E"/>
    <w:rPr>
      <w:rFonts w:eastAsiaTheme="majorEastAsia" w:cstheme="majorBidi"/>
      <w:color w:val="272727" w:themeColor="text1" w:themeTint="D8"/>
    </w:rPr>
  </w:style>
  <w:style w:type="paragraph" w:styleId="Title">
    <w:name w:val="Title"/>
    <w:basedOn w:val="Normal"/>
    <w:next w:val="Normal"/>
    <w:link w:val="TitleChar"/>
    <w:uiPriority w:val="10"/>
    <w:qFormat/>
    <w:rsid w:val="00F63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E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E8E"/>
    <w:pPr>
      <w:spacing w:before="160"/>
      <w:jc w:val="center"/>
    </w:pPr>
    <w:rPr>
      <w:i/>
      <w:iCs/>
      <w:color w:val="404040" w:themeColor="text1" w:themeTint="BF"/>
    </w:rPr>
  </w:style>
  <w:style w:type="character" w:customStyle="1" w:styleId="QuoteChar">
    <w:name w:val="Quote Char"/>
    <w:basedOn w:val="DefaultParagraphFont"/>
    <w:link w:val="Quote"/>
    <w:uiPriority w:val="29"/>
    <w:rsid w:val="00F63E8E"/>
    <w:rPr>
      <w:i/>
      <w:iCs/>
      <w:color w:val="404040" w:themeColor="text1" w:themeTint="BF"/>
    </w:rPr>
  </w:style>
  <w:style w:type="paragraph" w:styleId="ListParagraph">
    <w:name w:val="List Paragraph"/>
    <w:basedOn w:val="Normal"/>
    <w:uiPriority w:val="34"/>
    <w:qFormat/>
    <w:rsid w:val="00F63E8E"/>
    <w:pPr>
      <w:ind w:left="720"/>
      <w:contextualSpacing/>
    </w:pPr>
  </w:style>
  <w:style w:type="character" w:styleId="IntenseEmphasis">
    <w:name w:val="Intense Emphasis"/>
    <w:basedOn w:val="DefaultParagraphFont"/>
    <w:uiPriority w:val="21"/>
    <w:qFormat/>
    <w:rsid w:val="00F63E8E"/>
    <w:rPr>
      <w:i/>
      <w:iCs/>
      <w:color w:val="2F5496" w:themeColor="accent1" w:themeShade="BF"/>
    </w:rPr>
  </w:style>
  <w:style w:type="paragraph" w:styleId="IntenseQuote">
    <w:name w:val="Intense Quote"/>
    <w:basedOn w:val="Normal"/>
    <w:next w:val="Normal"/>
    <w:link w:val="IntenseQuoteChar"/>
    <w:uiPriority w:val="30"/>
    <w:qFormat/>
    <w:rsid w:val="00F63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3E8E"/>
    <w:rPr>
      <w:i/>
      <w:iCs/>
      <w:color w:val="2F5496" w:themeColor="accent1" w:themeShade="BF"/>
    </w:rPr>
  </w:style>
  <w:style w:type="character" w:styleId="IntenseReference">
    <w:name w:val="Intense Reference"/>
    <w:basedOn w:val="DefaultParagraphFont"/>
    <w:uiPriority w:val="32"/>
    <w:qFormat/>
    <w:rsid w:val="00F63E8E"/>
    <w:rPr>
      <w:b/>
      <w:bCs/>
      <w:smallCaps/>
      <w:color w:val="2F5496" w:themeColor="accent1" w:themeShade="BF"/>
      <w:spacing w:val="5"/>
    </w:rPr>
  </w:style>
  <w:style w:type="character" w:styleId="LineNumber">
    <w:name w:val="line number"/>
    <w:basedOn w:val="DefaultParagraphFont"/>
    <w:uiPriority w:val="99"/>
    <w:semiHidden/>
    <w:unhideWhenUsed/>
    <w:rsid w:val="005A5861"/>
  </w:style>
  <w:style w:type="character" w:styleId="CommentReference">
    <w:name w:val="annotation reference"/>
    <w:basedOn w:val="DefaultParagraphFont"/>
    <w:uiPriority w:val="99"/>
    <w:unhideWhenUsed/>
    <w:rsid w:val="006574BF"/>
    <w:rPr>
      <w:sz w:val="16"/>
      <w:szCs w:val="16"/>
    </w:rPr>
  </w:style>
  <w:style w:type="paragraph" w:styleId="CommentText">
    <w:name w:val="annotation text"/>
    <w:basedOn w:val="Normal"/>
    <w:link w:val="CommentTextChar"/>
    <w:uiPriority w:val="99"/>
    <w:unhideWhenUsed/>
    <w:rsid w:val="006574BF"/>
    <w:pPr>
      <w:spacing w:line="240" w:lineRule="auto"/>
    </w:pPr>
    <w:rPr>
      <w:sz w:val="20"/>
      <w:szCs w:val="20"/>
    </w:rPr>
  </w:style>
  <w:style w:type="character" w:customStyle="1" w:styleId="CommentTextChar">
    <w:name w:val="Comment Text Char"/>
    <w:basedOn w:val="DefaultParagraphFont"/>
    <w:link w:val="CommentText"/>
    <w:uiPriority w:val="99"/>
    <w:rsid w:val="006574BF"/>
    <w:rPr>
      <w:sz w:val="20"/>
      <w:szCs w:val="20"/>
    </w:rPr>
  </w:style>
  <w:style w:type="paragraph" w:styleId="CommentSubject">
    <w:name w:val="annotation subject"/>
    <w:basedOn w:val="CommentText"/>
    <w:next w:val="CommentText"/>
    <w:link w:val="CommentSubjectChar"/>
    <w:uiPriority w:val="99"/>
    <w:semiHidden/>
    <w:unhideWhenUsed/>
    <w:rsid w:val="006574BF"/>
    <w:rPr>
      <w:b/>
      <w:bCs/>
    </w:rPr>
  </w:style>
  <w:style w:type="character" w:customStyle="1" w:styleId="CommentSubjectChar">
    <w:name w:val="Comment Subject Char"/>
    <w:basedOn w:val="CommentTextChar"/>
    <w:link w:val="CommentSubject"/>
    <w:uiPriority w:val="99"/>
    <w:semiHidden/>
    <w:rsid w:val="006574BF"/>
    <w:rPr>
      <w:b/>
      <w:bCs/>
      <w:sz w:val="20"/>
      <w:szCs w:val="20"/>
    </w:rPr>
  </w:style>
  <w:style w:type="character" w:styleId="Hyperlink">
    <w:name w:val="Hyperlink"/>
    <w:basedOn w:val="DefaultParagraphFont"/>
    <w:uiPriority w:val="99"/>
    <w:unhideWhenUsed/>
    <w:rsid w:val="00DB344D"/>
    <w:rPr>
      <w:color w:val="0000FF"/>
      <w:u w:val="single"/>
    </w:rPr>
  </w:style>
  <w:style w:type="paragraph" w:styleId="Caption">
    <w:name w:val="caption"/>
    <w:basedOn w:val="Normal"/>
    <w:next w:val="Normal"/>
    <w:uiPriority w:val="35"/>
    <w:unhideWhenUsed/>
    <w:qFormat/>
    <w:rsid w:val="00DB344D"/>
    <w:pPr>
      <w:spacing w:after="200" w:line="240" w:lineRule="auto"/>
    </w:pPr>
    <w:rPr>
      <w:i/>
      <w:iCs/>
      <w:color w:val="44546A" w:themeColor="text2"/>
      <w:kern w:val="0"/>
      <w:sz w:val="18"/>
      <w:szCs w:val="18"/>
      <w:lang w:val="es-ES"/>
      <w14:ligatures w14:val="none"/>
    </w:rPr>
  </w:style>
  <w:style w:type="table" w:styleId="TableGridLight">
    <w:name w:val="Grid Table Light"/>
    <w:basedOn w:val="TableNormal"/>
    <w:uiPriority w:val="40"/>
    <w:rsid w:val="00EB1540"/>
    <w:pPr>
      <w:spacing w:after="0" w:line="240" w:lineRule="auto"/>
    </w:pPr>
    <w:rPr>
      <w:kern w:val="0"/>
      <w:lang w:val="es-E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AC0031"/>
    <w:pPr>
      <w:spacing w:after="0" w:line="240" w:lineRule="auto"/>
    </w:pPr>
  </w:style>
  <w:style w:type="character" w:styleId="UnresolvedMention">
    <w:name w:val="Unresolved Mention"/>
    <w:basedOn w:val="DefaultParagraphFont"/>
    <w:uiPriority w:val="99"/>
    <w:semiHidden/>
    <w:unhideWhenUsed/>
    <w:rsid w:val="00402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80075">
      <w:bodyDiv w:val="1"/>
      <w:marLeft w:val="0"/>
      <w:marRight w:val="0"/>
      <w:marTop w:val="0"/>
      <w:marBottom w:val="0"/>
      <w:divBdr>
        <w:top w:val="none" w:sz="0" w:space="0" w:color="auto"/>
        <w:left w:val="none" w:sz="0" w:space="0" w:color="auto"/>
        <w:bottom w:val="none" w:sz="0" w:space="0" w:color="auto"/>
        <w:right w:val="none" w:sz="0" w:space="0" w:color="auto"/>
      </w:divBdr>
    </w:div>
    <w:div w:id="60924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od.ec.europa.eu/horizontal-topics/official-controls-and-enforcement/imported-products/contact-details-bcps-and-cps-plants-and-plant-products_en"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rldclim.org/data/worldclim21.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hyperlink" Target="mailto:cendoya_marmar@gva.es"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mariachiara.rosace@unicatt.it" TargetMode="External"/><Relationship Id="rId1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c5410b-f1a4-44ca-87fa-33b04f278103">
      <Terms xmlns="http://schemas.microsoft.com/office/infopath/2007/PartnerControls"/>
    </lcf76f155ced4ddcb4097134ff3c332f>
    <TaxCatchAll xmlns="5665619f-21ae-4ba8-9ff8-1ba8cdc9ffb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4316ACBA18F884CBB44212E0E4DC7E1" ma:contentTypeVersion="13" ma:contentTypeDescription="Creare un nuovo documento." ma:contentTypeScope="" ma:versionID="d6dc4b8f1eb726a9cd0813f45bbef475">
  <xsd:schema xmlns:xsd="http://www.w3.org/2001/XMLSchema" xmlns:xs="http://www.w3.org/2001/XMLSchema" xmlns:p="http://schemas.microsoft.com/office/2006/metadata/properties" xmlns:ns2="89c5410b-f1a4-44ca-87fa-33b04f278103" xmlns:ns3="5665619f-21ae-4ba8-9ff8-1ba8cdc9ffb0" targetNamespace="http://schemas.microsoft.com/office/2006/metadata/properties" ma:root="true" ma:fieldsID="535ece744064667ded551bcccf9df02a" ns2:_="" ns3:_="">
    <xsd:import namespace="89c5410b-f1a4-44ca-87fa-33b04f278103"/>
    <xsd:import namespace="5665619f-21ae-4ba8-9ff8-1ba8cdc9ffb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5410b-f1a4-44ca-87fa-33b04f278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3c1e7a4-10d6-410b-bc16-ff6bad24701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5619f-21ae-4ba8-9ff8-1ba8cdc9ffb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f59bc9-8796-4d36-9e0c-127db699591a}" ma:internalName="TaxCatchAll" ma:showField="CatchAllData" ma:web="5665619f-21ae-4ba8-9ff8-1ba8cdc9ffb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8CCED-4D9F-458B-A155-221BB0DDB91B}">
  <ds:schemaRefs>
    <ds:schemaRef ds:uri="http://schemas.microsoft.com/office/2006/metadata/properties"/>
    <ds:schemaRef ds:uri="http://schemas.microsoft.com/office/infopath/2007/PartnerControls"/>
    <ds:schemaRef ds:uri="89c5410b-f1a4-44ca-87fa-33b04f278103"/>
    <ds:schemaRef ds:uri="5665619f-21ae-4ba8-9ff8-1ba8cdc9ffb0"/>
  </ds:schemaRefs>
</ds:datastoreItem>
</file>

<file path=customXml/itemProps2.xml><?xml version="1.0" encoding="utf-8"?>
<ds:datastoreItem xmlns:ds="http://schemas.openxmlformats.org/officeDocument/2006/customXml" ds:itemID="{3F6583B7-83B0-4EAE-A889-865A6C3D7464}">
  <ds:schemaRefs>
    <ds:schemaRef ds:uri="http://schemas.openxmlformats.org/officeDocument/2006/bibliography"/>
  </ds:schemaRefs>
</ds:datastoreItem>
</file>

<file path=customXml/itemProps3.xml><?xml version="1.0" encoding="utf-8"?>
<ds:datastoreItem xmlns:ds="http://schemas.openxmlformats.org/officeDocument/2006/customXml" ds:itemID="{C51F8012-586C-4315-B2C6-D60671DAA2FA}">
  <ds:schemaRefs>
    <ds:schemaRef ds:uri="http://schemas.microsoft.com/sharepoint/v3/contenttype/forms"/>
  </ds:schemaRefs>
</ds:datastoreItem>
</file>

<file path=customXml/itemProps4.xml><?xml version="1.0" encoding="utf-8"?>
<ds:datastoreItem xmlns:ds="http://schemas.openxmlformats.org/officeDocument/2006/customXml" ds:itemID="{94AAF726-2F71-498F-94E5-74C66EF50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5410b-f1a4-44ca-87fa-33b04f278103"/>
    <ds:schemaRef ds:uri="5665619f-21ae-4ba8-9ff8-1ba8cdc9f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1106</TotalTime>
  <Pages>10</Pages>
  <Words>1180</Words>
  <Characters>20177</Characters>
  <Application>Microsoft Office Word</Application>
  <DocSecurity>0</DocSecurity>
  <Lines>776</Lines>
  <Paragraphs>270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Rosace Maria Chiara (mariachiara.rosace)</dc:creator>
  <cp:keywords/>
  <dc:description/>
  <cp:lastModifiedBy>Rosace Maria Chiara (mariachiara.rosace)</cp:lastModifiedBy>
  <cp:revision>130</cp:revision>
  <dcterms:created xsi:type="dcterms:W3CDTF">2024-04-23T11:18:00Z</dcterms:created>
  <dcterms:modified xsi:type="dcterms:W3CDTF">2024-08-02T12:32:00Z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1f1282a63e85acaaafcdc3f46ce2a4bfc457bb874902e213d8c7fbf388258f90</vt:lpwstr>
  </property>
  <property fmtid="{D5CDD505-2E9C-101B-9397-08002B2CF9AE}" pid="3" name="ContentTypeId">
    <vt:lpwstr>0x01010024316ACBA18F884CBB44212E0E4DC7E1</vt:lpwstr>
  </property>
  <property fmtid="{D5CDD505-2E9C-101B-9397-08002B2CF9AE}" pid="4" name="MediaServiceImageTags">
    <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http://www.zotero.org/styles/australian-journal-of-grape-and-wine-research</vt:lpwstr>
  </property>
  <property fmtid="{D5CDD505-2E9C-101B-9397-08002B2CF9AE}" pid="10" name="Mendeley Recent Style Name 2_1">
    <vt:lpwstr>Australian Journal of Grape and Wine Research</vt:lpwstr>
  </property>
  <property fmtid="{D5CDD505-2E9C-101B-9397-08002B2CF9AE}" pid="11" name="Mendeley Recent Style Id 3_1">
    <vt:lpwstr>http://www.zotero.org/styles/biological-invasions</vt:lpwstr>
  </property>
  <property fmtid="{D5CDD505-2E9C-101B-9397-08002B2CF9AE}" pid="12" name="Mendeley Recent Style Name 3_1">
    <vt:lpwstr>Biological Invasions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http://www.zotero.org/styles/plant-pathology</vt:lpwstr>
  </property>
  <property fmtid="{D5CDD505-2E9C-101B-9397-08002B2CF9AE}" pid="24" name="Mendeley Recent Style Name 9_1">
    <vt:lpwstr>Plant Pathology</vt:lpwstr>
  </property>
  <property fmtid="{D5CDD505-2E9C-101B-9397-08002B2CF9AE}" pid="25" name="Mendeley Document_1">
    <vt:lpwstr>True</vt:lpwstr>
  </property>
  <property fmtid="{D5CDD505-2E9C-101B-9397-08002B2CF9AE}" pid="26" name="Mendeley Unique User Id_1">
    <vt:lpwstr>d1d6ed46-635e-36e5-8b4a-d88aa138d241</vt:lpwstr>
  </property>
  <property fmtid="{D5CDD505-2E9C-101B-9397-08002B2CF9AE}" pid="27" name="Mendeley Citation Style_1">
    <vt:lpwstr>http://www.zotero.org/styles/biological-invasions</vt:lpwstr>
  </property>
</Properties>
</file>