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C8904F" w14:textId="77777777" w:rsidR="00140862" w:rsidRPr="00497CAC" w:rsidRDefault="00140862" w:rsidP="00140862">
      <w:pPr>
        <w:jc w:val="center"/>
        <w:rPr>
          <w:rFonts w:ascii="Arial" w:eastAsia="Arial" w:hAnsi="Arial" w:cs="Arial"/>
          <w:b/>
          <w:sz w:val="28"/>
          <w:szCs w:val="28"/>
          <w:lang w:val="it-IT"/>
        </w:rPr>
      </w:pPr>
      <w:r w:rsidRPr="00497CAC">
        <w:rPr>
          <w:rFonts w:ascii="Arial" w:eastAsia="Arial" w:hAnsi="Arial" w:cs="Arial"/>
          <w:b/>
          <w:sz w:val="28"/>
          <w:szCs w:val="28"/>
          <w:lang w:val="it-IT"/>
        </w:rPr>
        <w:t xml:space="preserve">Male sex </w:t>
      </w:r>
      <w:proofErr w:type="spellStart"/>
      <w:r w:rsidRPr="00497CAC">
        <w:rPr>
          <w:rFonts w:ascii="Arial" w:eastAsia="Arial" w:hAnsi="Arial" w:cs="Arial"/>
          <w:b/>
          <w:sz w:val="28"/>
          <w:szCs w:val="28"/>
          <w:lang w:val="it-IT"/>
        </w:rPr>
        <w:t>accelerates</w:t>
      </w:r>
      <w:proofErr w:type="spellEnd"/>
      <w:r w:rsidRPr="00497CAC">
        <w:rPr>
          <w:rFonts w:ascii="Arial" w:eastAsia="Arial" w:hAnsi="Arial" w:cs="Arial"/>
          <w:b/>
          <w:sz w:val="28"/>
          <w:szCs w:val="28"/>
          <w:lang w:val="it-IT"/>
        </w:rPr>
        <w:t xml:space="preserve"> cognitive </w:t>
      </w:r>
      <w:proofErr w:type="spellStart"/>
      <w:r w:rsidRPr="00497CAC">
        <w:rPr>
          <w:rFonts w:ascii="Arial" w:eastAsia="Arial" w:hAnsi="Arial" w:cs="Arial"/>
          <w:b/>
          <w:sz w:val="28"/>
          <w:szCs w:val="28"/>
          <w:lang w:val="it-IT"/>
        </w:rPr>
        <w:t>decline</w:t>
      </w:r>
      <w:proofErr w:type="spellEnd"/>
      <w:r w:rsidRPr="00497CAC">
        <w:rPr>
          <w:rFonts w:ascii="Arial" w:eastAsia="Arial" w:hAnsi="Arial" w:cs="Arial"/>
          <w:b/>
          <w:sz w:val="28"/>
          <w:szCs w:val="28"/>
          <w:lang w:val="it-IT"/>
        </w:rPr>
        <w:t xml:space="preserve"> in </w:t>
      </w:r>
      <w:r w:rsidRPr="00497CAC">
        <w:rPr>
          <w:rFonts w:ascii="Arial" w:eastAsia="Arial" w:hAnsi="Arial" w:cs="Arial"/>
          <w:b/>
          <w:i/>
          <w:iCs/>
          <w:sz w:val="28"/>
          <w:szCs w:val="28"/>
          <w:lang w:val="it-IT"/>
        </w:rPr>
        <w:t>GBA1</w:t>
      </w:r>
      <w:r w:rsidRPr="00497CAC">
        <w:rPr>
          <w:rFonts w:ascii="Arial" w:eastAsia="Arial" w:hAnsi="Arial" w:cs="Arial"/>
          <w:b/>
          <w:sz w:val="28"/>
          <w:szCs w:val="28"/>
          <w:lang w:val="it-IT"/>
        </w:rPr>
        <w:t xml:space="preserve"> </w:t>
      </w:r>
      <w:proofErr w:type="spellStart"/>
      <w:r w:rsidRPr="00497CAC">
        <w:rPr>
          <w:rFonts w:ascii="Arial" w:eastAsia="Arial" w:hAnsi="Arial" w:cs="Arial"/>
          <w:b/>
          <w:sz w:val="28"/>
          <w:szCs w:val="28"/>
          <w:lang w:val="it-IT"/>
        </w:rPr>
        <w:t>Parkinson’s</w:t>
      </w:r>
      <w:proofErr w:type="spellEnd"/>
      <w:r w:rsidRPr="00497CAC">
        <w:rPr>
          <w:rFonts w:ascii="Arial" w:eastAsia="Arial" w:hAnsi="Arial" w:cs="Arial"/>
          <w:b/>
          <w:sz w:val="28"/>
          <w:szCs w:val="28"/>
          <w:lang w:val="it-IT"/>
        </w:rPr>
        <w:t xml:space="preserve"> </w:t>
      </w:r>
      <w:proofErr w:type="spellStart"/>
      <w:r w:rsidRPr="00497CAC">
        <w:rPr>
          <w:rFonts w:ascii="Arial" w:eastAsia="Arial" w:hAnsi="Arial" w:cs="Arial"/>
          <w:b/>
          <w:sz w:val="28"/>
          <w:szCs w:val="28"/>
          <w:lang w:val="it-IT"/>
        </w:rPr>
        <w:t>Disease</w:t>
      </w:r>
      <w:proofErr w:type="spellEnd"/>
    </w:p>
    <w:p w14:paraId="7D037BDE" w14:textId="77777777" w:rsidR="000228EE" w:rsidRPr="00497CAC" w:rsidRDefault="000228EE">
      <w:pPr>
        <w:rPr>
          <w:rFonts w:ascii="Arial" w:eastAsia="Arial" w:hAnsi="Arial" w:cs="Arial"/>
          <w:sz w:val="22"/>
          <w:szCs w:val="22"/>
          <w:lang w:val="it-IT"/>
        </w:rPr>
      </w:pPr>
    </w:p>
    <w:p w14:paraId="2700091D" w14:textId="77777777" w:rsidR="00981D8D" w:rsidRPr="00CB4391" w:rsidRDefault="00981D8D" w:rsidP="00981D8D">
      <w:pPr>
        <w:spacing w:line="360" w:lineRule="auto"/>
        <w:jc w:val="both"/>
        <w:rPr>
          <w:rFonts w:ascii="Arial" w:eastAsia="Arial" w:hAnsi="Arial" w:cs="Arial"/>
          <w:sz w:val="22"/>
          <w:szCs w:val="22"/>
        </w:rPr>
      </w:pPr>
      <w:r w:rsidRPr="00CB4391">
        <w:rPr>
          <w:rFonts w:ascii="Arial" w:eastAsia="Arial" w:hAnsi="Arial" w:cs="Arial"/>
          <w:sz w:val="22"/>
          <w:szCs w:val="22"/>
        </w:rPr>
        <w:t>Silvia Paola Caminiti</w:t>
      </w:r>
      <w:r w:rsidRPr="00CB4391">
        <w:rPr>
          <w:rFonts w:ascii="Arial" w:eastAsia="Arial" w:hAnsi="Arial" w:cs="Arial"/>
          <w:sz w:val="22"/>
          <w:szCs w:val="22"/>
          <w:vertAlign w:val="superscript"/>
        </w:rPr>
        <w:t>1</w:t>
      </w:r>
      <w:r w:rsidRPr="00CB4391">
        <w:rPr>
          <w:rFonts w:ascii="Arial" w:eastAsia="Arial" w:hAnsi="Arial" w:cs="Arial"/>
          <w:b/>
          <w:sz w:val="22"/>
          <w:szCs w:val="22"/>
        </w:rPr>
        <w:t>*,</w:t>
      </w:r>
      <w:r w:rsidRPr="00CB4391">
        <w:rPr>
          <w:rFonts w:ascii="Arial" w:eastAsia="Arial" w:hAnsi="Arial" w:cs="Arial"/>
          <w:sz w:val="22"/>
          <w:szCs w:val="22"/>
        </w:rPr>
        <w:t xml:space="preserve"> PhD; Micol Avenali</w:t>
      </w:r>
      <w:r w:rsidRPr="00CB4391">
        <w:rPr>
          <w:rFonts w:ascii="Arial" w:eastAsia="Arial" w:hAnsi="Arial" w:cs="Arial"/>
          <w:sz w:val="22"/>
          <w:szCs w:val="22"/>
          <w:vertAlign w:val="superscript"/>
        </w:rPr>
        <w:t>1,2</w:t>
      </w:r>
      <w:r w:rsidRPr="00CB4391">
        <w:rPr>
          <w:rFonts w:ascii="Arial" w:eastAsia="Arial" w:hAnsi="Arial" w:cs="Arial"/>
          <w:sz w:val="22"/>
          <w:szCs w:val="22"/>
        </w:rPr>
        <w:t>, MD, PhD; Alice Galli</w:t>
      </w:r>
      <w:r w:rsidRPr="00CB4391">
        <w:rPr>
          <w:rFonts w:ascii="Arial" w:eastAsia="Arial" w:hAnsi="Arial" w:cs="Arial"/>
          <w:sz w:val="22"/>
          <w:szCs w:val="22"/>
          <w:vertAlign w:val="superscript"/>
        </w:rPr>
        <w:t>3</w:t>
      </w:r>
      <w:r w:rsidRPr="00CB4391">
        <w:rPr>
          <w:rFonts w:ascii="Arial" w:eastAsia="Arial" w:hAnsi="Arial" w:cs="Arial"/>
          <w:sz w:val="22"/>
          <w:szCs w:val="22"/>
        </w:rPr>
        <w:t>, MSc; Rachele Malito</w:t>
      </w:r>
      <w:r w:rsidRPr="00CB4391">
        <w:rPr>
          <w:rFonts w:ascii="Arial" w:eastAsia="Arial" w:hAnsi="Arial" w:cs="Arial"/>
          <w:sz w:val="22"/>
          <w:szCs w:val="22"/>
          <w:vertAlign w:val="superscript"/>
        </w:rPr>
        <w:t>2</w:t>
      </w:r>
      <w:r w:rsidRPr="00CB4391">
        <w:rPr>
          <w:rFonts w:ascii="Arial" w:eastAsia="Arial" w:hAnsi="Arial" w:cs="Arial"/>
          <w:sz w:val="22"/>
          <w:szCs w:val="22"/>
        </w:rPr>
        <w:t>, MSc; Giada Cuconato</w:t>
      </w:r>
      <w:r w:rsidRPr="00CB4391">
        <w:rPr>
          <w:rFonts w:ascii="Arial" w:eastAsia="Arial" w:hAnsi="Arial" w:cs="Arial"/>
          <w:sz w:val="22"/>
          <w:szCs w:val="22"/>
          <w:vertAlign w:val="superscript"/>
        </w:rPr>
        <w:t>4</w:t>
      </w:r>
      <w:r w:rsidRPr="00CB4391">
        <w:rPr>
          <w:rFonts w:ascii="Arial" w:eastAsia="Arial" w:hAnsi="Arial" w:cs="Arial"/>
          <w:sz w:val="22"/>
          <w:szCs w:val="22"/>
        </w:rPr>
        <w:t>, MSc; Caterina Galandra</w:t>
      </w:r>
      <w:r w:rsidRPr="00CB4391">
        <w:rPr>
          <w:rFonts w:ascii="Arial" w:eastAsia="Arial" w:hAnsi="Arial" w:cs="Arial"/>
          <w:sz w:val="22"/>
          <w:szCs w:val="22"/>
          <w:vertAlign w:val="superscript"/>
        </w:rPr>
        <w:t>2</w:t>
      </w:r>
      <w:r w:rsidRPr="00CB4391">
        <w:rPr>
          <w:rFonts w:ascii="Arial" w:eastAsia="Arial" w:hAnsi="Arial" w:cs="Arial"/>
          <w:sz w:val="22"/>
          <w:szCs w:val="22"/>
        </w:rPr>
        <w:t>, PhD; Rosaria Calabrese</w:t>
      </w:r>
      <w:r w:rsidRPr="00CB4391">
        <w:rPr>
          <w:rFonts w:ascii="Arial" w:eastAsia="Arial" w:hAnsi="Arial" w:cs="Arial"/>
          <w:sz w:val="22"/>
          <w:szCs w:val="22"/>
          <w:vertAlign w:val="superscript"/>
        </w:rPr>
        <w:t>2</w:t>
      </w:r>
      <w:r w:rsidRPr="00CB4391">
        <w:rPr>
          <w:rFonts w:ascii="Arial" w:eastAsia="Arial" w:hAnsi="Arial" w:cs="Arial"/>
          <w:sz w:val="22"/>
          <w:szCs w:val="22"/>
        </w:rPr>
        <w:t>, MSc;</w:t>
      </w:r>
      <w:r w:rsidRPr="00CB4391">
        <w:rPr>
          <w:rFonts w:ascii="Arial" w:eastAsia="Arial" w:hAnsi="Arial" w:cs="Arial"/>
          <w:sz w:val="22"/>
          <w:szCs w:val="22"/>
          <w:vertAlign w:val="superscript"/>
        </w:rPr>
        <w:t xml:space="preserve"> </w:t>
      </w:r>
      <w:r w:rsidRPr="00CB4391">
        <w:rPr>
          <w:rFonts w:ascii="Arial" w:eastAsia="Arial" w:hAnsi="Arial" w:cs="Arial"/>
          <w:sz w:val="22"/>
          <w:szCs w:val="22"/>
        </w:rPr>
        <w:t>Andrea Pilotto</w:t>
      </w:r>
      <w:r w:rsidRPr="00CB4391">
        <w:rPr>
          <w:rFonts w:ascii="Arial" w:eastAsia="Arial" w:hAnsi="Arial" w:cs="Arial"/>
          <w:sz w:val="22"/>
          <w:szCs w:val="22"/>
          <w:vertAlign w:val="superscript"/>
        </w:rPr>
        <w:t>3,5</w:t>
      </w:r>
      <w:r w:rsidRPr="00CB4391">
        <w:rPr>
          <w:rFonts w:ascii="Arial" w:eastAsia="Arial" w:hAnsi="Arial" w:cs="Arial"/>
          <w:sz w:val="22"/>
          <w:szCs w:val="22"/>
        </w:rPr>
        <w:t>, MD, PhD; Alessandro Padovani</w:t>
      </w:r>
      <w:r w:rsidRPr="00CB4391">
        <w:rPr>
          <w:rFonts w:ascii="Arial" w:eastAsia="Arial" w:hAnsi="Arial" w:cs="Arial"/>
          <w:sz w:val="22"/>
          <w:szCs w:val="22"/>
          <w:vertAlign w:val="superscript"/>
        </w:rPr>
        <w:t>3,5</w:t>
      </w:r>
      <w:r w:rsidRPr="00CB4391">
        <w:rPr>
          <w:rFonts w:ascii="Arial" w:eastAsia="Arial" w:hAnsi="Arial" w:cs="Arial"/>
          <w:sz w:val="22"/>
          <w:szCs w:val="22"/>
        </w:rPr>
        <w:t>, MD, PhD; Fabio Blandini</w:t>
      </w:r>
      <w:r w:rsidRPr="00CB4391">
        <w:rPr>
          <w:rFonts w:ascii="Arial" w:eastAsia="Arial" w:hAnsi="Arial" w:cs="Arial"/>
          <w:sz w:val="22"/>
          <w:szCs w:val="22"/>
          <w:vertAlign w:val="superscript"/>
        </w:rPr>
        <w:t>1,6</w:t>
      </w:r>
      <w:r w:rsidRPr="00CB4391">
        <w:rPr>
          <w:rFonts w:ascii="Arial" w:eastAsia="Arial" w:hAnsi="Arial" w:cs="Arial"/>
          <w:sz w:val="22"/>
          <w:szCs w:val="22"/>
        </w:rPr>
        <w:t>, MD, PhD; Daniela Perani</w:t>
      </w:r>
      <w:r w:rsidRPr="00CB4391">
        <w:rPr>
          <w:rFonts w:ascii="Arial" w:eastAsia="Arial" w:hAnsi="Arial" w:cs="Arial"/>
          <w:sz w:val="22"/>
          <w:szCs w:val="22"/>
          <w:vertAlign w:val="superscript"/>
        </w:rPr>
        <w:t>7</w:t>
      </w:r>
      <w:r w:rsidRPr="00CB4391">
        <w:rPr>
          <w:rFonts w:ascii="Arial" w:eastAsia="Arial" w:hAnsi="Arial" w:cs="Arial"/>
          <w:sz w:val="22"/>
          <w:szCs w:val="22"/>
        </w:rPr>
        <w:t>, MD; Cristina Tassorelli</w:t>
      </w:r>
      <w:r w:rsidRPr="00CB4391">
        <w:rPr>
          <w:rFonts w:ascii="Arial" w:eastAsia="Arial" w:hAnsi="Arial" w:cs="Arial"/>
          <w:sz w:val="22"/>
          <w:szCs w:val="22"/>
          <w:vertAlign w:val="superscript"/>
        </w:rPr>
        <w:t>1,2</w:t>
      </w:r>
      <w:r w:rsidRPr="00CB4391">
        <w:rPr>
          <w:rFonts w:ascii="Arial" w:eastAsia="Arial" w:hAnsi="Arial" w:cs="Arial"/>
          <w:sz w:val="22"/>
          <w:szCs w:val="22"/>
        </w:rPr>
        <w:t>, MD, PhD; Enza Maria Valente</w:t>
      </w:r>
      <w:r w:rsidRPr="00CB4391">
        <w:rPr>
          <w:rFonts w:ascii="Arial" w:eastAsia="Arial" w:hAnsi="Arial" w:cs="Arial"/>
          <w:sz w:val="22"/>
          <w:szCs w:val="22"/>
          <w:vertAlign w:val="superscript"/>
        </w:rPr>
        <w:t>2,4</w:t>
      </w:r>
      <w:r w:rsidRPr="00CB4391">
        <w:rPr>
          <w:rFonts w:ascii="Arial" w:eastAsia="Arial" w:hAnsi="Arial" w:cs="Arial"/>
          <w:sz w:val="22"/>
          <w:szCs w:val="22"/>
        </w:rPr>
        <w:t>, MD, PhD; for Parkinson's Progression Markers Initiative (PPMI)</w:t>
      </w:r>
    </w:p>
    <w:p w14:paraId="476A61A5" w14:textId="77777777" w:rsidR="00981D8D" w:rsidRPr="00CB4391" w:rsidRDefault="00981D8D" w:rsidP="00981D8D">
      <w:pPr>
        <w:spacing w:line="360" w:lineRule="auto"/>
        <w:jc w:val="center"/>
        <w:rPr>
          <w:rFonts w:ascii="Arial" w:eastAsia="Arial" w:hAnsi="Arial" w:cs="Arial"/>
          <w:sz w:val="22"/>
          <w:szCs w:val="22"/>
        </w:rPr>
      </w:pPr>
    </w:p>
    <w:p w14:paraId="5730D50D" w14:textId="77777777" w:rsidR="00981D8D" w:rsidRPr="00CB4391" w:rsidRDefault="00981D8D" w:rsidP="00981D8D">
      <w:pPr>
        <w:spacing w:line="360" w:lineRule="auto"/>
        <w:jc w:val="center"/>
        <w:rPr>
          <w:rFonts w:ascii="Arial" w:eastAsia="Arial" w:hAnsi="Arial" w:cs="Arial"/>
          <w:sz w:val="22"/>
          <w:szCs w:val="22"/>
        </w:rPr>
      </w:pPr>
    </w:p>
    <w:p w14:paraId="076A32F6" w14:textId="77777777" w:rsidR="00981D8D" w:rsidRPr="00CB4391" w:rsidRDefault="00981D8D" w:rsidP="00981D8D">
      <w:pPr>
        <w:spacing w:line="360" w:lineRule="auto"/>
        <w:rPr>
          <w:rFonts w:ascii="Arial" w:eastAsia="Arial" w:hAnsi="Arial" w:cs="Arial"/>
          <w:sz w:val="20"/>
          <w:szCs w:val="20"/>
          <w:lang w:val="en-GB"/>
        </w:rPr>
      </w:pPr>
      <w:r w:rsidRPr="00CB4391">
        <w:rPr>
          <w:rFonts w:ascii="Arial" w:eastAsia="Arial" w:hAnsi="Arial" w:cs="Arial"/>
          <w:sz w:val="20"/>
          <w:szCs w:val="20"/>
          <w:vertAlign w:val="superscript"/>
          <w:lang w:val="en-GB"/>
        </w:rPr>
        <w:t>1</w:t>
      </w:r>
      <w:r w:rsidRPr="00CB4391">
        <w:rPr>
          <w:rFonts w:ascii="Arial" w:eastAsia="Arial" w:hAnsi="Arial" w:cs="Arial"/>
          <w:sz w:val="20"/>
          <w:szCs w:val="20"/>
          <w:lang w:val="en-GB"/>
        </w:rPr>
        <w:t xml:space="preserve"> Department of Brain and Behavioral Sciences, University of Pavia, Pavia, Italy</w:t>
      </w:r>
    </w:p>
    <w:p w14:paraId="1031B5AD" w14:textId="77777777" w:rsidR="00981D8D" w:rsidRPr="00CB4391" w:rsidRDefault="00981D8D" w:rsidP="00981D8D">
      <w:pPr>
        <w:spacing w:line="360" w:lineRule="auto"/>
        <w:rPr>
          <w:rFonts w:ascii="Arial" w:eastAsia="Arial" w:hAnsi="Arial" w:cs="Arial"/>
          <w:sz w:val="20"/>
          <w:szCs w:val="20"/>
          <w:lang w:val="en-GB"/>
        </w:rPr>
      </w:pPr>
      <w:r w:rsidRPr="00CB4391">
        <w:rPr>
          <w:rFonts w:ascii="Arial" w:eastAsia="Arial" w:hAnsi="Arial" w:cs="Arial"/>
          <w:sz w:val="20"/>
          <w:szCs w:val="20"/>
          <w:vertAlign w:val="superscript"/>
          <w:lang w:val="en-GB"/>
        </w:rPr>
        <w:t>2</w:t>
      </w:r>
      <w:r w:rsidRPr="00CB4391">
        <w:rPr>
          <w:rFonts w:ascii="Arial" w:eastAsia="Arial" w:hAnsi="Arial" w:cs="Arial"/>
          <w:sz w:val="20"/>
          <w:szCs w:val="20"/>
          <w:lang w:val="en-GB"/>
        </w:rPr>
        <w:t xml:space="preserve"> IRCCS C. Mondino Foundation, Pavia, Italy</w:t>
      </w:r>
    </w:p>
    <w:p w14:paraId="5E136B10" w14:textId="77777777" w:rsidR="00981D8D" w:rsidRPr="00CB4391" w:rsidRDefault="00981D8D" w:rsidP="00981D8D">
      <w:pPr>
        <w:spacing w:line="360" w:lineRule="auto"/>
        <w:rPr>
          <w:rFonts w:ascii="Arial" w:eastAsia="Arial" w:hAnsi="Arial" w:cs="Arial"/>
          <w:sz w:val="20"/>
          <w:szCs w:val="20"/>
          <w:lang w:val="en-GB"/>
        </w:rPr>
      </w:pPr>
      <w:r w:rsidRPr="00CB4391">
        <w:rPr>
          <w:rFonts w:ascii="Arial" w:eastAsia="Arial" w:hAnsi="Arial" w:cs="Arial"/>
          <w:sz w:val="20"/>
          <w:szCs w:val="20"/>
          <w:vertAlign w:val="superscript"/>
          <w:lang w:val="en-GB"/>
        </w:rPr>
        <w:t>3</w:t>
      </w:r>
      <w:r w:rsidRPr="00CB4391">
        <w:rPr>
          <w:rFonts w:ascii="Arial" w:eastAsia="Arial" w:hAnsi="Arial" w:cs="Arial"/>
          <w:sz w:val="20"/>
          <w:szCs w:val="20"/>
          <w:lang w:val="en-GB"/>
        </w:rPr>
        <w:t xml:space="preserve"> Neurology Unit, Department of Clinical and Experimental Sciences, University of Brescia, Italy </w:t>
      </w:r>
    </w:p>
    <w:p w14:paraId="29FF2E03" w14:textId="77777777" w:rsidR="00981D8D" w:rsidRPr="00CB4391" w:rsidRDefault="00981D8D" w:rsidP="00981D8D">
      <w:pPr>
        <w:spacing w:line="360" w:lineRule="auto"/>
        <w:rPr>
          <w:rFonts w:ascii="Arial" w:eastAsia="Arial" w:hAnsi="Arial" w:cs="Arial"/>
          <w:sz w:val="20"/>
          <w:szCs w:val="20"/>
          <w:lang w:val="en-GB"/>
        </w:rPr>
      </w:pPr>
      <w:r w:rsidRPr="00CB4391">
        <w:rPr>
          <w:rFonts w:ascii="Arial" w:eastAsia="Arial" w:hAnsi="Arial" w:cs="Arial"/>
          <w:sz w:val="20"/>
          <w:szCs w:val="20"/>
          <w:vertAlign w:val="superscript"/>
          <w:lang w:val="en-GB"/>
        </w:rPr>
        <w:t>4</w:t>
      </w:r>
      <w:r w:rsidRPr="00CB4391">
        <w:rPr>
          <w:rFonts w:ascii="Arial" w:eastAsia="Arial" w:hAnsi="Arial" w:cs="Arial"/>
          <w:sz w:val="20"/>
          <w:szCs w:val="20"/>
          <w:lang w:val="en-GB"/>
        </w:rPr>
        <w:t xml:space="preserve"> Department of Molecular Medicine, University of Pavia, Pavia, Italy </w:t>
      </w:r>
    </w:p>
    <w:p w14:paraId="3D9503D4" w14:textId="77777777" w:rsidR="00981D8D" w:rsidRPr="00CB4391" w:rsidRDefault="00981D8D" w:rsidP="00981D8D">
      <w:pPr>
        <w:spacing w:line="360" w:lineRule="auto"/>
        <w:rPr>
          <w:rFonts w:ascii="Arial" w:eastAsia="Arial" w:hAnsi="Arial" w:cs="Arial"/>
          <w:sz w:val="20"/>
          <w:szCs w:val="20"/>
          <w:lang w:val="en-GB"/>
        </w:rPr>
      </w:pPr>
      <w:r w:rsidRPr="00CB4391">
        <w:rPr>
          <w:rFonts w:ascii="Arial" w:eastAsia="Arial" w:hAnsi="Arial" w:cs="Arial"/>
          <w:sz w:val="20"/>
          <w:szCs w:val="20"/>
          <w:vertAlign w:val="superscript"/>
          <w:lang w:val="en-GB"/>
        </w:rPr>
        <w:t>5</w:t>
      </w:r>
      <w:r w:rsidRPr="00CB4391">
        <w:rPr>
          <w:rFonts w:ascii="Arial" w:eastAsia="Arial" w:hAnsi="Arial" w:cs="Arial"/>
          <w:sz w:val="20"/>
          <w:szCs w:val="20"/>
          <w:lang w:val="en-GB"/>
        </w:rPr>
        <w:t xml:space="preserve"> Department of continuity of care and frailty, Neurology Unit, ASST </w:t>
      </w:r>
      <w:proofErr w:type="spellStart"/>
      <w:r w:rsidRPr="00CB4391">
        <w:rPr>
          <w:rFonts w:ascii="Arial" w:eastAsia="Arial" w:hAnsi="Arial" w:cs="Arial"/>
          <w:sz w:val="20"/>
          <w:szCs w:val="20"/>
          <w:lang w:val="en-GB"/>
        </w:rPr>
        <w:t>Spedali</w:t>
      </w:r>
      <w:proofErr w:type="spellEnd"/>
      <w:r w:rsidRPr="00CB4391">
        <w:rPr>
          <w:rFonts w:ascii="Arial" w:eastAsia="Arial" w:hAnsi="Arial" w:cs="Arial"/>
          <w:sz w:val="20"/>
          <w:szCs w:val="20"/>
          <w:lang w:val="en-GB"/>
        </w:rPr>
        <w:t xml:space="preserve"> </w:t>
      </w:r>
      <w:proofErr w:type="spellStart"/>
      <w:r w:rsidRPr="00CB4391">
        <w:rPr>
          <w:rFonts w:ascii="Arial" w:eastAsia="Arial" w:hAnsi="Arial" w:cs="Arial"/>
          <w:sz w:val="20"/>
          <w:szCs w:val="20"/>
          <w:lang w:val="en-GB"/>
        </w:rPr>
        <w:t>Civili</w:t>
      </w:r>
      <w:proofErr w:type="spellEnd"/>
      <w:r w:rsidRPr="00CB4391">
        <w:rPr>
          <w:rFonts w:ascii="Arial" w:eastAsia="Arial" w:hAnsi="Arial" w:cs="Arial"/>
          <w:sz w:val="20"/>
          <w:szCs w:val="20"/>
          <w:lang w:val="en-GB"/>
        </w:rPr>
        <w:t xml:space="preserve"> of Brescia, Brescia, Italy</w:t>
      </w:r>
    </w:p>
    <w:p w14:paraId="18C0B495" w14:textId="77777777" w:rsidR="00981D8D" w:rsidRPr="00CB4391" w:rsidRDefault="00981D8D" w:rsidP="00981D8D">
      <w:pPr>
        <w:spacing w:line="360" w:lineRule="auto"/>
        <w:rPr>
          <w:rFonts w:ascii="Arial" w:eastAsia="Arial" w:hAnsi="Arial" w:cs="Arial"/>
          <w:sz w:val="20"/>
          <w:szCs w:val="20"/>
        </w:rPr>
      </w:pPr>
      <w:r w:rsidRPr="00CB4391">
        <w:rPr>
          <w:rFonts w:ascii="Arial" w:eastAsia="Arial" w:hAnsi="Arial" w:cs="Arial"/>
          <w:sz w:val="20"/>
          <w:szCs w:val="20"/>
          <w:vertAlign w:val="superscript"/>
        </w:rPr>
        <w:t>6</w:t>
      </w:r>
      <w:r w:rsidRPr="00CB4391">
        <w:rPr>
          <w:rFonts w:ascii="Arial" w:eastAsia="Arial" w:hAnsi="Arial" w:cs="Arial"/>
          <w:sz w:val="20"/>
          <w:szCs w:val="20"/>
        </w:rPr>
        <w:t xml:space="preserve"> Ca’ Granda Foundation, Ospedale Maggiore Policlinico, Milan, Italy</w:t>
      </w:r>
    </w:p>
    <w:p w14:paraId="33DC866E" w14:textId="77777777" w:rsidR="00981D8D" w:rsidRPr="00CB4391" w:rsidRDefault="00981D8D" w:rsidP="00981D8D">
      <w:pPr>
        <w:spacing w:line="360" w:lineRule="auto"/>
        <w:rPr>
          <w:rFonts w:ascii="Arial" w:eastAsia="Arial" w:hAnsi="Arial" w:cs="Arial"/>
          <w:sz w:val="20"/>
          <w:szCs w:val="20"/>
          <w:lang w:val="en-GB"/>
        </w:rPr>
      </w:pPr>
      <w:r w:rsidRPr="00CB4391">
        <w:rPr>
          <w:rFonts w:ascii="Arial" w:eastAsia="Arial" w:hAnsi="Arial" w:cs="Arial"/>
          <w:sz w:val="20"/>
          <w:szCs w:val="20"/>
          <w:vertAlign w:val="superscript"/>
          <w:lang w:val="en-GB"/>
        </w:rPr>
        <w:t>7</w:t>
      </w:r>
      <w:r w:rsidRPr="00CB4391">
        <w:rPr>
          <w:rFonts w:ascii="Arial" w:eastAsia="Arial" w:hAnsi="Arial" w:cs="Arial"/>
          <w:sz w:val="20"/>
          <w:szCs w:val="20"/>
          <w:lang w:val="en-GB"/>
        </w:rPr>
        <w:t xml:space="preserve"> IRCCS San Raffaele Scientific Institute, Milan, Italy</w:t>
      </w:r>
    </w:p>
    <w:p w14:paraId="3BB6B714" w14:textId="77777777" w:rsidR="000228EE" w:rsidRPr="00CB4391" w:rsidRDefault="000228EE">
      <w:pPr>
        <w:rPr>
          <w:rFonts w:ascii="Arial" w:eastAsia="Arial" w:hAnsi="Arial" w:cs="Arial"/>
          <w:sz w:val="22"/>
          <w:szCs w:val="22"/>
          <w:lang w:val="en-GB"/>
        </w:rPr>
      </w:pPr>
    </w:p>
    <w:p w14:paraId="46447466" w14:textId="77777777" w:rsidR="00981D8D" w:rsidRPr="00CB4391" w:rsidRDefault="00981D8D">
      <w:pPr>
        <w:rPr>
          <w:rFonts w:ascii="Arial" w:eastAsia="Arial" w:hAnsi="Arial" w:cs="Arial"/>
          <w:sz w:val="22"/>
          <w:szCs w:val="22"/>
          <w:lang w:val="en-GB"/>
        </w:rPr>
      </w:pPr>
    </w:p>
    <w:p w14:paraId="625256CF" w14:textId="77777777" w:rsidR="00981D8D" w:rsidRPr="00CB4391" w:rsidRDefault="00981D8D">
      <w:pPr>
        <w:rPr>
          <w:rFonts w:ascii="Arial" w:eastAsia="Arial" w:hAnsi="Arial" w:cs="Arial"/>
          <w:sz w:val="22"/>
          <w:szCs w:val="22"/>
          <w:lang w:val="en-GB"/>
        </w:rPr>
      </w:pPr>
    </w:p>
    <w:p w14:paraId="28941CBF" w14:textId="77777777" w:rsidR="00981D8D" w:rsidRPr="00CB4391" w:rsidRDefault="00981D8D">
      <w:pPr>
        <w:rPr>
          <w:rFonts w:ascii="Arial" w:eastAsia="Arial" w:hAnsi="Arial" w:cs="Arial"/>
          <w:sz w:val="22"/>
          <w:szCs w:val="22"/>
          <w:lang w:val="en-GB"/>
        </w:rPr>
      </w:pPr>
    </w:p>
    <w:p w14:paraId="6B9A3BD3" w14:textId="77777777" w:rsidR="000228EE" w:rsidRPr="00CB4391" w:rsidRDefault="000228EE">
      <w:pPr>
        <w:pBdr>
          <w:top w:val="nil"/>
          <w:left w:val="nil"/>
          <w:bottom w:val="nil"/>
          <w:right w:val="nil"/>
          <w:between w:val="nil"/>
        </w:pBdr>
        <w:rPr>
          <w:rFonts w:ascii="Arial" w:eastAsia="Arial" w:hAnsi="Arial" w:cs="Arial"/>
          <w:color w:val="000000"/>
          <w:sz w:val="22"/>
          <w:szCs w:val="22"/>
          <w:lang w:val="en-GB"/>
        </w:rPr>
      </w:pPr>
    </w:p>
    <w:p w14:paraId="16F60B63" w14:textId="77777777" w:rsidR="000228EE" w:rsidRPr="00CB4391" w:rsidRDefault="000228EE">
      <w:pPr>
        <w:pBdr>
          <w:top w:val="nil"/>
          <w:left w:val="nil"/>
          <w:bottom w:val="nil"/>
          <w:right w:val="nil"/>
          <w:between w:val="nil"/>
        </w:pBdr>
        <w:rPr>
          <w:rFonts w:ascii="Arial" w:eastAsia="Arial" w:hAnsi="Arial" w:cs="Arial"/>
          <w:color w:val="000000"/>
          <w:sz w:val="22"/>
          <w:szCs w:val="22"/>
          <w:lang w:val="en-GB"/>
        </w:rPr>
      </w:pPr>
    </w:p>
    <w:p w14:paraId="781F80A5" w14:textId="77777777" w:rsidR="000228EE" w:rsidRPr="00CB4391" w:rsidRDefault="000228EE">
      <w:pPr>
        <w:pBdr>
          <w:top w:val="nil"/>
          <w:left w:val="nil"/>
          <w:bottom w:val="nil"/>
          <w:right w:val="nil"/>
          <w:between w:val="nil"/>
        </w:pBdr>
        <w:rPr>
          <w:rFonts w:ascii="Arial" w:eastAsia="Arial" w:hAnsi="Arial" w:cs="Arial"/>
          <w:color w:val="000000"/>
          <w:sz w:val="22"/>
          <w:szCs w:val="22"/>
          <w:lang w:val="en-GB"/>
        </w:rPr>
      </w:pPr>
    </w:p>
    <w:p w14:paraId="6B97362C" w14:textId="77777777" w:rsidR="000228EE" w:rsidRPr="00CB4391" w:rsidRDefault="00000000">
      <w:pPr>
        <w:pBdr>
          <w:top w:val="nil"/>
          <w:left w:val="nil"/>
          <w:bottom w:val="nil"/>
          <w:right w:val="nil"/>
          <w:between w:val="nil"/>
        </w:pBdr>
        <w:rPr>
          <w:rFonts w:ascii="Arial" w:eastAsia="Arial" w:hAnsi="Arial" w:cs="Arial"/>
          <w:color w:val="000000"/>
          <w:sz w:val="22"/>
          <w:szCs w:val="22"/>
          <w:lang w:val="en-GB"/>
        </w:rPr>
      </w:pPr>
      <w:r w:rsidRPr="00CB4391">
        <w:rPr>
          <w:rFonts w:ascii="Arial" w:eastAsia="Arial" w:hAnsi="Arial" w:cs="Arial"/>
          <w:color w:val="000000"/>
          <w:sz w:val="22"/>
          <w:szCs w:val="22"/>
          <w:lang w:val="en-GB"/>
        </w:rPr>
        <w:t xml:space="preserve">*Correspondence to: </w:t>
      </w:r>
    </w:p>
    <w:p w14:paraId="2306161F" w14:textId="77777777" w:rsidR="000228EE" w:rsidRPr="00CB4391" w:rsidRDefault="00000000">
      <w:pPr>
        <w:pBdr>
          <w:top w:val="nil"/>
          <w:left w:val="nil"/>
          <w:bottom w:val="nil"/>
          <w:right w:val="nil"/>
          <w:between w:val="nil"/>
        </w:pBdr>
        <w:rPr>
          <w:rFonts w:ascii="Arial" w:eastAsia="Arial" w:hAnsi="Arial" w:cs="Arial"/>
          <w:color w:val="000000"/>
          <w:sz w:val="22"/>
          <w:szCs w:val="22"/>
          <w:lang w:val="en-GB"/>
        </w:rPr>
      </w:pPr>
      <w:r w:rsidRPr="00CB4391">
        <w:rPr>
          <w:rFonts w:ascii="Arial" w:eastAsia="Arial" w:hAnsi="Arial" w:cs="Arial"/>
          <w:color w:val="000000"/>
          <w:sz w:val="22"/>
          <w:szCs w:val="22"/>
          <w:lang w:val="en-GB"/>
        </w:rPr>
        <w:t>Silvia Paola Caminiti</w:t>
      </w:r>
    </w:p>
    <w:p w14:paraId="3B8B5889" w14:textId="77777777" w:rsidR="000228EE" w:rsidRPr="00CB4391" w:rsidRDefault="00000000">
      <w:pPr>
        <w:pBdr>
          <w:top w:val="nil"/>
          <w:left w:val="nil"/>
          <w:bottom w:val="nil"/>
          <w:right w:val="nil"/>
          <w:between w:val="nil"/>
        </w:pBdr>
        <w:rPr>
          <w:rFonts w:ascii="Arial" w:eastAsia="Arial" w:hAnsi="Arial" w:cs="Arial"/>
          <w:color w:val="000000"/>
          <w:sz w:val="22"/>
          <w:szCs w:val="22"/>
          <w:lang w:val="en-GB"/>
        </w:rPr>
      </w:pPr>
      <w:r w:rsidRPr="00CB4391">
        <w:rPr>
          <w:rFonts w:ascii="Arial" w:eastAsia="Arial" w:hAnsi="Arial" w:cs="Arial"/>
          <w:color w:val="000000"/>
          <w:sz w:val="22"/>
          <w:szCs w:val="22"/>
          <w:lang w:val="en-GB"/>
        </w:rPr>
        <w:t xml:space="preserve">Department of Brain and Behavioral Sciences </w:t>
      </w:r>
    </w:p>
    <w:p w14:paraId="6BD05F3A" w14:textId="77777777" w:rsidR="000228EE" w:rsidRPr="00CB4391" w:rsidRDefault="00000000">
      <w:pPr>
        <w:pBdr>
          <w:top w:val="nil"/>
          <w:left w:val="nil"/>
          <w:bottom w:val="nil"/>
          <w:right w:val="nil"/>
          <w:between w:val="nil"/>
        </w:pBdr>
        <w:rPr>
          <w:rFonts w:ascii="Arial" w:eastAsia="Arial" w:hAnsi="Arial" w:cs="Arial"/>
          <w:color w:val="000000"/>
          <w:sz w:val="22"/>
          <w:szCs w:val="22"/>
        </w:rPr>
      </w:pPr>
      <w:r w:rsidRPr="00CB4391">
        <w:rPr>
          <w:rFonts w:ascii="Arial" w:eastAsia="Arial" w:hAnsi="Arial" w:cs="Arial"/>
          <w:color w:val="000000"/>
          <w:sz w:val="22"/>
          <w:szCs w:val="22"/>
        </w:rPr>
        <w:t>University of Pavia, Pavia, Italy</w:t>
      </w:r>
    </w:p>
    <w:p w14:paraId="33E21DA5" w14:textId="77777777" w:rsidR="000228EE" w:rsidRPr="00CB4391" w:rsidRDefault="00000000">
      <w:pPr>
        <w:pBdr>
          <w:top w:val="nil"/>
          <w:left w:val="nil"/>
          <w:bottom w:val="nil"/>
          <w:right w:val="nil"/>
          <w:between w:val="nil"/>
        </w:pBdr>
        <w:rPr>
          <w:rFonts w:ascii="Arial" w:eastAsia="Arial" w:hAnsi="Arial" w:cs="Arial"/>
          <w:color w:val="000000"/>
          <w:sz w:val="22"/>
          <w:szCs w:val="22"/>
        </w:rPr>
      </w:pPr>
      <w:r w:rsidRPr="00CB4391">
        <w:rPr>
          <w:rFonts w:ascii="Arial" w:eastAsia="Arial" w:hAnsi="Arial" w:cs="Arial"/>
          <w:color w:val="000000"/>
          <w:sz w:val="22"/>
          <w:szCs w:val="22"/>
        </w:rPr>
        <w:t>Via Agostino Bassi, 21, 27100 Pavia PV</w:t>
      </w:r>
    </w:p>
    <w:p w14:paraId="04981A3D" w14:textId="77777777" w:rsidR="000228EE" w:rsidRPr="00CB4391" w:rsidRDefault="00000000">
      <w:pPr>
        <w:pBdr>
          <w:top w:val="nil"/>
          <w:left w:val="nil"/>
          <w:bottom w:val="nil"/>
          <w:right w:val="nil"/>
          <w:between w:val="nil"/>
        </w:pBdr>
        <w:rPr>
          <w:rFonts w:ascii="Arial" w:eastAsia="Arial" w:hAnsi="Arial" w:cs="Arial"/>
          <w:b/>
          <w:color w:val="000000"/>
          <w:sz w:val="22"/>
          <w:szCs w:val="22"/>
          <w:lang w:val="en-GB"/>
        </w:rPr>
      </w:pPr>
      <w:hyperlink r:id="rId6">
        <w:r w:rsidRPr="00CB4391">
          <w:rPr>
            <w:rFonts w:ascii="Arial" w:eastAsia="Arial" w:hAnsi="Arial" w:cs="Arial"/>
            <w:b/>
            <w:color w:val="0563C1"/>
            <w:sz w:val="22"/>
            <w:szCs w:val="22"/>
            <w:u w:val="single"/>
            <w:lang w:val="en-GB"/>
          </w:rPr>
          <w:t>silviapaola.caminiti@unipv.it</w:t>
        </w:r>
      </w:hyperlink>
    </w:p>
    <w:p w14:paraId="5A333AB9" w14:textId="77777777" w:rsidR="000228EE" w:rsidRPr="00CB4391" w:rsidRDefault="000228EE">
      <w:pPr>
        <w:pBdr>
          <w:top w:val="nil"/>
          <w:left w:val="nil"/>
          <w:bottom w:val="nil"/>
          <w:right w:val="nil"/>
          <w:between w:val="nil"/>
        </w:pBdr>
        <w:rPr>
          <w:rFonts w:ascii="Arial" w:eastAsia="Arial" w:hAnsi="Arial" w:cs="Arial"/>
          <w:color w:val="000000"/>
          <w:sz w:val="22"/>
          <w:szCs w:val="22"/>
          <w:lang w:val="en-GB"/>
        </w:rPr>
      </w:pPr>
    </w:p>
    <w:p w14:paraId="7A60BD9F" w14:textId="77777777" w:rsidR="000228EE" w:rsidRPr="00CB4391" w:rsidRDefault="000228EE">
      <w:pPr>
        <w:pBdr>
          <w:top w:val="nil"/>
          <w:left w:val="nil"/>
          <w:bottom w:val="nil"/>
          <w:right w:val="nil"/>
          <w:between w:val="nil"/>
        </w:pBdr>
        <w:rPr>
          <w:rFonts w:ascii="Arial" w:eastAsia="Arial" w:hAnsi="Arial" w:cs="Arial"/>
          <w:sz w:val="22"/>
          <w:szCs w:val="22"/>
          <w:lang w:val="en-GB"/>
        </w:rPr>
      </w:pPr>
    </w:p>
    <w:p w14:paraId="6C57649C" w14:textId="77777777" w:rsidR="000228EE" w:rsidRPr="00CB4391" w:rsidRDefault="000228EE">
      <w:pPr>
        <w:rPr>
          <w:rFonts w:ascii="Arial" w:hAnsi="Arial" w:cs="Arial"/>
          <w:lang w:val="en-GB"/>
        </w:rPr>
      </w:pPr>
    </w:p>
    <w:p w14:paraId="6FBBAB95" w14:textId="77777777" w:rsidR="000228EE" w:rsidRPr="00CB4391" w:rsidRDefault="000228EE">
      <w:pPr>
        <w:rPr>
          <w:rFonts w:ascii="Arial" w:hAnsi="Arial" w:cs="Arial"/>
          <w:lang w:val="en-GB"/>
        </w:rPr>
      </w:pPr>
    </w:p>
    <w:p w14:paraId="0DB25729" w14:textId="77777777" w:rsidR="000228EE" w:rsidRPr="00CB4391" w:rsidRDefault="000228EE">
      <w:pPr>
        <w:rPr>
          <w:rFonts w:ascii="Arial" w:hAnsi="Arial" w:cs="Arial"/>
          <w:lang w:val="en-GB"/>
        </w:rPr>
      </w:pPr>
    </w:p>
    <w:p w14:paraId="0DC68641" w14:textId="77777777" w:rsidR="000228EE" w:rsidRPr="00CB4391" w:rsidRDefault="000228EE">
      <w:pPr>
        <w:rPr>
          <w:rFonts w:ascii="Arial" w:hAnsi="Arial" w:cs="Arial"/>
          <w:lang w:val="en-GB"/>
        </w:rPr>
      </w:pPr>
    </w:p>
    <w:p w14:paraId="14193499" w14:textId="77777777" w:rsidR="000228EE" w:rsidRPr="00CB4391" w:rsidRDefault="000228EE">
      <w:pPr>
        <w:rPr>
          <w:rFonts w:ascii="Arial" w:hAnsi="Arial" w:cs="Arial"/>
          <w:lang w:val="en-GB"/>
        </w:rPr>
      </w:pPr>
    </w:p>
    <w:p w14:paraId="260381EA" w14:textId="77777777" w:rsidR="000228EE" w:rsidRPr="00CB4391" w:rsidRDefault="000228EE">
      <w:pPr>
        <w:rPr>
          <w:rFonts w:ascii="Arial" w:hAnsi="Arial" w:cs="Arial"/>
          <w:lang w:val="en-GB"/>
        </w:rPr>
      </w:pPr>
    </w:p>
    <w:p w14:paraId="6F9BA78D" w14:textId="77777777" w:rsidR="000228EE" w:rsidRPr="00CB4391" w:rsidRDefault="000228EE">
      <w:pPr>
        <w:rPr>
          <w:rFonts w:ascii="Arial" w:hAnsi="Arial" w:cs="Arial"/>
          <w:lang w:val="en-GB"/>
        </w:rPr>
      </w:pPr>
    </w:p>
    <w:p w14:paraId="4177B93E" w14:textId="77777777" w:rsidR="000228EE" w:rsidRPr="00CB4391" w:rsidRDefault="000228EE">
      <w:pPr>
        <w:rPr>
          <w:rFonts w:ascii="Arial" w:hAnsi="Arial" w:cs="Arial"/>
          <w:lang w:val="en-GB"/>
        </w:rPr>
      </w:pPr>
    </w:p>
    <w:p w14:paraId="290A6474" w14:textId="77777777" w:rsidR="000228EE" w:rsidRPr="00CB4391" w:rsidRDefault="000228EE">
      <w:pPr>
        <w:rPr>
          <w:rFonts w:ascii="Arial" w:hAnsi="Arial" w:cs="Arial"/>
          <w:lang w:val="en-GB"/>
        </w:rPr>
      </w:pPr>
    </w:p>
    <w:p w14:paraId="0EBC8352" w14:textId="77777777" w:rsidR="000228EE" w:rsidRPr="00CB4391" w:rsidRDefault="000228EE">
      <w:pPr>
        <w:rPr>
          <w:rFonts w:ascii="Arial" w:hAnsi="Arial" w:cs="Arial"/>
          <w:lang w:val="en-GB"/>
        </w:rPr>
      </w:pPr>
    </w:p>
    <w:p w14:paraId="710697B5" w14:textId="77777777" w:rsidR="000228EE" w:rsidRPr="00CB4391" w:rsidRDefault="000228EE">
      <w:pPr>
        <w:rPr>
          <w:rFonts w:ascii="Arial" w:hAnsi="Arial" w:cs="Arial"/>
          <w:lang w:val="en-GB"/>
        </w:rPr>
      </w:pPr>
    </w:p>
    <w:p w14:paraId="24F7006E" w14:textId="77777777" w:rsidR="000228EE" w:rsidRPr="00CB4391" w:rsidRDefault="000228EE">
      <w:pPr>
        <w:rPr>
          <w:rFonts w:ascii="Arial" w:hAnsi="Arial" w:cs="Arial"/>
          <w:lang w:val="en-GB"/>
        </w:rPr>
      </w:pPr>
    </w:p>
    <w:p w14:paraId="1B8DD588" w14:textId="77777777" w:rsidR="00887A30" w:rsidRDefault="00887A30">
      <w:pPr>
        <w:rPr>
          <w:rFonts w:ascii="Arial" w:hAnsi="Arial" w:cs="Arial"/>
          <w:lang w:val="en-GB"/>
        </w:rPr>
      </w:pPr>
    </w:p>
    <w:p w14:paraId="1CC957BB" w14:textId="77777777" w:rsidR="00497CAC" w:rsidRDefault="00497CAC">
      <w:pPr>
        <w:rPr>
          <w:rFonts w:ascii="Arial" w:hAnsi="Arial" w:cs="Arial"/>
          <w:lang w:val="en-GB"/>
        </w:rPr>
      </w:pPr>
    </w:p>
    <w:p w14:paraId="2DFB82D1" w14:textId="77777777" w:rsidR="00497CAC" w:rsidRPr="00CB4391" w:rsidRDefault="00497CAC">
      <w:pPr>
        <w:rPr>
          <w:rFonts w:ascii="Arial" w:hAnsi="Arial" w:cs="Arial"/>
          <w:lang w:val="en-GB"/>
        </w:rPr>
      </w:pPr>
    </w:p>
    <w:p w14:paraId="32D8313C" w14:textId="77777777" w:rsidR="000228EE" w:rsidRPr="00CB4391" w:rsidRDefault="000228EE">
      <w:pPr>
        <w:rPr>
          <w:rFonts w:ascii="Arial" w:hAnsi="Arial" w:cs="Arial"/>
          <w:b/>
          <w:lang w:val="en-GB"/>
        </w:rPr>
      </w:pPr>
    </w:p>
    <w:p w14:paraId="2AE5AA42" w14:textId="77777777" w:rsidR="000228EE" w:rsidRPr="00CB4391" w:rsidRDefault="000228EE">
      <w:pPr>
        <w:rPr>
          <w:rFonts w:ascii="Arial" w:hAnsi="Arial" w:cs="Arial"/>
          <w:b/>
          <w:lang w:val="en-GB"/>
        </w:rPr>
      </w:pPr>
    </w:p>
    <w:p w14:paraId="1A59BC5E" w14:textId="20940FEA" w:rsidR="001257E4" w:rsidRPr="00595EF7" w:rsidRDefault="001257E4" w:rsidP="0053168E">
      <w:pPr>
        <w:spacing w:line="360" w:lineRule="auto"/>
        <w:jc w:val="both"/>
        <w:rPr>
          <w:rFonts w:ascii="Arial" w:eastAsia="Arial" w:hAnsi="Arial" w:cs="Arial"/>
          <w:b/>
          <w:color w:val="000000" w:themeColor="text1"/>
          <w:lang w:val="en-GB"/>
        </w:rPr>
      </w:pPr>
      <w:r w:rsidRPr="00595EF7">
        <w:rPr>
          <w:rFonts w:ascii="Arial" w:eastAsia="Arial" w:hAnsi="Arial" w:cs="Arial"/>
          <w:b/>
          <w:color w:val="000000" w:themeColor="text1"/>
          <w:lang w:val="en-GB"/>
        </w:rPr>
        <w:lastRenderedPageBreak/>
        <w:t xml:space="preserve">1. Supplementary Methods </w:t>
      </w:r>
    </w:p>
    <w:p w14:paraId="2026F77A" w14:textId="63A1E039" w:rsidR="00791AB6" w:rsidRPr="00595EF7" w:rsidRDefault="00233112" w:rsidP="00791AB6">
      <w:pPr>
        <w:spacing w:line="360" w:lineRule="auto"/>
        <w:jc w:val="both"/>
        <w:rPr>
          <w:rFonts w:ascii="Arial" w:eastAsia="Arial" w:hAnsi="Arial" w:cs="Arial"/>
          <w:b/>
          <w:bCs/>
          <w:color w:val="000000" w:themeColor="text1"/>
          <w:sz w:val="22"/>
          <w:szCs w:val="22"/>
          <w:lang w:val="en-GB"/>
        </w:rPr>
      </w:pPr>
      <w:r w:rsidRPr="00595EF7">
        <w:rPr>
          <w:rFonts w:ascii="Arial" w:eastAsia="Arial" w:hAnsi="Arial" w:cs="Arial"/>
          <w:b/>
          <w:bCs/>
          <w:color w:val="000000" w:themeColor="text1"/>
          <w:sz w:val="22"/>
          <w:szCs w:val="22"/>
          <w:lang w:val="en-GB"/>
        </w:rPr>
        <w:t>1.1 Inclusion criteria</w:t>
      </w:r>
    </w:p>
    <w:p w14:paraId="50BF6CBD" w14:textId="3A8B5291" w:rsidR="00791AB6" w:rsidRDefault="00791AB6" w:rsidP="001A2978">
      <w:pPr>
        <w:spacing w:line="360" w:lineRule="auto"/>
        <w:jc w:val="both"/>
        <w:rPr>
          <w:rFonts w:ascii="Arial" w:eastAsia="Arial" w:hAnsi="Arial" w:cs="Arial"/>
          <w:color w:val="000000" w:themeColor="text1"/>
          <w:sz w:val="22"/>
          <w:szCs w:val="22"/>
          <w:lang w:val="en-GB"/>
        </w:rPr>
      </w:pPr>
      <w:r w:rsidRPr="00595EF7">
        <w:rPr>
          <w:rFonts w:ascii="Arial" w:eastAsia="Arial" w:hAnsi="Arial" w:cs="Arial"/>
          <w:color w:val="000000" w:themeColor="text1"/>
          <w:sz w:val="22"/>
          <w:szCs w:val="22"/>
          <w:lang w:val="en-GB"/>
        </w:rPr>
        <w:t>The enrolment criteria for PD participants in the PPMI included the following conditions: age at baseline greater than 30 years, a diagnosis of PD within 2 years prior to the baseline visit, the presence of asymmetric resting tremor or asymmetric bradykinesia, or meeting two of the following criteria: bradykinesia, rigidity, and resting tremor.</w:t>
      </w:r>
      <w:sdt>
        <w:sdtPr>
          <w:rPr>
            <w:rFonts w:ascii="Arial" w:eastAsia="Arial" w:hAnsi="Arial" w:cs="Arial"/>
            <w:color w:val="000000"/>
            <w:sz w:val="22"/>
            <w:szCs w:val="22"/>
            <w:vertAlign w:val="superscript"/>
          </w:rPr>
          <w:tag w:val="MENDELEY_CITATION_v3_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"/>
          <w:id w:val="347616848"/>
          <w:placeholder>
            <w:docPart w:val="2BEE7DAB8C69274790362D385F4819B0"/>
          </w:placeholder>
        </w:sdtPr>
        <w:sdtContent>
          <w:r w:rsidR="00F306DA" w:rsidRPr="00F306DA">
            <w:rPr>
              <w:rFonts w:ascii="Arial" w:eastAsia="Arial" w:hAnsi="Arial" w:cs="Arial"/>
              <w:color w:val="000000"/>
              <w:sz w:val="22"/>
              <w:szCs w:val="22"/>
              <w:vertAlign w:val="superscript"/>
              <w:lang w:val="en-GB"/>
            </w:rPr>
            <w:t>1</w:t>
          </w:r>
        </w:sdtContent>
      </w:sdt>
      <w:r w:rsidRPr="00595EF7">
        <w:rPr>
          <w:rFonts w:ascii="Arial" w:eastAsia="Arial" w:hAnsi="Arial" w:cs="Arial"/>
          <w:color w:val="000000" w:themeColor="text1"/>
          <w:sz w:val="22"/>
          <w:szCs w:val="22"/>
          <w:lang w:val="en-GB"/>
        </w:rPr>
        <w:t xml:space="preserve"> </w:t>
      </w:r>
      <w:r w:rsidR="001A2978" w:rsidRPr="001A2978">
        <w:rPr>
          <w:rFonts w:ascii="Arial" w:eastAsia="Arial" w:hAnsi="Arial" w:cs="Arial"/>
          <w:color w:val="000000" w:themeColor="text1"/>
          <w:sz w:val="22"/>
          <w:szCs w:val="22"/>
          <w:lang w:val="en-GB"/>
        </w:rPr>
        <w:t>S</w:t>
      </w:r>
      <w:r w:rsidR="0074166D" w:rsidRPr="001A2978">
        <w:rPr>
          <w:rFonts w:ascii="Arial" w:eastAsia="Arial" w:hAnsi="Arial" w:cs="Arial"/>
          <w:color w:val="000000" w:themeColor="text1"/>
          <w:sz w:val="22"/>
          <w:szCs w:val="22"/>
          <w:lang w:val="en-GB"/>
        </w:rPr>
        <w:t>ubjects</w:t>
      </w:r>
      <w:r w:rsidR="001A2978" w:rsidRPr="001A2978">
        <w:rPr>
          <w:rFonts w:ascii="Arial" w:eastAsia="Arial" w:hAnsi="Arial" w:cs="Arial"/>
          <w:color w:val="000000" w:themeColor="text1"/>
          <w:sz w:val="22"/>
          <w:szCs w:val="22"/>
          <w:lang w:val="en-GB"/>
        </w:rPr>
        <w:t xml:space="preserve"> diagnosed as PD but with a normal SPECT scan [</w:t>
      </w:r>
      <w:proofErr w:type="spellStart"/>
      <w:r w:rsidR="001A2978" w:rsidRPr="001A2978">
        <w:rPr>
          <w:rFonts w:ascii="Arial" w:eastAsia="Arial" w:hAnsi="Arial" w:cs="Arial"/>
          <w:color w:val="000000" w:themeColor="text1"/>
          <w:sz w:val="22"/>
          <w:szCs w:val="22"/>
          <w:lang w:val="en-GB"/>
        </w:rPr>
        <w:t>eg</w:t>
      </w:r>
      <w:proofErr w:type="spellEnd"/>
      <w:r w:rsidR="001A2978" w:rsidRPr="001A2978">
        <w:rPr>
          <w:rFonts w:ascii="Arial" w:eastAsia="Arial" w:hAnsi="Arial" w:cs="Arial"/>
          <w:color w:val="000000" w:themeColor="text1"/>
          <w:sz w:val="22"/>
          <w:szCs w:val="22"/>
          <w:lang w:val="en-GB"/>
        </w:rPr>
        <w:t xml:space="preserve"> Scans Without Evidence of Dopaminergic Deficit (SWEDD)]</w:t>
      </w:r>
      <w:r w:rsidR="0074166D" w:rsidRPr="001A2978">
        <w:rPr>
          <w:rFonts w:ascii="Arial" w:eastAsia="Arial" w:hAnsi="Arial" w:cs="Arial"/>
          <w:color w:val="000000" w:themeColor="text1"/>
          <w:sz w:val="22"/>
          <w:szCs w:val="22"/>
          <w:lang w:val="en-GB"/>
        </w:rPr>
        <w:t xml:space="preserve">, </w:t>
      </w:r>
      <w:r w:rsidR="001A2978" w:rsidRPr="001A2978">
        <w:rPr>
          <w:rFonts w:ascii="Arial" w:eastAsia="Arial" w:hAnsi="Arial" w:cs="Arial"/>
          <w:color w:val="000000" w:themeColor="text1"/>
          <w:sz w:val="22"/>
          <w:szCs w:val="22"/>
          <w:lang w:val="en-GB"/>
        </w:rPr>
        <w:t xml:space="preserve">with a </w:t>
      </w:r>
      <w:r w:rsidR="0074166D" w:rsidRPr="001A2978">
        <w:rPr>
          <w:rFonts w:ascii="Arial" w:eastAsia="Arial" w:hAnsi="Arial" w:cs="Arial"/>
          <w:color w:val="000000" w:themeColor="text1"/>
          <w:sz w:val="22"/>
          <w:szCs w:val="22"/>
          <w:lang w:val="en-GB"/>
        </w:rPr>
        <w:t>clinical follow-up</w:t>
      </w:r>
      <w:r w:rsidR="001A2978" w:rsidRPr="001A2978">
        <w:rPr>
          <w:rFonts w:ascii="Arial" w:eastAsia="Arial" w:hAnsi="Arial" w:cs="Arial"/>
          <w:color w:val="000000" w:themeColor="text1"/>
          <w:sz w:val="22"/>
          <w:szCs w:val="22"/>
          <w:lang w:val="en-GB"/>
        </w:rPr>
        <w:t xml:space="preserve"> lower than 1-year</w:t>
      </w:r>
      <w:r w:rsidR="0074166D" w:rsidRPr="001A2978">
        <w:rPr>
          <w:rFonts w:ascii="Arial" w:eastAsia="Arial" w:hAnsi="Arial" w:cs="Arial"/>
          <w:color w:val="000000" w:themeColor="text1"/>
          <w:sz w:val="22"/>
          <w:szCs w:val="22"/>
          <w:lang w:val="en-GB"/>
        </w:rPr>
        <w:t>, and a neurological diagnosis of mild cognitive impairment (MCI) or dementia at baseline were excluded from the analysis.</w:t>
      </w:r>
    </w:p>
    <w:p w14:paraId="79977C46" w14:textId="77777777" w:rsidR="0074166D" w:rsidRPr="00595EF7" w:rsidRDefault="0074166D" w:rsidP="0053168E">
      <w:pPr>
        <w:spacing w:line="360" w:lineRule="auto"/>
        <w:jc w:val="both"/>
        <w:rPr>
          <w:rFonts w:ascii="Arial" w:eastAsia="Arial" w:hAnsi="Arial" w:cs="Arial"/>
          <w:b/>
          <w:color w:val="000000" w:themeColor="text1"/>
          <w:sz w:val="22"/>
          <w:szCs w:val="22"/>
          <w:lang w:val="en-GB"/>
        </w:rPr>
      </w:pPr>
    </w:p>
    <w:p w14:paraId="712C78CA" w14:textId="318ECBE9" w:rsidR="0053168E" w:rsidRPr="00595EF7" w:rsidRDefault="001257E4" w:rsidP="0053168E">
      <w:pPr>
        <w:spacing w:line="360" w:lineRule="auto"/>
        <w:jc w:val="both"/>
        <w:rPr>
          <w:rFonts w:ascii="Arial" w:eastAsia="Arial" w:hAnsi="Arial" w:cs="Arial"/>
          <w:b/>
          <w:color w:val="000000" w:themeColor="text1"/>
          <w:sz w:val="22"/>
          <w:szCs w:val="22"/>
          <w:lang w:val="en-GB"/>
        </w:rPr>
      </w:pPr>
      <w:r w:rsidRPr="00595EF7">
        <w:rPr>
          <w:rFonts w:ascii="Arial" w:eastAsia="Arial" w:hAnsi="Arial" w:cs="Arial"/>
          <w:b/>
          <w:color w:val="000000" w:themeColor="text1"/>
          <w:sz w:val="22"/>
          <w:szCs w:val="22"/>
          <w:lang w:val="en-GB"/>
        </w:rPr>
        <w:t>1.</w:t>
      </w:r>
      <w:r w:rsidR="00233112" w:rsidRPr="00595EF7">
        <w:rPr>
          <w:rFonts w:ascii="Arial" w:eastAsia="Arial" w:hAnsi="Arial" w:cs="Arial"/>
          <w:b/>
          <w:color w:val="000000" w:themeColor="text1"/>
          <w:sz w:val="22"/>
          <w:szCs w:val="22"/>
          <w:lang w:val="en-GB"/>
        </w:rPr>
        <w:t>2</w:t>
      </w:r>
      <w:r w:rsidRPr="00595EF7">
        <w:rPr>
          <w:rFonts w:ascii="Arial" w:eastAsia="Arial" w:hAnsi="Arial" w:cs="Arial"/>
          <w:b/>
          <w:color w:val="000000" w:themeColor="text1"/>
          <w:sz w:val="22"/>
          <w:szCs w:val="22"/>
          <w:lang w:val="en-GB"/>
        </w:rPr>
        <w:t xml:space="preserve"> </w:t>
      </w:r>
      <w:r w:rsidR="0053168E" w:rsidRPr="00595EF7">
        <w:rPr>
          <w:rFonts w:ascii="Arial" w:eastAsia="Arial" w:hAnsi="Arial" w:cs="Arial"/>
          <w:b/>
          <w:color w:val="000000" w:themeColor="text1"/>
          <w:sz w:val="22"/>
          <w:szCs w:val="22"/>
          <w:lang w:val="en-GB"/>
        </w:rPr>
        <w:t>Genotyping</w:t>
      </w:r>
    </w:p>
    <w:p w14:paraId="4E082FD7" w14:textId="04B5D5DE" w:rsidR="0053168E" w:rsidRPr="00595EF7" w:rsidRDefault="0053168E" w:rsidP="0053168E">
      <w:pPr>
        <w:spacing w:line="360" w:lineRule="auto"/>
        <w:jc w:val="both"/>
        <w:rPr>
          <w:rFonts w:ascii="Arial" w:eastAsia="Arial" w:hAnsi="Arial" w:cs="Arial"/>
          <w:b/>
          <w:color w:val="000000" w:themeColor="text1"/>
          <w:lang w:val="en-GB"/>
        </w:rPr>
      </w:pPr>
      <w:r w:rsidRPr="00595EF7">
        <w:rPr>
          <w:rFonts w:ascii="Arial" w:eastAsia="Arial" w:hAnsi="Arial" w:cs="Arial"/>
          <w:color w:val="000000" w:themeColor="text1"/>
          <w:sz w:val="22"/>
          <w:szCs w:val="22"/>
          <w:lang w:val="en-GB"/>
        </w:rPr>
        <w:t xml:space="preserve">Whole-exome sequencing (WES) was performed on DNA samples extracted from whole-blood collected according to the PPMI Research Biomarkers Laboratory Manual using </w:t>
      </w:r>
      <w:proofErr w:type="spellStart"/>
      <w:r w:rsidRPr="00595EF7">
        <w:rPr>
          <w:rFonts w:ascii="Arial" w:eastAsia="Arial" w:hAnsi="Arial" w:cs="Arial"/>
          <w:color w:val="000000" w:themeColor="text1"/>
          <w:sz w:val="22"/>
          <w:szCs w:val="22"/>
          <w:lang w:val="en-GB"/>
        </w:rPr>
        <w:t>Nextera</w:t>
      </w:r>
      <w:proofErr w:type="spellEnd"/>
      <w:r w:rsidRPr="00595EF7">
        <w:rPr>
          <w:rFonts w:ascii="Arial" w:eastAsia="Arial" w:hAnsi="Arial" w:cs="Arial"/>
          <w:color w:val="000000" w:themeColor="text1"/>
          <w:sz w:val="22"/>
          <w:szCs w:val="22"/>
          <w:lang w:val="en-GB"/>
        </w:rPr>
        <w:t xml:space="preserve"> Rapid Capture Exomes (Illumina) that targets 201 121 exons, untranslated regions, and miRNAs, and covers 95.3% of </w:t>
      </w:r>
      <w:proofErr w:type="spellStart"/>
      <w:r w:rsidRPr="00595EF7">
        <w:rPr>
          <w:rFonts w:ascii="Arial" w:eastAsia="Arial" w:hAnsi="Arial" w:cs="Arial"/>
          <w:color w:val="000000" w:themeColor="text1"/>
          <w:sz w:val="22"/>
          <w:szCs w:val="22"/>
          <w:lang w:val="en-GB"/>
        </w:rPr>
        <w:t>RefSeq</w:t>
      </w:r>
      <w:proofErr w:type="spellEnd"/>
      <w:r w:rsidRPr="00595EF7">
        <w:rPr>
          <w:rFonts w:ascii="Arial" w:eastAsia="Arial" w:hAnsi="Arial" w:cs="Arial"/>
          <w:color w:val="000000" w:themeColor="text1"/>
          <w:sz w:val="22"/>
          <w:szCs w:val="22"/>
          <w:lang w:val="en-GB"/>
        </w:rPr>
        <w:t xml:space="preserve"> exome from the human NCBI37/hg19 reference genome. The studies protocol was described in the PPMI Biological Products Manual (http://ppmi-info.org/study-design). Exons 1-11 of the </w:t>
      </w:r>
      <w:r w:rsidRPr="00595EF7">
        <w:rPr>
          <w:rFonts w:ascii="Arial" w:eastAsia="Arial" w:hAnsi="Arial" w:cs="Arial"/>
          <w:i/>
          <w:color w:val="000000" w:themeColor="text1"/>
          <w:sz w:val="22"/>
          <w:szCs w:val="22"/>
          <w:lang w:val="en-GB"/>
        </w:rPr>
        <w:t>GBA1</w:t>
      </w:r>
      <w:r w:rsidRPr="00595EF7">
        <w:rPr>
          <w:rFonts w:ascii="Arial" w:eastAsia="Arial" w:hAnsi="Arial" w:cs="Arial"/>
          <w:color w:val="000000" w:themeColor="text1"/>
          <w:sz w:val="22"/>
          <w:szCs w:val="22"/>
          <w:lang w:val="en-GB"/>
        </w:rPr>
        <w:t xml:space="preserve"> gene were Sanger sequenced. </w:t>
      </w:r>
      <w:r w:rsidRPr="00595EF7">
        <w:rPr>
          <w:rFonts w:ascii="Arial" w:eastAsia="Arial" w:hAnsi="Arial" w:cs="Arial"/>
          <w:i/>
          <w:color w:val="000000" w:themeColor="text1"/>
          <w:sz w:val="22"/>
          <w:szCs w:val="22"/>
          <w:lang w:val="en-GB"/>
        </w:rPr>
        <w:t>GBA1</w:t>
      </w:r>
      <w:r w:rsidRPr="00595EF7">
        <w:rPr>
          <w:rFonts w:ascii="Arial" w:eastAsia="Arial" w:hAnsi="Arial" w:cs="Arial"/>
          <w:color w:val="000000" w:themeColor="text1"/>
          <w:sz w:val="22"/>
          <w:szCs w:val="22"/>
          <w:lang w:val="en-GB"/>
        </w:rPr>
        <w:t xml:space="preserve"> variants were subdivided in the following classes:</w:t>
      </w:r>
      <w:sdt>
        <w:sdtPr>
          <w:rPr>
            <w:rFonts w:ascii="Arial" w:eastAsia="Arial" w:hAnsi="Arial" w:cs="Arial"/>
            <w:color w:val="000000"/>
            <w:sz w:val="22"/>
            <w:szCs w:val="22"/>
            <w:vertAlign w:val="superscript"/>
          </w:rPr>
          <w:tag w:val="MENDELEY_CITATION_v3_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"/>
          <w:id w:val="-1669628105"/>
          <w:placeholder>
            <w:docPart w:val="B8EC0399871E8549BA1BCEA5484BFF21"/>
          </w:placeholder>
        </w:sdtPr>
        <w:sdtContent>
          <w:r w:rsidR="00F306DA" w:rsidRPr="00F306DA">
            <w:rPr>
              <w:rFonts w:ascii="Arial" w:eastAsia="Arial" w:hAnsi="Arial" w:cs="Arial"/>
              <w:color w:val="000000"/>
              <w:sz w:val="22"/>
              <w:szCs w:val="22"/>
              <w:vertAlign w:val="superscript"/>
              <w:lang w:val="en-GB"/>
            </w:rPr>
            <w:t>2</w:t>
          </w:r>
        </w:sdtContent>
      </w:sdt>
      <w:r w:rsidRPr="00595EF7">
        <w:rPr>
          <w:rFonts w:ascii="Arial" w:eastAsia="Arial" w:hAnsi="Arial" w:cs="Arial"/>
          <w:color w:val="000000" w:themeColor="text1"/>
          <w:sz w:val="22"/>
          <w:szCs w:val="22"/>
          <w:lang w:val="en-GB"/>
        </w:rPr>
        <w:t xml:space="preserve"> </w:t>
      </w:r>
      <w:sdt>
        <w:sdtPr>
          <w:rPr>
            <w:color w:val="000000" w:themeColor="text1"/>
          </w:rPr>
          <w:tag w:val="goog_rdk_5"/>
          <w:id w:val="1901319281"/>
        </w:sdtPr>
        <w:sdtContent/>
      </w:sdt>
      <w:sdt>
        <w:sdtPr>
          <w:rPr>
            <w:color w:val="000000" w:themeColor="text1"/>
          </w:rPr>
          <w:tag w:val="goog_rdk_6"/>
          <w:id w:val="1809514573"/>
        </w:sdtPr>
        <w:sdtContent/>
      </w:sdt>
      <w:r w:rsidRPr="00595EF7">
        <w:rPr>
          <w:rFonts w:ascii="Arial" w:eastAsia="Arial" w:hAnsi="Arial" w:cs="Arial"/>
          <w:color w:val="000000" w:themeColor="text1"/>
          <w:sz w:val="22"/>
          <w:szCs w:val="22"/>
          <w:lang w:val="en-GB"/>
        </w:rPr>
        <w:t>"risk", "mild", "severe" and "unknown". Additionally, we considered the variants G2019S and R1441G in LRRK2 as pathogenic,</w:t>
      </w:r>
      <w:sdt>
        <w:sdtPr>
          <w:rPr>
            <w:rFonts w:ascii="Arial" w:eastAsia="Arial" w:hAnsi="Arial" w:cs="Arial"/>
            <w:color w:val="000000"/>
            <w:sz w:val="22"/>
            <w:szCs w:val="22"/>
            <w:vertAlign w:val="superscript"/>
            <w:lang w:val="en-GB"/>
          </w:rPr>
          <w:tag w:val="MENDELEY_CITATION_v3_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"/>
          <w:id w:val="-1392109234"/>
          <w:placeholder>
            <w:docPart w:val="3F4CA6B40127454FB4592FFE3E9D4969"/>
          </w:placeholder>
        </w:sdtPr>
        <w:sdtContent>
          <w:r w:rsidR="00F306DA" w:rsidRPr="00F306DA">
            <w:rPr>
              <w:rFonts w:ascii="Arial" w:eastAsia="Arial" w:hAnsi="Arial" w:cs="Arial"/>
              <w:color w:val="000000"/>
              <w:sz w:val="22"/>
              <w:szCs w:val="22"/>
              <w:vertAlign w:val="superscript"/>
              <w:lang w:val="en-GB"/>
            </w:rPr>
            <w:t>3</w:t>
          </w:r>
        </w:sdtContent>
      </w:sdt>
      <w:r w:rsidRPr="00595EF7">
        <w:rPr>
          <w:rFonts w:ascii="Arial" w:eastAsia="Arial" w:hAnsi="Arial" w:cs="Arial"/>
          <w:color w:val="000000" w:themeColor="text1"/>
          <w:sz w:val="22"/>
          <w:szCs w:val="22"/>
          <w:lang w:val="en-GB"/>
        </w:rPr>
        <w:t xml:space="preserve"> as classified by the PPMI Genetics Core (</w:t>
      </w:r>
      <w:r w:rsidRPr="00595EF7">
        <w:rPr>
          <w:rFonts w:ascii="Arial" w:eastAsia="Arial" w:hAnsi="Arial" w:cs="Arial"/>
          <w:b/>
          <w:color w:val="000000" w:themeColor="text1"/>
          <w:sz w:val="22"/>
          <w:szCs w:val="22"/>
          <w:lang w:val="en-GB"/>
        </w:rPr>
        <w:t>Supplementary Table 1</w:t>
      </w:r>
      <w:r w:rsidRPr="00595EF7">
        <w:rPr>
          <w:rFonts w:ascii="Arial" w:eastAsia="Arial" w:hAnsi="Arial" w:cs="Arial"/>
          <w:color w:val="000000" w:themeColor="text1"/>
          <w:sz w:val="22"/>
          <w:szCs w:val="22"/>
          <w:lang w:val="en-GB"/>
        </w:rPr>
        <w:t xml:space="preserve">).       </w:t>
      </w:r>
    </w:p>
    <w:p w14:paraId="08EFC385" w14:textId="77777777" w:rsidR="0053168E" w:rsidRPr="00595EF7" w:rsidRDefault="0053168E" w:rsidP="00CB4391">
      <w:pPr>
        <w:spacing w:line="360" w:lineRule="auto"/>
        <w:rPr>
          <w:rFonts w:ascii="Arial" w:eastAsia="Arial" w:hAnsi="Arial" w:cs="Arial"/>
          <w:b/>
          <w:color w:val="000000" w:themeColor="text1"/>
          <w:lang w:val="en-GB"/>
        </w:rPr>
      </w:pPr>
    </w:p>
    <w:p w14:paraId="61B3A51C" w14:textId="6098D6DD" w:rsidR="00D41EBB" w:rsidRPr="00595EF7" w:rsidRDefault="001257E4" w:rsidP="00CB4391">
      <w:pPr>
        <w:spacing w:line="360" w:lineRule="auto"/>
        <w:rPr>
          <w:rFonts w:ascii="Arial" w:eastAsia="Arial" w:hAnsi="Arial" w:cs="Arial"/>
          <w:b/>
          <w:color w:val="000000" w:themeColor="text1"/>
          <w:sz w:val="22"/>
          <w:szCs w:val="22"/>
          <w:vertAlign w:val="superscript"/>
          <w:lang w:val="en-GB"/>
        </w:rPr>
      </w:pPr>
      <w:r w:rsidRPr="00595EF7">
        <w:rPr>
          <w:rFonts w:ascii="Arial" w:eastAsia="Arial" w:hAnsi="Arial" w:cs="Arial"/>
          <w:b/>
          <w:color w:val="000000" w:themeColor="text1"/>
          <w:sz w:val="22"/>
          <w:szCs w:val="22"/>
          <w:lang w:val="en-GB"/>
        </w:rPr>
        <w:t>1.</w:t>
      </w:r>
      <w:r w:rsidR="00834A5C">
        <w:rPr>
          <w:rFonts w:ascii="Arial" w:eastAsia="Arial" w:hAnsi="Arial" w:cs="Arial"/>
          <w:b/>
          <w:color w:val="000000" w:themeColor="text1"/>
          <w:sz w:val="22"/>
          <w:szCs w:val="22"/>
          <w:lang w:val="en-GB"/>
        </w:rPr>
        <w:t>3</w:t>
      </w:r>
      <w:r w:rsidRPr="00595EF7">
        <w:rPr>
          <w:rFonts w:ascii="Arial" w:eastAsia="Arial" w:hAnsi="Arial" w:cs="Arial"/>
          <w:b/>
          <w:color w:val="000000" w:themeColor="text1"/>
          <w:sz w:val="22"/>
          <w:szCs w:val="22"/>
          <w:lang w:val="en-GB"/>
        </w:rPr>
        <w:t xml:space="preserve"> </w:t>
      </w:r>
      <w:r w:rsidR="00D41EBB" w:rsidRPr="00595EF7">
        <w:rPr>
          <w:rFonts w:ascii="Arial" w:eastAsia="Arial" w:hAnsi="Arial" w:cs="Arial"/>
          <w:b/>
          <w:color w:val="000000" w:themeColor="text1"/>
          <w:sz w:val="22"/>
          <w:szCs w:val="22"/>
          <w:lang w:val="en-GB"/>
        </w:rPr>
        <w:t xml:space="preserve">Clinical </w:t>
      </w:r>
      <w:r w:rsidR="00382141" w:rsidRPr="00595EF7">
        <w:rPr>
          <w:rFonts w:ascii="Arial" w:eastAsia="Arial" w:hAnsi="Arial" w:cs="Arial"/>
          <w:b/>
          <w:color w:val="000000" w:themeColor="text1"/>
          <w:sz w:val="22"/>
          <w:szCs w:val="22"/>
          <w:lang w:val="en-GB"/>
        </w:rPr>
        <w:t>assessment</w:t>
      </w:r>
      <w:r w:rsidR="00D41EBB" w:rsidRPr="00595EF7">
        <w:rPr>
          <w:rFonts w:ascii="Arial" w:eastAsia="Arial" w:hAnsi="Arial" w:cs="Arial"/>
          <w:b/>
          <w:color w:val="000000" w:themeColor="text1"/>
          <w:sz w:val="22"/>
          <w:szCs w:val="22"/>
          <w:lang w:val="en-GB"/>
        </w:rPr>
        <w:t xml:space="preserve"> at baseline</w:t>
      </w:r>
    </w:p>
    <w:p w14:paraId="3772FE14" w14:textId="1B869DC3" w:rsidR="00D41EBB" w:rsidRPr="00595EF7" w:rsidRDefault="00D41EBB" w:rsidP="00D41EBB">
      <w:pPr>
        <w:spacing w:line="360" w:lineRule="auto"/>
        <w:jc w:val="both"/>
        <w:rPr>
          <w:rFonts w:ascii="Arial" w:eastAsia="Arial" w:hAnsi="Arial" w:cs="Arial"/>
          <w:color w:val="000000" w:themeColor="text1"/>
          <w:sz w:val="22"/>
          <w:szCs w:val="22"/>
          <w:lang w:val="en-GB"/>
        </w:rPr>
      </w:pPr>
      <w:r w:rsidRPr="00595EF7">
        <w:rPr>
          <w:rFonts w:ascii="Arial" w:eastAsia="Arial" w:hAnsi="Arial" w:cs="Arial"/>
          <w:color w:val="000000" w:themeColor="text1"/>
          <w:sz w:val="22"/>
          <w:szCs w:val="22"/>
          <w:lang w:val="en-GB"/>
        </w:rPr>
        <w:t xml:space="preserve">Motor functions have been evaluated through </w:t>
      </w:r>
      <w:r w:rsidR="001257E4" w:rsidRPr="00595EF7">
        <w:rPr>
          <w:rFonts w:ascii="Arial" w:eastAsia="Arial" w:hAnsi="Arial" w:cs="Arial"/>
          <w:sz w:val="22"/>
          <w:szCs w:val="22"/>
          <w:lang w:val="en-GB"/>
        </w:rPr>
        <w:t>Movement Disorders Society - Unified Parkinson's Disease Rating Scale - Part III (</w:t>
      </w:r>
      <w:r w:rsidRPr="00595EF7">
        <w:rPr>
          <w:rFonts w:ascii="Arial" w:eastAsia="Arial" w:hAnsi="Arial" w:cs="Arial"/>
          <w:color w:val="000000" w:themeColor="text1"/>
          <w:sz w:val="22"/>
          <w:szCs w:val="22"/>
          <w:lang w:val="en-GB"/>
        </w:rPr>
        <w:t>MDS-UPDRS-III</w:t>
      </w:r>
      <w:r w:rsidR="001257E4" w:rsidRPr="00595EF7">
        <w:rPr>
          <w:rFonts w:ascii="Arial" w:eastAsia="Arial" w:hAnsi="Arial" w:cs="Arial"/>
          <w:color w:val="000000" w:themeColor="text1"/>
          <w:sz w:val="22"/>
          <w:szCs w:val="22"/>
          <w:lang w:val="en-GB"/>
        </w:rPr>
        <w:t>)</w:t>
      </w:r>
      <w:r w:rsidRPr="00595EF7">
        <w:rPr>
          <w:rFonts w:ascii="Arial" w:eastAsia="Arial" w:hAnsi="Arial" w:cs="Arial"/>
          <w:color w:val="000000" w:themeColor="text1"/>
          <w:sz w:val="22"/>
          <w:szCs w:val="22"/>
          <w:lang w:val="en-GB"/>
        </w:rPr>
        <w:t>.</w:t>
      </w:r>
      <w:sdt>
        <w:sdtPr>
          <w:rPr>
            <w:rFonts w:ascii="Arial" w:eastAsia="Arial" w:hAnsi="Arial" w:cs="Arial"/>
            <w:color w:val="000000"/>
            <w:sz w:val="22"/>
            <w:szCs w:val="22"/>
            <w:vertAlign w:val="superscript"/>
          </w:rPr>
          <w:tag w:val="MENDELEY_CITATION_v3_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"/>
          <w:id w:val="1767112255"/>
          <w:placeholder>
            <w:docPart w:val="EF1C2CFC569A534091EE1302F95DF233"/>
          </w:placeholder>
        </w:sdtPr>
        <w:sdtContent>
          <w:r w:rsidR="00F306DA" w:rsidRPr="00F306DA">
            <w:rPr>
              <w:rFonts w:ascii="Arial" w:eastAsia="Arial" w:hAnsi="Arial" w:cs="Arial"/>
              <w:color w:val="000000"/>
              <w:sz w:val="22"/>
              <w:szCs w:val="22"/>
              <w:vertAlign w:val="superscript"/>
              <w:lang w:val="en-GB"/>
            </w:rPr>
            <w:t>4</w:t>
          </w:r>
        </w:sdtContent>
      </w:sdt>
      <w:r w:rsidRPr="00595EF7">
        <w:rPr>
          <w:rFonts w:ascii="Arial" w:eastAsia="Arial" w:hAnsi="Arial" w:cs="Arial"/>
          <w:color w:val="000000" w:themeColor="text1"/>
          <w:sz w:val="22"/>
          <w:szCs w:val="22"/>
          <w:lang w:val="en-GB"/>
        </w:rPr>
        <w:t xml:space="preserve"> Levodopa equivalent daily dose (LEDD) was reported for each participant. We included total LEDD as the cumulative exposure to all dopaminergic drugs. Non-motor clinical assessments included the Rapid Eye Movement (REM) Sleep Behaviour Disorder Questionnaire (RBDSQ)</w:t>
      </w:r>
      <w:sdt>
        <w:sdtPr>
          <w:rPr>
            <w:rFonts w:ascii="Arial" w:eastAsia="Arial" w:hAnsi="Arial" w:cs="Arial"/>
            <w:color w:val="000000"/>
            <w:sz w:val="22"/>
            <w:szCs w:val="22"/>
            <w:vertAlign w:val="superscript"/>
          </w:rPr>
          <w:tag w:val="MENDELEY_CITATION_v3_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"/>
          <w:id w:val="-520617913"/>
          <w:placeholder>
            <w:docPart w:val="782F20D0BD734202A7B482E3C1933D7E"/>
          </w:placeholder>
        </w:sdtPr>
        <w:sdtContent>
          <w:r w:rsidR="00F306DA" w:rsidRPr="00F306DA">
            <w:rPr>
              <w:rFonts w:ascii="Arial" w:eastAsia="Arial" w:hAnsi="Arial" w:cs="Arial"/>
              <w:color w:val="000000"/>
              <w:sz w:val="22"/>
              <w:szCs w:val="22"/>
              <w:vertAlign w:val="superscript"/>
              <w:lang w:val="en-GB"/>
            </w:rPr>
            <w:t>5</w:t>
          </w:r>
        </w:sdtContent>
      </w:sdt>
      <w:r w:rsidRPr="00595EF7">
        <w:rPr>
          <w:color w:val="000000" w:themeColor="text1"/>
          <w:lang w:val="en-GB"/>
        </w:rPr>
        <w:t xml:space="preserve"> </w:t>
      </w:r>
      <w:r w:rsidRPr="00595EF7">
        <w:rPr>
          <w:rFonts w:ascii="Arial" w:eastAsia="Arial" w:hAnsi="Arial" w:cs="Arial"/>
          <w:color w:val="000000" w:themeColor="text1"/>
          <w:sz w:val="22"/>
          <w:szCs w:val="22"/>
          <w:lang w:val="en-GB"/>
        </w:rPr>
        <w:t>to evaluate sleep behaviour, with RBD disorders defined as score ≥ 6,</w:t>
      </w:r>
      <w:sdt>
        <w:sdtPr>
          <w:rPr>
            <w:rFonts w:ascii="Arial" w:eastAsia="Arial" w:hAnsi="Arial" w:cs="Arial"/>
            <w:color w:val="000000"/>
            <w:sz w:val="22"/>
            <w:szCs w:val="22"/>
            <w:vertAlign w:val="superscript"/>
          </w:rPr>
          <w:tag w:val="MENDELEY_CITATION_v3_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"/>
          <w:id w:val="327181903"/>
          <w:placeholder>
            <w:docPart w:val="E07E283AA960744DA9CA11D5A387E695"/>
          </w:placeholder>
        </w:sdtPr>
        <w:sdtContent>
          <w:r w:rsidR="00F306DA" w:rsidRPr="00F306DA">
            <w:rPr>
              <w:rFonts w:ascii="Arial" w:eastAsia="Arial" w:hAnsi="Arial" w:cs="Arial"/>
              <w:color w:val="000000"/>
              <w:sz w:val="22"/>
              <w:szCs w:val="22"/>
              <w:vertAlign w:val="superscript"/>
              <w:lang w:val="en-GB"/>
            </w:rPr>
            <w:t>6</w:t>
          </w:r>
        </w:sdtContent>
      </w:sdt>
      <w:r w:rsidRPr="00595EF7">
        <w:rPr>
          <w:rFonts w:ascii="Arial" w:eastAsia="Arial" w:hAnsi="Arial" w:cs="Arial"/>
          <w:color w:val="000000" w:themeColor="text1"/>
          <w:sz w:val="22"/>
          <w:szCs w:val="22"/>
          <w:lang w:val="en-GB"/>
        </w:rPr>
        <w:t xml:space="preserve"> the Scale for Outcomes in PD-Autonomic (SCOPA-AUT)</w:t>
      </w:r>
      <w:sdt>
        <w:sdtPr>
          <w:rPr>
            <w:rFonts w:ascii="Arial" w:eastAsia="Arial" w:hAnsi="Arial" w:cs="Arial"/>
            <w:color w:val="000000"/>
            <w:sz w:val="22"/>
            <w:szCs w:val="22"/>
            <w:vertAlign w:val="superscript"/>
          </w:rPr>
          <w:tag w:val="MENDELEY_CITATION_v3_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"/>
          <w:id w:val="651557759"/>
          <w:placeholder>
            <w:docPart w:val="782F20D0BD734202A7B482E3C1933D7E"/>
          </w:placeholder>
        </w:sdtPr>
        <w:sdtContent>
          <w:r w:rsidR="00F306DA" w:rsidRPr="00F306DA">
            <w:rPr>
              <w:rFonts w:ascii="Arial" w:eastAsia="Arial" w:hAnsi="Arial" w:cs="Arial"/>
              <w:color w:val="000000"/>
              <w:sz w:val="22"/>
              <w:szCs w:val="22"/>
              <w:vertAlign w:val="superscript"/>
              <w:lang w:val="en-GB"/>
            </w:rPr>
            <w:t>7</w:t>
          </w:r>
        </w:sdtContent>
      </w:sdt>
      <w:r w:rsidRPr="00595EF7">
        <w:rPr>
          <w:rFonts w:ascii="Arial" w:eastAsia="Arial" w:hAnsi="Arial" w:cs="Arial"/>
          <w:color w:val="000000" w:themeColor="text1"/>
          <w:sz w:val="22"/>
          <w:szCs w:val="22"/>
          <w:lang w:val="en-GB"/>
        </w:rPr>
        <w:t xml:space="preserve"> to explore autonomic dysfunction and the Geriatric Depression Scale (GDS)</w:t>
      </w:r>
      <w:sdt>
        <w:sdtPr>
          <w:rPr>
            <w:rFonts w:ascii="Arial" w:eastAsia="Arial" w:hAnsi="Arial" w:cs="Arial"/>
            <w:color w:val="000000"/>
            <w:sz w:val="22"/>
            <w:szCs w:val="22"/>
            <w:vertAlign w:val="superscript"/>
          </w:rPr>
          <w:tag w:val="MENDELEY_CITATION_v3_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"/>
          <w:id w:val="-1626230305"/>
          <w:placeholder>
            <w:docPart w:val="782F20D0BD734202A7B482E3C1933D7E"/>
          </w:placeholder>
        </w:sdtPr>
        <w:sdtContent>
          <w:r w:rsidR="00F306DA" w:rsidRPr="00F306DA">
            <w:rPr>
              <w:rFonts w:ascii="Arial" w:eastAsia="Arial" w:hAnsi="Arial" w:cs="Arial"/>
              <w:color w:val="000000"/>
              <w:sz w:val="22"/>
              <w:szCs w:val="22"/>
              <w:vertAlign w:val="superscript"/>
              <w:lang w:val="en-GB"/>
            </w:rPr>
            <w:t>8</w:t>
          </w:r>
        </w:sdtContent>
      </w:sdt>
      <w:r w:rsidRPr="00595EF7">
        <w:rPr>
          <w:rFonts w:ascii="Arial" w:eastAsia="Arial" w:hAnsi="Arial" w:cs="Arial"/>
          <w:color w:val="000000" w:themeColor="text1"/>
          <w:sz w:val="22"/>
          <w:szCs w:val="22"/>
          <w:lang w:val="en-GB"/>
        </w:rPr>
        <w:t xml:space="preserve"> for the assessment of depressive symptoms. Global cognition was tested with the MoCA,</w:t>
      </w:r>
      <w:sdt>
        <w:sdtPr>
          <w:rPr>
            <w:rFonts w:ascii="Arial" w:eastAsia="Arial" w:hAnsi="Arial" w:cs="Arial"/>
            <w:color w:val="000000"/>
            <w:sz w:val="22"/>
            <w:szCs w:val="22"/>
            <w:vertAlign w:val="superscript"/>
          </w:rPr>
          <w:tag w:val="MENDELEY_CITATION_v3_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"/>
          <w:id w:val="1476487592"/>
          <w:placeholder>
            <w:docPart w:val="E63E8B643B93FF4289CA3FB677C0D268"/>
          </w:placeholder>
        </w:sdtPr>
        <w:sdtContent>
          <w:r w:rsidR="00F306DA" w:rsidRPr="00F306DA">
            <w:rPr>
              <w:rFonts w:ascii="Arial" w:eastAsia="Arial" w:hAnsi="Arial" w:cs="Arial"/>
              <w:color w:val="000000"/>
              <w:sz w:val="22"/>
              <w:szCs w:val="22"/>
              <w:vertAlign w:val="superscript"/>
              <w:lang w:val="en-GB"/>
            </w:rPr>
            <w:t>9</w:t>
          </w:r>
        </w:sdtContent>
      </w:sdt>
      <w:r w:rsidRPr="00595EF7">
        <w:rPr>
          <w:rFonts w:ascii="Arial" w:eastAsia="Arial" w:hAnsi="Arial" w:cs="Arial"/>
          <w:color w:val="000000" w:themeColor="text1"/>
          <w:sz w:val="22"/>
          <w:szCs w:val="22"/>
          <w:lang w:val="en-GB"/>
        </w:rPr>
        <w:t xml:space="preserve"> adjusted for education levels. </w:t>
      </w:r>
    </w:p>
    <w:p w14:paraId="1419B970" w14:textId="377F8078" w:rsidR="00791AB6" w:rsidRPr="00595EF7" w:rsidRDefault="00D41EBB" w:rsidP="00791AB6">
      <w:pPr>
        <w:spacing w:line="360" w:lineRule="auto"/>
        <w:jc w:val="both"/>
        <w:rPr>
          <w:rFonts w:ascii="Arial" w:eastAsia="Arial" w:hAnsi="Arial" w:cs="Arial"/>
          <w:color w:val="000000" w:themeColor="text1"/>
          <w:sz w:val="22"/>
          <w:szCs w:val="22"/>
          <w:lang w:val="en-GB"/>
        </w:rPr>
      </w:pPr>
      <w:r w:rsidRPr="00595EF7">
        <w:rPr>
          <w:rFonts w:ascii="Arial" w:eastAsia="Arial" w:hAnsi="Arial" w:cs="Arial"/>
          <w:color w:val="000000" w:themeColor="text1"/>
          <w:sz w:val="22"/>
          <w:szCs w:val="22"/>
          <w:lang w:val="en-GB"/>
        </w:rPr>
        <w:t>We also collected neuropsychological measures evaluating cognitive domains usually considered particularly impaired in PD, including t-score of Hopkins Verbal Learning Test-Revised (HLVT-R)</w:t>
      </w:r>
      <w:sdt>
        <w:sdtPr>
          <w:rPr>
            <w:rFonts w:ascii="Arial" w:eastAsia="Arial" w:hAnsi="Arial" w:cs="Arial"/>
            <w:color w:val="000000"/>
            <w:sz w:val="22"/>
            <w:szCs w:val="22"/>
            <w:vertAlign w:val="superscript"/>
          </w:rPr>
          <w:tag w:val="MENDELEY_CITATION_v3_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"/>
          <w:id w:val="-183676483"/>
          <w:placeholder>
            <w:docPart w:val="782F20D0BD734202A7B482E3C1933D7E"/>
          </w:placeholder>
        </w:sdtPr>
        <w:sdtContent>
          <w:r w:rsidR="00F306DA" w:rsidRPr="00F306DA">
            <w:rPr>
              <w:rFonts w:ascii="Arial" w:eastAsia="Arial" w:hAnsi="Arial" w:cs="Arial"/>
              <w:color w:val="000000"/>
              <w:sz w:val="22"/>
              <w:szCs w:val="22"/>
              <w:vertAlign w:val="superscript"/>
              <w:lang w:val="en-GB"/>
            </w:rPr>
            <w:t>10</w:t>
          </w:r>
        </w:sdtContent>
      </w:sdt>
      <w:r w:rsidRPr="00595EF7">
        <w:rPr>
          <w:rFonts w:ascii="Arial" w:eastAsia="Arial" w:hAnsi="Arial" w:cs="Arial"/>
          <w:color w:val="000000" w:themeColor="text1"/>
          <w:sz w:val="22"/>
          <w:szCs w:val="22"/>
          <w:lang w:val="en-GB"/>
        </w:rPr>
        <w:t xml:space="preserve"> [for total recall, delayed recall, retention and recognition-discrimination], to assess memory; scores corrected for age and education of the Benton Judgment of Line Orientation (BJLO) 15-item version, to assess visuospatial function;</w:t>
      </w:r>
      <w:sdt>
        <w:sdtPr>
          <w:rPr>
            <w:rFonts w:ascii="Arial" w:eastAsia="Arial" w:hAnsi="Arial" w:cs="Arial"/>
            <w:color w:val="000000"/>
            <w:sz w:val="22"/>
            <w:szCs w:val="22"/>
            <w:vertAlign w:val="superscript"/>
          </w:rPr>
          <w:tag w:val="MENDELEY_CITATION_v3_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"/>
          <w:id w:val="-329062516"/>
          <w:placeholder>
            <w:docPart w:val="0516E880F26DF9438E76DC2F9656E254"/>
          </w:placeholder>
        </w:sdtPr>
        <w:sdtContent>
          <w:r w:rsidR="00F306DA" w:rsidRPr="00F306DA">
            <w:rPr>
              <w:rFonts w:ascii="Arial" w:eastAsia="Arial" w:hAnsi="Arial" w:cs="Arial"/>
              <w:color w:val="000000"/>
              <w:sz w:val="22"/>
              <w:szCs w:val="22"/>
              <w:vertAlign w:val="superscript"/>
              <w:lang w:val="en-GB"/>
            </w:rPr>
            <w:t>11</w:t>
          </w:r>
        </w:sdtContent>
      </w:sdt>
      <w:r w:rsidRPr="00595EF7">
        <w:rPr>
          <w:rFonts w:ascii="Arial" w:eastAsia="Arial" w:hAnsi="Arial" w:cs="Arial"/>
          <w:color w:val="000000" w:themeColor="text1"/>
          <w:sz w:val="22"/>
          <w:szCs w:val="22"/>
          <w:lang w:val="en-GB"/>
        </w:rPr>
        <w:t xml:space="preserve"> and the scaled scores of Letter-Number Sequencing (LNS)</w:t>
      </w:r>
      <w:sdt>
        <w:sdtPr>
          <w:rPr>
            <w:rFonts w:ascii="Arial" w:eastAsia="Arial" w:hAnsi="Arial" w:cs="Arial"/>
            <w:color w:val="000000"/>
            <w:sz w:val="22"/>
            <w:szCs w:val="22"/>
            <w:vertAlign w:val="superscript"/>
          </w:rPr>
          <w:tag w:val="MENDELEY_CITATION_v3_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"/>
          <w:id w:val="-976141889"/>
          <w:placeholder>
            <w:docPart w:val="782F20D0BD734202A7B482E3C1933D7E"/>
          </w:placeholder>
        </w:sdtPr>
        <w:sdtContent>
          <w:r w:rsidR="00F306DA" w:rsidRPr="00F306DA">
            <w:rPr>
              <w:rFonts w:ascii="Arial" w:eastAsia="Arial" w:hAnsi="Arial" w:cs="Arial"/>
              <w:color w:val="000000"/>
              <w:sz w:val="22"/>
              <w:szCs w:val="22"/>
              <w:vertAlign w:val="superscript"/>
              <w:lang w:val="en-GB"/>
            </w:rPr>
            <w:t>12</w:t>
          </w:r>
        </w:sdtContent>
      </w:sdt>
      <w:r w:rsidRPr="00595EF7">
        <w:rPr>
          <w:rFonts w:ascii="Arial" w:eastAsia="Arial" w:hAnsi="Arial" w:cs="Arial"/>
          <w:color w:val="000000" w:themeColor="text1"/>
          <w:sz w:val="22"/>
          <w:szCs w:val="22"/>
          <w:lang w:val="en-GB"/>
        </w:rPr>
        <w:t xml:space="preserve"> and t-score of semantic fluency,</w:t>
      </w:r>
      <w:sdt>
        <w:sdtPr>
          <w:rPr>
            <w:rFonts w:ascii="Arial" w:eastAsia="Arial" w:hAnsi="Arial" w:cs="Arial"/>
            <w:color w:val="000000"/>
            <w:sz w:val="22"/>
            <w:szCs w:val="22"/>
            <w:vertAlign w:val="superscript"/>
          </w:rPr>
          <w:tag w:val="MENDELEY_CITATION_v3_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"/>
          <w:id w:val="598988892"/>
          <w:placeholder>
            <w:docPart w:val="782F20D0BD734202A7B482E3C1933D7E"/>
          </w:placeholder>
        </w:sdtPr>
        <w:sdtContent>
          <w:r w:rsidR="00F306DA" w:rsidRPr="00F306DA">
            <w:rPr>
              <w:rFonts w:ascii="Arial" w:eastAsia="Arial" w:hAnsi="Arial" w:cs="Arial"/>
              <w:color w:val="000000"/>
              <w:sz w:val="22"/>
              <w:szCs w:val="22"/>
              <w:vertAlign w:val="superscript"/>
              <w:lang w:val="en-GB"/>
            </w:rPr>
            <w:t>13</w:t>
          </w:r>
        </w:sdtContent>
      </w:sdt>
      <w:r w:rsidRPr="00595EF7">
        <w:rPr>
          <w:rFonts w:ascii="Arial" w:eastAsia="Arial" w:hAnsi="Arial" w:cs="Arial"/>
          <w:color w:val="000000" w:themeColor="text1"/>
          <w:sz w:val="22"/>
          <w:szCs w:val="22"/>
          <w:lang w:val="en-GB"/>
        </w:rPr>
        <w:t xml:space="preserve"> to assess executive skills and working memory. </w:t>
      </w:r>
    </w:p>
    <w:p w14:paraId="5D7C92FC" w14:textId="77777777" w:rsidR="00233112" w:rsidRPr="00595EF7" w:rsidRDefault="00233112" w:rsidP="00791AB6">
      <w:pPr>
        <w:spacing w:line="360" w:lineRule="auto"/>
        <w:jc w:val="both"/>
        <w:rPr>
          <w:rFonts w:ascii="Arial" w:eastAsia="Arial" w:hAnsi="Arial" w:cs="Arial"/>
          <w:b/>
          <w:color w:val="000000" w:themeColor="text1"/>
          <w:sz w:val="22"/>
          <w:szCs w:val="22"/>
          <w:lang w:val="en-GB"/>
        </w:rPr>
      </w:pPr>
    </w:p>
    <w:p w14:paraId="4CCFADDA" w14:textId="77777777" w:rsidR="00233112" w:rsidRPr="00595EF7" w:rsidRDefault="00233112" w:rsidP="00791AB6">
      <w:pPr>
        <w:spacing w:line="360" w:lineRule="auto"/>
        <w:jc w:val="both"/>
        <w:rPr>
          <w:rFonts w:ascii="Arial" w:eastAsia="Arial" w:hAnsi="Arial" w:cs="Arial"/>
          <w:b/>
          <w:color w:val="000000" w:themeColor="text1"/>
          <w:sz w:val="22"/>
          <w:szCs w:val="22"/>
          <w:lang w:val="en-GB"/>
        </w:rPr>
      </w:pPr>
    </w:p>
    <w:p w14:paraId="2C4E6823" w14:textId="2675D115" w:rsidR="00CB4391" w:rsidRPr="00595EF7" w:rsidRDefault="001257E4" w:rsidP="00791AB6">
      <w:pPr>
        <w:spacing w:line="360" w:lineRule="auto"/>
        <w:jc w:val="both"/>
        <w:rPr>
          <w:rFonts w:ascii="Arial" w:eastAsia="Arial" w:hAnsi="Arial" w:cs="Arial"/>
          <w:color w:val="000000" w:themeColor="text1"/>
          <w:sz w:val="22"/>
          <w:szCs w:val="22"/>
          <w:lang w:val="en-GB"/>
        </w:rPr>
      </w:pPr>
      <w:r w:rsidRPr="00595EF7">
        <w:rPr>
          <w:rFonts w:ascii="Arial" w:eastAsia="Arial" w:hAnsi="Arial" w:cs="Arial"/>
          <w:b/>
          <w:color w:val="000000" w:themeColor="text1"/>
          <w:sz w:val="22"/>
          <w:szCs w:val="22"/>
          <w:lang w:val="en-GB"/>
        </w:rPr>
        <w:t>1.</w:t>
      </w:r>
      <w:r w:rsidR="00834A5C">
        <w:rPr>
          <w:rFonts w:ascii="Arial" w:eastAsia="Arial" w:hAnsi="Arial" w:cs="Arial"/>
          <w:b/>
          <w:color w:val="000000" w:themeColor="text1"/>
          <w:sz w:val="22"/>
          <w:szCs w:val="22"/>
          <w:lang w:val="en-GB"/>
        </w:rPr>
        <w:t>4</w:t>
      </w:r>
      <w:r w:rsidRPr="00595EF7">
        <w:rPr>
          <w:rFonts w:ascii="Arial" w:eastAsia="Arial" w:hAnsi="Arial" w:cs="Arial"/>
          <w:b/>
          <w:color w:val="000000" w:themeColor="text1"/>
          <w:sz w:val="22"/>
          <w:szCs w:val="22"/>
          <w:lang w:val="en-GB"/>
        </w:rPr>
        <w:t xml:space="preserve"> </w:t>
      </w:r>
      <w:r w:rsidR="00CB4391" w:rsidRPr="00595EF7">
        <w:rPr>
          <w:rFonts w:ascii="Arial" w:eastAsia="Arial" w:hAnsi="Arial" w:cs="Arial"/>
          <w:b/>
          <w:color w:val="000000" w:themeColor="text1"/>
          <w:sz w:val="22"/>
          <w:szCs w:val="22"/>
          <w:vertAlign w:val="superscript"/>
          <w:lang w:val="en-GB"/>
        </w:rPr>
        <w:t>123</w:t>
      </w:r>
      <w:r w:rsidR="00CB4391" w:rsidRPr="00595EF7">
        <w:rPr>
          <w:rFonts w:ascii="Arial" w:eastAsia="Arial" w:hAnsi="Arial" w:cs="Arial"/>
          <w:b/>
          <w:color w:val="000000" w:themeColor="text1"/>
          <w:sz w:val="22"/>
          <w:szCs w:val="22"/>
          <w:lang w:val="en-GB"/>
        </w:rPr>
        <w:t>I-FP-CIT-SPECT acquisition and preprocessing</w:t>
      </w:r>
    </w:p>
    <w:p w14:paraId="56FDD816" w14:textId="7917A071" w:rsidR="00CB4391" w:rsidRPr="00595EF7" w:rsidRDefault="00CB4391" w:rsidP="00CB4391">
      <w:pPr>
        <w:spacing w:line="360" w:lineRule="auto"/>
        <w:jc w:val="both"/>
        <w:rPr>
          <w:rFonts w:ascii="Arial" w:eastAsia="Arial" w:hAnsi="Arial" w:cs="Arial"/>
          <w:color w:val="000000" w:themeColor="text1"/>
          <w:sz w:val="22"/>
          <w:szCs w:val="22"/>
          <w:lang w:val="en-GB"/>
        </w:rPr>
      </w:pPr>
      <w:bookmarkStart w:id="0" w:name="_heading=h.gjdgxs" w:colFirst="0" w:colLast="0"/>
      <w:bookmarkEnd w:id="0"/>
      <w:r w:rsidRPr="00595EF7">
        <w:rPr>
          <w:rFonts w:ascii="Arial" w:eastAsia="Arial" w:hAnsi="Arial" w:cs="Arial"/>
          <w:color w:val="000000" w:themeColor="text1"/>
          <w:sz w:val="22"/>
          <w:szCs w:val="22"/>
          <w:lang w:val="en-GB"/>
        </w:rPr>
        <w:t xml:space="preserve">We retrieved reconstructed imaging data related to </w:t>
      </w:r>
      <w:r w:rsidRPr="00595EF7">
        <w:rPr>
          <w:rFonts w:ascii="Arial" w:eastAsia="Arial" w:hAnsi="Arial" w:cs="Arial"/>
          <w:color w:val="000000" w:themeColor="text1"/>
          <w:sz w:val="22"/>
          <w:szCs w:val="22"/>
          <w:vertAlign w:val="superscript"/>
          <w:lang w:val="en-GB"/>
        </w:rPr>
        <w:t>123</w:t>
      </w:r>
      <w:r w:rsidRPr="00595EF7">
        <w:rPr>
          <w:rFonts w:ascii="Arial" w:eastAsia="Arial" w:hAnsi="Arial" w:cs="Arial"/>
          <w:color w:val="000000" w:themeColor="text1"/>
          <w:sz w:val="22"/>
          <w:szCs w:val="22"/>
          <w:lang w:val="en-GB"/>
        </w:rPr>
        <w:t>I-FP-CIT-SPECT</w:t>
      </w:r>
      <w:r w:rsidRPr="00595EF7">
        <w:rPr>
          <w:rFonts w:ascii="Arial" w:eastAsia="Arial" w:hAnsi="Arial" w:cs="Arial"/>
          <w:b/>
          <w:color w:val="000000" w:themeColor="text1"/>
          <w:sz w:val="22"/>
          <w:szCs w:val="22"/>
          <w:lang w:val="en-GB"/>
        </w:rPr>
        <w:t xml:space="preserve"> </w:t>
      </w:r>
      <w:r w:rsidRPr="00595EF7">
        <w:rPr>
          <w:rFonts w:ascii="Arial" w:eastAsia="Arial" w:hAnsi="Arial" w:cs="Arial"/>
          <w:color w:val="000000" w:themeColor="text1"/>
          <w:sz w:val="22"/>
          <w:szCs w:val="22"/>
          <w:lang w:val="en-GB"/>
        </w:rPr>
        <w:t xml:space="preserve">from the PPMI website. Images were acquired using Siemens or General Electric SPECT tomographs, approximately 3-4 hours after administration of the </w:t>
      </w:r>
      <w:r w:rsidRPr="00595EF7">
        <w:rPr>
          <w:rFonts w:ascii="Arial" w:eastAsia="Arial" w:hAnsi="Arial" w:cs="Arial"/>
          <w:color w:val="000000" w:themeColor="text1"/>
          <w:sz w:val="22"/>
          <w:szCs w:val="22"/>
          <w:vertAlign w:val="superscript"/>
          <w:lang w:val="en-GB"/>
        </w:rPr>
        <w:t>123</w:t>
      </w:r>
      <w:r w:rsidRPr="00595EF7">
        <w:rPr>
          <w:rFonts w:ascii="Arial" w:eastAsia="Arial" w:hAnsi="Arial" w:cs="Arial"/>
          <w:color w:val="000000" w:themeColor="text1"/>
          <w:sz w:val="22"/>
          <w:szCs w:val="22"/>
          <w:lang w:val="en-GB"/>
        </w:rPr>
        <w:t>I-FP-CIT tracer. The imaging protocol used for PPMI scans has been previously described</w:t>
      </w:r>
      <w:sdt>
        <w:sdtPr>
          <w:rPr>
            <w:rFonts w:ascii="Arial" w:eastAsia="Arial" w:hAnsi="Arial" w:cs="Arial"/>
            <w:color w:val="000000"/>
            <w:sz w:val="22"/>
            <w:szCs w:val="22"/>
            <w:vertAlign w:val="superscript"/>
          </w:rPr>
          <w:tag w:val="MENDELEY_CITATION_v3_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"/>
          <w:id w:val="-628013421"/>
          <w:placeholder>
            <w:docPart w:val="C660B6E7644444508D3BA60292E73839"/>
          </w:placeholder>
        </w:sdtPr>
        <w:sdtContent>
          <w:r w:rsidR="00F306DA" w:rsidRPr="00F306DA">
            <w:rPr>
              <w:rFonts w:ascii="Arial" w:eastAsia="Arial" w:hAnsi="Arial" w:cs="Arial"/>
              <w:color w:val="000000"/>
              <w:sz w:val="22"/>
              <w:szCs w:val="22"/>
              <w:vertAlign w:val="superscript"/>
              <w:lang w:val="en-GB"/>
            </w:rPr>
            <w:t>14,15</w:t>
          </w:r>
        </w:sdtContent>
      </w:sdt>
      <w:r w:rsidRPr="00595EF7">
        <w:rPr>
          <w:rFonts w:ascii="Arial" w:eastAsia="Arial" w:hAnsi="Arial" w:cs="Arial"/>
          <w:color w:val="000000" w:themeColor="text1"/>
          <w:sz w:val="22"/>
          <w:szCs w:val="22"/>
          <w:lang w:val="en-GB"/>
        </w:rPr>
        <w:t>.</w:t>
      </w:r>
    </w:p>
    <w:p w14:paraId="6357A7DF" w14:textId="5EDA5982" w:rsidR="00CB4391" w:rsidRPr="00595EF7" w:rsidRDefault="00CB4391" w:rsidP="00CB4391">
      <w:pPr>
        <w:spacing w:line="360" w:lineRule="auto"/>
        <w:jc w:val="both"/>
        <w:rPr>
          <w:rFonts w:ascii="Arial" w:eastAsia="Arial" w:hAnsi="Arial" w:cs="Arial"/>
          <w:color w:val="000000" w:themeColor="text1"/>
          <w:sz w:val="22"/>
          <w:szCs w:val="22"/>
          <w:lang w:val="en-GB"/>
        </w:rPr>
      </w:pPr>
      <w:r w:rsidRPr="00595EF7">
        <w:rPr>
          <w:rFonts w:ascii="Arial" w:eastAsia="Arial" w:hAnsi="Arial" w:cs="Arial"/>
          <w:color w:val="000000" w:themeColor="text1"/>
          <w:sz w:val="22"/>
          <w:szCs w:val="22"/>
          <w:lang w:val="en-GB"/>
        </w:rPr>
        <w:t xml:space="preserve">Preprocessing of SPECT brain images was conducted using Statistical Parametric Mapping software (SPM12, </w:t>
      </w:r>
      <w:proofErr w:type="spellStart"/>
      <w:r w:rsidRPr="00595EF7">
        <w:rPr>
          <w:rFonts w:ascii="Arial" w:eastAsia="Arial" w:hAnsi="Arial" w:cs="Arial"/>
          <w:color w:val="000000" w:themeColor="text1"/>
          <w:sz w:val="22"/>
          <w:szCs w:val="22"/>
          <w:lang w:val="en-GB"/>
        </w:rPr>
        <w:t>Wellcome</w:t>
      </w:r>
      <w:proofErr w:type="spellEnd"/>
      <w:r w:rsidRPr="00595EF7">
        <w:rPr>
          <w:rFonts w:ascii="Arial" w:eastAsia="Arial" w:hAnsi="Arial" w:cs="Arial"/>
          <w:color w:val="000000" w:themeColor="text1"/>
          <w:sz w:val="22"/>
          <w:szCs w:val="22"/>
          <w:lang w:val="en-GB"/>
        </w:rPr>
        <w:t xml:space="preserve"> Trust Centre for Neuroimaging, London, UK, available at: https://www.fil.ion.ucl.ac.uk/spm/), run with MATLAB R2022b (MathWorks Inc., Sherborn, MA, USA). First, each image was spatially normalised to a high-resolution </w:t>
      </w:r>
      <w:r w:rsidRPr="00595EF7">
        <w:rPr>
          <w:rFonts w:ascii="Arial" w:eastAsia="Arial" w:hAnsi="Arial" w:cs="Arial"/>
          <w:color w:val="000000" w:themeColor="text1"/>
          <w:sz w:val="22"/>
          <w:szCs w:val="22"/>
          <w:vertAlign w:val="superscript"/>
          <w:lang w:val="en-GB"/>
        </w:rPr>
        <w:t>18</w:t>
      </w:r>
      <w:r w:rsidRPr="00595EF7">
        <w:rPr>
          <w:rFonts w:ascii="Arial" w:eastAsia="Arial" w:hAnsi="Arial" w:cs="Arial"/>
          <w:color w:val="000000" w:themeColor="text1"/>
          <w:sz w:val="22"/>
          <w:szCs w:val="22"/>
          <w:lang w:val="en-GB"/>
        </w:rPr>
        <w:t>F-DOPA template (http://www.nitrc.org/projects/spmtemplates)</w:t>
      </w:r>
      <w:sdt>
        <w:sdtPr>
          <w:rPr>
            <w:rFonts w:ascii="Arial" w:eastAsia="Arial" w:hAnsi="Arial" w:cs="Arial"/>
            <w:color w:val="000000"/>
            <w:sz w:val="22"/>
            <w:szCs w:val="22"/>
            <w:vertAlign w:val="superscript"/>
          </w:rPr>
          <w:tag w:val="MENDELEY_CITATION_v3_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"/>
          <w:id w:val="-1471129678"/>
          <w:placeholder>
            <w:docPart w:val="C660B6E7644444508D3BA60292E73839"/>
          </w:placeholder>
        </w:sdtPr>
        <w:sdtContent>
          <w:r w:rsidR="00F306DA" w:rsidRPr="00F306DA">
            <w:rPr>
              <w:rFonts w:ascii="Arial" w:eastAsia="Arial" w:hAnsi="Arial" w:cs="Arial"/>
              <w:color w:val="000000"/>
              <w:sz w:val="22"/>
              <w:szCs w:val="22"/>
              <w:vertAlign w:val="superscript"/>
              <w:lang w:val="en-GB"/>
            </w:rPr>
            <w:t>15</w:t>
          </w:r>
        </w:sdtContent>
      </w:sdt>
      <w:r w:rsidRPr="00595EF7">
        <w:rPr>
          <w:rFonts w:ascii="Arial" w:eastAsia="Arial" w:hAnsi="Arial" w:cs="Arial"/>
          <w:color w:val="000000" w:themeColor="text1"/>
          <w:sz w:val="22"/>
          <w:szCs w:val="22"/>
          <w:lang w:val="en-GB"/>
        </w:rPr>
        <w:t xml:space="preserve"> using the old normalise function in SPM12.  Parametric binding potentials were generated for each subject and voxel-wise using the Image Calculator (</w:t>
      </w:r>
      <w:proofErr w:type="spellStart"/>
      <w:r w:rsidRPr="00595EF7">
        <w:rPr>
          <w:rFonts w:ascii="Arial" w:eastAsia="Arial" w:hAnsi="Arial" w:cs="Arial"/>
          <w:color w:val="000000" w:themeColor="text1"/>
          <w:sz w:val="22"/>
          <w:szCs w:val="22"/>
          <w:lang w:val="en-GB"/>
        </w:rPr>
        <w:t>ImCalc</w:t>
      </w:r>
      <w:proofErr w:type="spellEnd"/>
      <w:r w:rsidRPr="00595EF7">
        <w:rPr>
          <w:rFonts w:ascii="Arial" w:eastAsia="Arial" w:hAnsi="Arial" w:cs="Arial"/>
          <w:color w:val="000000" w:themeColor="text1"/>
          <w:sz w:val="22"/>
          <w:szCs w:val="22"/>
          <w:lang w:val="en-GB"/>
        </w:rPr>
        <w:t>) function in SPM12. The superior lateral occipital cortex was considered as the reference background region</w:t>
      </w:r>
      <w:sdt>
        <w:sdtPr>
          <w:rPr>
            <w:rFonts w:ascii="Arial" w:eastAsia="Arial" w:hAnsi="Arial" w:cs="Arial"/>
            <w:color w:val="000000"/>
            <w:sz w:val="22"/>
            <w:szCs w:val="22"/>
            <w:vertAlign w:val="superscript"/>
          </w:rPr>
          <w:tag w:val="MENDELEY_CITATION_v3_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"/>
          <w:id w:val="-875385343"/>
          <w:placeholder>
            <w:docPart w:val="C660B6E7644444508D3BA60292E73839"/>
          </w:placeholder>
        </w:sdtPr>
        <w:sdtContent>
          <w:r w:rsidR="00F306DA" w:rsidRPr="00F306DA">
            <w:rPr>
              <w:rFonts w:ascii="Arial" w:eastAsia="Arial" w:hAnsi="Arial" w:cs="Arial"/>
              <w:color w:val="000000"/>
              <w:sz w:val="22"/>
              <w:szCs w:val="22"/>
              <w:vertAlign w:val="superscript"/>
              <w:lang w:val="en-GB"/>
            </w:rPr>
            <w:t>16</w:t>
          </w:r>
        </w:sdtContent>
      </w:sdt>
      <w:r w:rsidRPr="00595EF7">
        <w:rPr>
          <w:rFonts w:ascii="Arial" w:eastAsia="Arial" w:hAnsi="Arial" w:cs="Arial"/>
          <w:color w:val="000000" w:themeColor="text1"/>
          <w:sz w:val="22"/>
          <w:szCs w:val="22"/>
          <w:lang w:val="en-GB"/>
        </w:rPr>
        <w:t>.</w:t>
      </w:r>
    </w:p>
    <w:p w14:paraId="34CFF4B9" w14:textId="26A354E5" w:rsidR="00CB4391" w:rsidRPr="00595EF7" w:rsidRDefault="00CB4391" w:rsidP="00CB4391">
      <w:pPr>
        <w:spacing w:line="360" w:lineRule="auto"/>
        <w:jc w:val="both"/>
        <w:rPr>
          <w:rFonts w:ascii="Arial" w:eastAsia="Arial" w:hAnsi="Arial" w:cs="Arial"/>
          <w:color w:val="000000" w:themeColor="text1"/>
          <w:sz w:val="22"/>
          <w:szCs w:val="22"/>
          <w:lang w:val="en-GB"/>
        </w:rPr>
      </w:pPr>
      <w:r w:rsidRPr="00595EF7">
        <w:rPr>
          <w:rFonts w:ascii="Arial" w:eastAsia="Arial" w:hAnsi="Arial" w:cs="Arial"/>
          <w:color w:val="000000" w:themeColor="text1"/>
          <w:sz w:val="22"/>
          <w:szCs w:val="22"/>
          <w:lang w:val="en-GB"/>
        </w:rPr>
        <w:t>Calculation of the asymmetry index (AI) was conducted following the standard formula, as described</w:t>
      </w:r>
      <w:sdt>
        <w:sdtPr>
          <w:rPr>
            <w:rFonts w:ascii="Arial" w:eastAsia="Arial" w:hAnsi="Arial" w:cs="Arial"/>
            <w:color w:val="000000"/>
            <w:sz w:val="22"/>
            <w:szCs w:val="22"/>
            <w:vertAlign w:val="superscript"/>
          </w:rPr>
          <w:tag w:val="MENDELEY_CITATION_v3_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"/>
          <w:id w:val="-1546983647"/>
          <w:placeholder>
            <w:docPart w:val="C660B6E7644444508D3BA60292E73839"/>
          </w:placeholder>
        </w:sdtPr>
        <w:sdtContent>
          <w:r w:rsidR="00F306DA" w:rsidRPr="00F306DA">
            <w:rPr>
              <w:rFonts w:ascii="Arial" w:eastAsia="Arial" w:hAnsi="Arial" w:cs="Arial"/>
              <w:color w:val="000000"/>
              <w:sz w:val="22"/>
              <w:szCs w:val="22"/>
              <w:vertAlign w:val="superscript"/>
              <w:lang w:val="en-GB"/>
            </w:rPr>
            <w:t>16</w:t>
          </w:r>
        </w:sdtContent>
      </w:sdt>
      <w:r w:rsidRPr="00595EF7">
        <w:rPr>
          <w:rFonts w:ascii="Arial" w:eastAsia="Arial" w:hAnsi="Arial" w:cs="Arial"/>
          <w:color w:val="000000" w:themeColor="text1"/>
          <w:sz w:val="22"/>
          <w:szCs w:val="22"/>
          <w:lang w:val="en-GB"/>
        </w:rPr>
        <w:t xml:space="preserve">. </w:t>
      </w:r>
    </w:p>
    <w:p w14:paraId="73F4DA3F" w14:textId="77777777" w:rsidR="00CB4391" w:rsidRPr="00595EF7" w:rsidRDefault="00CB4391">
      <w:pPr>
        <w:rPr>
          <w:rFonts w:ascii="Arial" w:hAnsi="Arial" w:cs="Arial"/>
          <w:b/>
          <w:lang w:val="en-GB"/>
        </w:rPr>
      </w:pPr>
    </w:p>
    <w:p w14:paraId="43B90700" w14:textId="77777777" w:rsidR="00CB4391" w:rsidRPr="00595EF7" w:rsidRDefault="00CB4391">
      <w:pPr>
        <w:rPr>
          <w:rFonts w:ascii="Arial" w:hAnsi="Arial" w:cs="Arial"/>
          <w:b/>
          <w:lang w:val="en-GB"/>
        </w:rPr>
      </w:pPr>
    </w:p>
    <w:p w14:paraId="61ED2DA7" w14:textId="70DA1625" w:rsidR="000228EE" w:rsidRDefault="001257E4" w:rsidP="001257E4">
      <w:pPr>
        <w:rPr>
          <w:rFonts w:ascii="Arial" w:eastAsia="Arial" w:hAnsi="Arial" w:cs="Arial"/>
          <w:b/>
          <w:color w:val="000000" w:themeColor="text1"/>
          <w:lang w:val="en-GB"/>
        </w:rPr>
      </w:pPr>
      <w:r w:rsidRPr="00595EF7">
        <w:rPr>
          <w:rFonts w:ascii="Arial" w:eastAsia="Arial" w:hAnsi="Arial" w:cs="Arial"/>
          <w:b/>
          <w:color w:val="000000" w:themeColor="text1"/>
          <w:lang w:val="en-GB"/>
        </w:rPr>
        <w:t>2. Sensitivity analysis</w:t>
      </w:r>
    </w:p>
    <w:p w14:paraId="37E67D4F" w14:textId="77777777" w:rsidR="001257E4" w:rsidRPr="001257E4" w:rsidRDefault="001257E4" w:rsidP="001257E4">
      <w:pPr>
        <w:rPr>
          <w:rFonts w:ascii="Arial" w:eastAsia="Arial" w:hAnsi="Arial" w:cs="Arial"/>
          <w:b/>
          <w:color w:val="000000" w:themeColor="text1"/>
          <w:lang w:val="en-GB"/>
        </w:rPr>
      </w:pPr>
    </w:p>
    <w:p w14:paraId="022799D8" w14:textId="04AD82A9" w:rsidR="00D6763E" w:rsidRPr="008D4712" w:rsidRDefault="00000000">
      <w:pPr>
        <w:spacing w:line="360" w:lineRule="auto"/>
        <w:jc w:val="both"/>
        <w:rPr>
          <w:rFonts w:ascii="Arial" w:hAnsi="Arial" w:cs="Arial"/>
          <w:sz w:val="22"/>
          <w:szCs w:val="22"/>
          <w:lang w:val="en-GB"/>
        </w:rPr>
      </w:pPr>
      <w:r w:rsidRPr="008D4712">
        <w:rPr>
          <w:rFonts w:ascii="Arial" w:hAnsi="Arial" w:cs="Arial"/>
          <w:sz w:val="22"/>
          <w:szCs w:val="22"/>
          <w:lang w:val="en-GB"/>
        </w:rPr>
        <w:t xml:space="preserve">During the 13-year follow-up period, not all the 560 subjects included in the study completed all control assessments regularly. Additionally, only 255 subjects (out of 560, or 45.5%) had a follow-up of at least 9 years. To assess the potential impact of data censoring bias on cognitive impairment progression, we chose to repeat the Cox Survival analysis on a subset of subjects with a follow-up limited to 3 years. Our primary objective was to improve the precision and reliability of risk estimations associated with cognitive impairment by effectively managing observation duration and minimizing bias resulting from data censoring. We choose a 3-year follow-up to maximize the number of subjects included in our analysis. Therefore, we identified a representative subgroup of 440 subjects (out of 560, or 78%), as detailed in </w:t>
      </w:r>
      <w:r w:rsidRPr="008D4712">
        <w:rPr>
          <w:rFonts w:ascii="Arial" w:hAnsi="Arial" w:cs="Arial"/>
          <w:b/>
          <w:sz w:val="22"/>
          <w:szCs w:val="22"/>
          <w:lang w:val="en-GB"/>
        </w:rPr>
        <w:t xml:space="preserve">Supplementary Table </w:t>
      </w:r>
      <w:r w:rsidR="00727819">
        <w:rPr>
          <w:rFonts w:ascii="Arial" w:hAnsi="Arial" w:cs="Arial"/>
          <w:b/>
          <w:sz w:val="22"/>
          <w:szCs w:val="22"/>
          <w:lang w:val="en-GB"/>
        </w:rPr>
        <w:t>3</w:t>
      </w:r>
      <w:r w:rsidR="00834A5C">
        <w:rPr>
          <w:rFonts w:ascii="Arial" w:hAnsi="Arial" w:cs="Arial"/>
          <w:b/>
          <w:sz w:val="22"/>
          <w:szCs w:val="22"/>
          <w:lang w:val="en-GB"/>
        </w:rPr>
        <w:t xml:space="preserve"> </w:t>
      </w:r>
      <w:r w:rsidRPr="008D4712">
        <w:rPr>
          <w:rFonts w:ascii="Arial" w:hAnsi="Arial" w:cs="Arial"/>
          <w:b/>
          <w:sz w:val="22"/>
          <w:szCs w:val="22"/>
          <w:lang w:val="en-GB"/>
        </w:rPr>
        <w:t>-</w:t>
      </w:r>
      <w:r w:rsidR="00834A5C">
        <w:rPr>
          <w:rFonts w:ascii="Arial" w:hAnsi="Arial" w:cs="Arial"/>
          <w:b/>
          <w:sz w:val="22"/>
          <w:szCs w:val="22"/>
          <w:lang w:val="en-GB"/>
        </w:rPr>
        <w:t xml:space="preserve"> </w:t>
      </w:r>
      <w:r w:rsidR="00727819">
        <w:rPr>
          <w:rFonts w:ascii="Arial" w:hAnsi="Arial" w:cs="Arial"/>
          <w:b/>
          <w:sz w:val="22"/>
          <w:szCs w:val="22"/>
          <w:lang w:val="en-GB"/>
        </w:rPr>
        <w:t>4</w:t>
      </w:r>
      <w:r w:rsidRPr="008D4712">
        <w:rPr>
          <w:rFonts w:ascii="Arial" w:hAnsi="Arial" w:cs="Arial"/>
          <w:sz w:val="22"/>
          <w:szCs w:val="22"/>
          <w:lang w:val="en-GB"/>
        </w:rPr>
        <w:t>, who exhibited clinical profiles like the broader population.</w:t>
      </w:r>
      <w:r w:rsidR="00D6763E" w:rsidRPr="008D4712">
        <w:rPr>
          <w:rFonts w:ascii="Arial" w:hAnsi="Arial" w:cs="Arial"/>
          <w:sz w:val="22"/>
          <w:szCs w:val="22"/>
          <w:lang w:val="en-GB"/>
        </w:rPr>
        <w:t xml:space="preserve"> We re-run the same analysis by excluding PD patients carrying LRRK2 mutations (</w:t>
      </w:r>
      <w:r w:rsidR="00D6763E" w:rsidRPr="008D4712">
        <w:rPr>
          <w:rFonts w:ascii="Arial" w:hAnsi="Arial" w:cs="Arial"/>
          <w:b/>
          <w:sz w:val="22"/>
          <w:szCs w:val="22"/>
          <w:lang w:val="en-GB"/>
        </w:rPr>
        <w:t xml:space="preserve">Supplementary Table </w:t>
      </w:r>
      <w:r w:rsidR="00727819">
        <w:rPr>
          <w:rFonts w:ascii="Arial" w:hAnsi="Arial" w:cs="Arial"/>
          <w:b/>
          <w:sz w:val="22"/>
          <w:szCs w:val="22"/>
          <w:lang w:val="en-GB"/>
        </w:rPr>
        <w:t>5</w:t>
      </w:r>
      <w:r w:rsidR="00D6763E" w:rsidRPr="008D4712">
        <w:rPr>
          <w:rFonts w:ascii="Arial" w:hAnsi="Arial" w:cs="Arial"/>
          <w:sz w:val="22"/>
          <w:szCs w:val="22"/>
          <w:lang w:val="en-GB"/>
        </w:rPr>
        <w:t xml:space="preserve">). </w:t>
      </w:r>
    </w:p>
    <w:p w14:paraId="2A0C6573" w14:textId="2BDE22CF" w:rsidR="000228EE" w:rsidRPr="00CB4391" w:rsidRDefault="00000000">
      <w:pPr>
        <w:spacing w:line="360" w:lineRule="auto"/>
        <w:jc w:val="both"/>
        <w:rPr>
          <w:rFonts w:ascii="Arial" w:hAnsi="Arial" w:cs="Arial"/>
          <w:lang w:val="en-GB"/>
        </w:rPr>
      </w:pPr>
      <w:r w:rsidRPr="008D4712">
        <w:rPr>
          <w:rFonts w:ascii="Arial" w:hAnsi="Arial" w:cs="Arial"/>
          <w:sz w:val="22"/>
          <w:szCs w:val="22"/>
          <w:lang w:val="en-GB"/>
        </w:rPr>
        <w:t xml:space="preserve">The Cox Survival model was adjusted for age, disease duration, education </w:t>
      </w:r>
      <w:r w:rsidR="00D6763E" w:rsidRPr="008D4712">
        <w:rPr>
          <w:rFonts w:ascii="Arial" w:hAnsi="Arial" w:cs="Arial"/>
          <w:sz w:val="22"/>
          <w:szCs w:val="22"/>
          <w:lang w:val="en-GB"/>
        </w:rPr>
        <w:t xml:space="preserve">and MDS-UPDRS-III scores </w:t>
      </w:r>
      <w:r w:rsidRPr="008D4712">
        <w:rPr>
          <w:rFonts w:ascii="Arial" w:hAnsi="Arial" w:cs="Arial"/>
          <w:sz w:val="22"/>
          <w:szCs w:val="22"/>
          <w:lang w:val="en-GB"/>
        </w:rPr>
        <w:t xml:space="preserve">at baseline. The risks associated with sex, </w:t>
      </w:r>
      <w:r w:rsidRPr="008D4712">
        <w:rPr>
          <w:rFonts w:ascii="Arial" w:hAnsi="Arial" w:cs="Arial"/>
          <w:i/>
          <w:iCs/>
          <w:sz w:val="22"/>
          <w:szCs w:val="22"/>
          <w:lang w:val="en-GB"/>
        </w:rPr>
        <w:t>GBA</w:t>
      </w:r>
      <w:r w:rsidR="008D4712" w:rsidRPr="008D4712">
        <w:rPr>
          <w:rFonts w:ascii="Arial" w:hAnsi="Arial" w:cs="Arial"/>
          <w:i/>
          <w:iCs/>
          <w:sz w:val="22"/>
          <w:szCs w:val="22"/>
          <w:lang w:val="en-GB"/>
        </w:rPr>
        <w:t>1</w:t>
      </w:r>
      <w:r w:rsidR="008D4712">
        <w:rPr>
          <w:rFonts w:ascii="Arial" w:hAnsi="Arial" w:cs="Arial"/>
          <w:sz w:val="22"/>
          <w:szCs w:val="22"/>
          <w:lang w:val="en-GB"/>
        </w:rPr>
        <w:t xml:space="preserve"> positivity</w:t>
      </w:r>
      <w:r w:rsidRPr="008D4712">
        <w:rPr>
          <w:rFonts w:ascii="Arial" w:hAnsi="Arial" w:cs="Arial"/>
          <w:sz w:val="22"/>
          <w:szCs w:val="22"/>
          <w:lang w:val="en-GB"/>
        </w:rPr>
        <w:t>, age at symptoms onset (AAO), and their interaction showed similar results than what we found in the Cox model performed in the broader population (</w:t>
      </w:r>
      <w:r w:rsidRPr="008D4712">
        <w:rPr>
          <w:rFonts w:ascii="Arial" w:hAnsi="Arial" w:cs="Arial"/>
          <w:b/>
          <w:sz w:val="22"/>
          <w:szCs w:val="22"/>
          <w:lang w:val="en-GB"/>
        </w:rPr>
        <w:t xml:space="preserve">Supplemental Table </w:t>
      </w:r>
      <w:r w:rsidR="00727819">
        <w:rPr>
          <w:rFonts w:ascii="Arial" w:hAnsi="Arial" w:cs="Arial"/>
          <w:b/>
          <w:sz w:val="22"/>
          <w:szCs w:val="22"/>
          <w:lang w:val="en-GB"/>
        </w:rPr>
        <w:t>6</w:t>
      </w:r>
      <w:r w:rsidRPr="008D4712">
        <w:rPr>
          <w:rFonts w:ascii="Arial" w:hAnsi="Arial" w:cs="Arial"/>
          <w:sz w:val="22"/>
          <w:szCs w:val="22"/>
          <w:lang w:val="en-GB"/>
        </w:rPr>
        <w:t>). Therefore, it is unlikely that the associations we reported are substantially impacted by data censoring</w:t>
      </w:r>
      <w:r w:rsidR="00670E5E" w:rsidRPr="008D4712">
        <w:rPr>
          <w:rFonts w:ascii="Arial" w:hAnsi="Arial" w:cs="Arial"/>
          <w:sz w:val="22"/>
          <w:szCs w:val="22"/>
          <w:lang w:val="en-GB"/>
        </w:rPr>
        <w:t xml:space="preserve"> and presence of LRRK2 mutations</w:t>
      </w:r>
      <w:r w:rsidRPr="00CB4391">
        <w:rPr>
          <w:rFonts w:ascii="Arial" w:hAnsi="Arial" w:cs="Arial"/>
          <w:lang w:val="en-GB"/>
        </w:rPr>
        <w:t>.</w:t>
      </w:r>
    </w:p>
    <w:p w14:paraId="389CADE4" w14:textId="77777777" w:rsidR="000228EE" w:rsidRPr="00CB4391" w:rsidRDefault="000228EE">
      <w:pPr>
        <w:rPr>
          <w:rFonts w:ascii="Arial" w:hAnsi="Arial" w:cs="Arial"/>
          <w:sz w:val="22"/>
          <w:szCs w:val="22"/>
          <w:lang w:val="en-GB"/>
        </w:rPr>
      </w:pPr>
    </w:p>
    <w:p w14:paraId="0FF4717C" w14:textId="2163951E" w:rsidR="000D198B" w:rsidRDefault="000D198B">
      <w:pPr>
        <w:rPr>
          <w:rFonts w:ascii="Arial" w:hAnsi="Arial" w:cs="Arial"/>
          <w:b/>
          <w:sz w:val="22"/>
          <w:szCs w:val="22"/>
          <w:lang w:val="en-GB"/>
        </w:rPr>
      </w:pPr>
    </w:p>
    <w:p w14:paraId="6D2D23CE" w14:textId="77777777" w:rsidR="001257E4" w:rsidRDefault="001257E4">
      <w:pPr>
        <w:rPr>
          <w:rFonts w:ascii="Arial" w:hAnsi="Arial" w:cs="Arial"/>
          <w:b/>
          <w:sz w:val="22"/>
          <w:szCs w:val="22"/>
          <w:lang w:val="en-GB"/>
        </w:rPr>
      </w:pPr>
    </w:p>
    <w:p w14:paraId="223533DA" w14:textId="77777777" w:rsidR="001257E4" w:rsidRDefault="001257E4">
      <w:pPr>
        <w:rPr>
          <w:rFonts w:ascii="Arial" w:hAnsi="Arial" w:cs="Arial"/>
          <w:b/>
          <w:sz w:val="22"/>
          <w:szCs w:val="22"/>
          <w:lang w:val="en-GB"/>
        </w:rPr>
      </w:pPr>
    </w:p>
    <w:p w14:paraId="68ADEA60" w14:textId="77777777" w:rsidR="001257E4" w:rsidRDefault="001257E4">
      <w:pPr>
        <w:rPr>
          <w:rFonts w:ascii="Arial" w:hAnsi="Arial" w:cs="Arial"/>
          <w:b/>
          <w:sz w:val="22"/>
          <w:szCs w:val="22"/>
          <w:lang w:val="en-GB"/>
        </w:rPr>
      </w:pPr>
    </w:p>
    <w:p w14:paraId="5F553A06" w14:textId="6E12F780" w:rsidR="000228EE" w:rsidRPr="00834A5C" w:rsidRDefault="000D198B">
      <w:pPr>
        <w:rPr>
          <w:rFonts w:ascii="Arial" w:hAnsi="Arial" w:cs="Arial"/>
          <w:bCs/>
          <w:sz w:val="40"/>
          <w:szCs w:val="40"/>
          <w:lang w:val="en-GB"/>
        </w:rPr>
      </w:pPr>
      <w:r w:rsidRPr="00834A5C">
        <w:rPr>
          <w:rFonts w:ascii="Arial" w:hAnsi="Arial" w:cs="Arial"/>
          <w:bCs/>
          <w:sz w:val="40"/>
          <w:szCs w:val="40"/>
          <w:lang w:val="en-GB"/>
        </w:rPr>
        <w:t>Reference</w:t>
      </w:r>
    </w:p>
    <w:p w14:paraId="6524ECE6" w14:textId="77777777" w:rsidR="00C778BF" w:rsidRPr="00C778BF" w:rsidRDefault="00C778BF">
      <w:pPr>
        <w:rPr>
          <w:rFonts w:ascii="Arial" w:hAnsi="Arial" w:cs="Arial"/>
          <w:bCs/>
          <w:sz w:val="36"/>
          <w:szCs w:val="36"/>
          <w:lang w:val="en-GB"/>
        </w:rPr>
      </w:pPr>
    </w:p>
    <w:sdt>
      <w:sdtPr>
        <w:rPr>
          <w:rFonts w:ascii="Arial" w:hAnsi="Arial" w:cs="Arial"/>
          <w:b/>
          <w:sz w:val="22"/>
          <w:szCs w:val="22"/>
          <w:lang w:val="en-GB"/>
        </w:rPr>
        <w:tag w:val="MENDELEY_BIBLIOGRAPHY"/>
        <w:id w:val="1012330655"/>
        <w:placeholder>
          <w:docPart w:val="DefaultPlaceholder_-1854013440"/>
        </w:placeholder>
      </w:sdtPr>
      <w:sdtContent>
        <w:p w14:paraId="527FEF4F" w14:textId="77777777" w:rsidR="00F306DA" w:rsidRDefault="00F306DA">
          <w:pPr>
            <w:autoSpaceDE w:val="0"/>
            <w:autoSpaceDN w:val="0"/>
            <w:ind w:hanging="640"/>
            <w:divId w:val="291130899"/>
          </w:pPr>
          <w:r>
            <w:t>1.</w:t>
          </w:r>
          <w:r>
            <w:tab/>
            <w:t xml:space="preserve">Berg, D. </w:t>
          </w:r>
          <w:r>
            <w:rPr>
              <w:i/>
              <w:iCs/>
            </w:rPr>
            <w:t>et al.</w:t>
          </w:r>
          <w:r>
            <w:t xml:space="preserve"> MDS research criteria for prodromal Parkinson’s disease. </w:t>
          </w:r>
          <w:r>
            <w:rPr>
              <w:i/>
              <w:iCs/>
            </w:rPr>
            <w:t>Movement Disorders</w:t>
          </w:r>
          <w:r>
            <w:t xml:space="preserve"> </w:t>
          </w:r>
          <w:r>
            <w:rPr>
              <w:b/>
              <w:bCs/>
            </w:rPr>
            <w:t>30</w:t>
          </w:r>
          <w:r>
            <w:t>, 1600–1611 (2015).</w:t>
          </w:r>
        </w:p>
        <w:p w14:paraId="110C7C59" w14:textId="77777777" w:rsidR="00F306DA" w:rsidRDefault="00F306DA">
          <w:pPr>
            <w:autoSpaceDE w:val="0"/>
            <w:autoSpaceDN w:val="0"/>
            <w:ind w:hanging="640"/>
            <w:divId w:val="2143040401"/>
          </w:pPr>
          <w:r>
            <w:t>2.</w:t>
          </w:r>
          <w:r>
            <w:tab/>
            <w:t xml:space="preserve">Petrucci, S. </w:t>
          </w:r>
          <w:r>
            <w:rPr>
              <w:i/>
              <w:iCs/>
            </w:rPr>
            <w:t>et al.</w:t>
          </w:r>
          <w:r>
            <w:t xml:space="preserve"> GBA‐Related Parkinson’s Disease: Dissection of Genotype–Phenotype Correlates in a Large Italian Cohort. </w:t>
          </w:r>
          <w:r>
            <w:rPr>
              <w:i/>
              <w:iCs/>
            </w:rPr>
            <w:t>Movement Disorders</w:t>
          </w:r>
          <w:r>
            <w:t xml:space="preserve"> </w:t>
          </w:r>
          <w:r>
            <w:rPr>
              <w:b/>
              <w:bCs/>
            </w:rPr>
            <w:t>35</w:t>
          </w:r>
          <w:r>
            <w:t>, 2106–2111 (2020).</w:t>
          </w:r>
        </w:p>
        <w:p w14:paraId="270B2339" w14:textId="77777777" w:rsidR="00F306DA" w:rsidRDefault="00F306DA">
          <w:pPr>
            <w:autoSpaceDE w:val="0"/>
            <w:autoSpaceDN w:val="0"/>
            <w:ind w:hanging="640"/>
            <w:divId w:val="1138835004"/>
          </w:pPr>
          <w:r>
            <w:t>3.</w:t>
          </w:r>
          <w:r>
            <w:tab/>
            <w:t xml:space="preserve">Merchant, K. M. </w:t>
          </w:r>
          <w:r>
            <w:rPr>
              <w:i/>
              <w:iCs/>
            </w:rPr>
            <w:t>et al.</w:t>
          </w:r>
          <w:r>
            <w:t xml:space="preserve"> LRRK2 and GBA1 variant carriers have higher urinary bis(monacylglycerol) phosphate concentrations in PPMI cohorts. </w:t>
          </w:r>
          <w:r>
            <w:rPr>
              <w:i/>
              <w:iCs/>
            </w:rPr>
            <w:t>NPJ Parkinsons Dis</w:t>
          </w:r>
          <w:r>
            <w:t xml:space="preserve"> </w:t>
          </w:r>
          <w:r>
            <w:rPr>
              <w:b/>
              <w:bCs/>
            </w:rPr>
            <w:t>9</w:t>
          </w:r>
          <w:r>
            <w:t>, 30 (2023).</w:t>
          </w:r>
        </w:p>
        <w:p w14:paraId="715300B8" w14:textId="77777777" w:rsidR="00F306DA" w:rsidRDefault="00F306DA">
          <w:pPr>
            <w:autoSpaceDE w:val="0"/>
            <w:autoSpaceDN w:val="0"/>
            <w:ind w:hanging="640"/>
            <w:divId w:val="815226729"/>
          </w:pPr>
          <w:r>
            <w:t>4.</w:t>
          </w:r>
          <w:r>
            <w:tab/>
            <w:t xml:space="preserve">Goetz, C. G. </w:t>
          </w:r>
          <w:r>
            <w:rPr>
              <w:i/>
              <w:iCs/>
            </w:rPr>
            <w:t>et al.</w:t>
          </w:r>
          <w:r>
            <w:t xml:space="preserve"> Movement Disorder Society‐sponsored revision of the Unified Parkinson’s Disease Rating Scale (MDS‐UPDRS): Scale presentation and clinimetric testing results. </w:t>
          </w:r>
          <w:r>
            <w:rPr>
              <w:i/>
              <w:iCs/>
            </w:rPr>
            <w:t>Movement Disorders</w:t>
          </w:r>
          <w:r>
            <w:t xml:space="preserve"> </w:t>
          </w:r>
          <w:r>
            <w:rPr>
              <w:b/>
              <w:bCs/>
            </w:rPr>
            <w:t>23</w:t>
          </w:r>
          <w:r>
            <w:t>, 2129–2170 (2008).</w:t>
          </w:r>
        </w:p>
        <w:p w14:paraId="184F89D5" w14:textId="77777777" w:rsidR="00F306DA" w:rsidRDefault="00F306DA">
          <w:pPr>
            <w:autoSpaceDE w:val="0"/>
            <w:autoSpaceDN w:val="0"/>
            <w:ind w:hanging="640"/>
            <w:divId w:val="2072191956"/>
          </w:pPr>
          <w:r>
            <w:t>5.</w:t>
          </w:r>
          <w:r>
            <w:tab/>
            <w:t xml:space="preserve">Stiasny-Kolster, K. </w:t>
          </w:r>
          <w:r>
            <w:rPr>
              <w:i/>
              <w:iCs/>
            </w:rPr>
            <w:t>et al.</w:t>
          </w:r>
          <w:r>
            <w:t xml:space="preserve"> The REM sleep behavior disorder screening questionnaire--a new diagnostic instrument. </w:t>
          </w:r>
          <w:r>
            <w:rPr>
              <w:i/>
              <w:iCs/>
            </w:rPr>
            <w:t>Mov Disord</w:t>
          </w:r>
          <w:r>
            <w:t xml:space="preserve"> </w:t>
          </w:r>
          <w:r>
            <w:rPr>
              <w:b/>
              <w:bCs/>
            </w:rPr>
            <w:t>22</w:t>
          </w:r>
          <w:r>
            <w:t>, 2386–93 (2007).</w:t>
          </w:r>
        </w:p>
        <w:p w14:paraId="3E6774F0" w14:textId="77777777" w:rsidR="00F306DA" w:rsidRDefault="00F306DA">
          <w:pPr>
            <w:autoSpaceDE w:val="0"/>
            <w:autoSpaceDN w:val="0"/>
            <w:ind w:hanging="640"/>
            <w:divId w:val="699471707"/>
          </w:pPr>
          <w:r>
            <w:t>6.</w:t>
          </w:r>
          <w:r>
            <w:tab/>
            <w:t xml:space="preserve">Rolinski, M. </w:t>
          </w:r>
          <w:r>
            <w:rPr>
              <w:i/>
              <w:iCs/>
            </w:rPr>
            <w:t>et al.</w:t>
          </w:r>
          <w:r>
            <w:t xml:space="preserve"> REM sleep behaviour disorder is associated with worse quality of life and other non-motor features in early Parkinson’s disease. </w:t>
          </w:r>
          <w:r>
            <w:rPr>
              <w:i/>
              <w:iCs/>
            </w:rPr>
            <w:t>J Neurol Neurosurg Psychiatry</w:t>
          </w:r>
          <w:r>
            <w:t xml:space="preserve"> </w:t>
          </w:r>
          <w:r>
            <w:rPr>
              <w:b/>
              <w:bCs/>
            </w:rPr>
            <w:t>85</w:t>
          </w:r>
          <w:r>
            <w:t>, 560–566 (2014).</w:t>
          </w:r>
        </w:p>
        <w:p w14:paraId="21FDFCBF" w14:textId="77777777" w:rsidR="00F306DA" w:rsidRDefault="00F306DA">
          <w:pPr>
            <w:autoSpaceDE w:val="0"/>
            <w:autoSpaceDN w:val="0"/>
            <w:ind w:hanging="640"/>
            <w:divId w:val="1287539549"/>
          </w:pPr>
          <w:r>
            <w:t>7.</w:t>
          </w:r>
          <w:r>
            <w:tab/>
            <w:t xml:space="preserve">Visser, M., Marinus, J., Stiggelbout, A. M. &amp; Van Hilten, J. J. Assessment of autonomic dysfunction in Parkinson’s disease: the SCOPA-AUT. </w:t>
          </w:r>
          <w:r>
            <w:rPr>
              <w:i/>
              <w:iCs/>
            </w:rPr>
            <w:t>Mov Disord</w:t>
          </w:r>
          <w:r>
            <w:t xml:space="preserve"> </w:t>
          </w:r>
          <w:r>
            <w:rPr>
              <w:b/>
              <w:bCs/>
            </w:rPr>
            <w:t>19</w:t>
          </w:r>
          <w:r>
            <w:t>, 1306–12 (2004).</w:t>
          </w:r>
        </w:p>
        <w:p w14:paraId="27D5F1E5" w14:textId="77777777" w:rsidR="00F306DA" w:rsidRDefault="00F306DA">
          <w:pPr>
            <w:autoSpaceDE w:val="0"/>
            <w:autoSpaceDN w:val="0"/>
            <w:ind w:hanging="640"/>
            <w:divId w:val="859978631"/>
          </w:pPr>
          <w:r>
            <w:t>8.</w:t>
          </w:r>
          <w:r>
            <w:tab/>
            <w:t xml:space="preserve">Yesavage, J. A. &amp; Sheikh, J. I. 9/Geriatric Depression Scale (GDS). </w:t>
          </w:r>
          <w:r>
            <w:rPr>
              <w:i/>
              <w:iCs/>
            </w:rPr>
            <w:t>Clin Gerontol</w:t>
          </w:r>
          <w:r>
            <w:t xml:space="preserve"> </w:t>
          </w:r>
          <w:r>
            <w:rPr>
              <w:b/>
              <w:bCs/>
            </w:rPr>
            <w:t>5</w:t>
          </w:r>
          <w:r>
            <w:t>, 165–173 (1986).</w:t>
          </w:r>
        </w:p>
        <w:p w14:paraId="55ADB51B" w14:textId="77777777" w:rsidR="00F306DA" w:rsidRDefault="00F306DA">
          <w:pPr>
            <w:autoSpaceDE w:val="0"/>
            <w:autoSpaceDN w:val="0"/>
            <w:ind w:hanging="640"/>
            <w:divId w:val="5251216"/>
          </w:pPr>
          <w:r>
            <w:t>9.</w:t>
          </w:r>
          <w:r>
            <w:tab/>
            <w:t xml:space="preserve">Nasreddine, Z. S. </w:t>
          </w:r>
          <w:r>
            <w:rPr>
              <w:i/>
              <w:iCs/>
            </w:rPr>
            <w:t>et al.</w:t>
          </w:r>
          <w:r>
            <w:t xml:space="preserve"> The Montreal Cognitive Assessment, MoCA: a brief screening tool for mild cognitive impairment. </w:t>
          </w:r>
          <w:r>
            <w:rPr>
              <w:i/>
              <w:iCs/>
            </w:rPr>
            <w:t>J Am Geriatr Soc</w:t>
          </w:r>
          <w:r>
            <w:t xml:space="preserve"> </w:t>
          </w:r>
          <w:r>
            <w:rPr>
              <w:b/>
              <w:bCs/>
            </w:rPr>
            <w:t>53</w:t>
          </w:r>
          <w:r>
            <w:t>, 695–9 (2005).</w:t>
          </w:r>
        </w:p>
        <w:p w14:paraId="0409C1A0" w14:textId="77777777" w:rsidR="00F306DA" w:rsidRDefault="00F306DA">
          <w:pPr>
            <w:autoSpaceDE w:val="0"/>
            <w:autoSpaceDN w:val="0"/>
            <w:ind w:hanging="640"/>
            <w:divId w:val="758869727"/>
          </w:pPr>
          <w:r>
            <w:t>10.</w:t>
          </w:r>
          <w:r>
            <w:tab/>
            <w:t xml:space="preserve">Benedict, R. H. B., Schretlen, D., Groninger, L. &amp; Brandt, J. Hopkins Verbal Learning Test – Revised: Normative Data and Analysis of Inter-Form and Test-Retest Reliability. </w:t>
          </w:r>
          <w:r>
            <w:rPr>
              <w:i/>
              <w:iCs/>
            </w:rPr>
            <w:t>Clin Neuropsychol</w:t>
          </w:r>
          <w:r>
            <w:t xml:space="preserve"> </w:t>
          </w:r>
          <w:r>
            <w:rPr>
              <w:b/>
              <w:bCs/>
            </w:rPr>
            <w:t>12</w:t>
          </w:r>
          <w:r>
            <w:t>, 43–55 (1998).</w:t>
          </w:r>
        </w:p>
        <w:p w14:paraId="0555D16C" w14:textId="77777777" w:rsidR="00F306DA" w:rsidRDefault="00F306DA">
          <w:pPr>
            <w:autoSpaceDE w:val="0"/>
            <w:autoSpaceDN w:val="0"/>
            <w:ind w:hanging="640"/>
            <w:divId w:val="2024285548"/>
          </w:pPr>
          <w:r>
            <w:t>11.</w:t>
          </w:r>
          <w:r>
            <w:tab/>
            <w:t xml:space="preserve">Qualls, C. E., Bliwise, N. G. &amp; Stringer, A. Y. Short forms of the Benton Judgment of Line Orientation Test: development and psychometric properties. </w:t>
          </w:r>
          <w:r>
            <w:rPr>
              <w:i/>
              <w:iCs/>
            </w:rPr>
            <w:t>Arch Clin Neuropsychol</w:t>
          </w:r>
          <w:r>
            <w:t xml:space="preserve"> </w:t>
          </w:r>
          <w:r>
            <w:rPr>
              <w:b/>
              <w:bCs/>
            </w:rPr>
            <w:t>15</w:t>
          </w:r>
          <w:r>
            <w:t>, 159–63 (2000).</w:t>
          </w:r>
        </w:p>
        <w:p w14:paraId="484FDBD9" w14:textId="77777777" w:rsidR="00F306DA" w:rsidRDefault="00F306DA">
          <w:pPr>
            <w:autoSpaceDE w:val="0"/>
            <w:autoSpaceDN w:val="0"/>
            <w:ind w:hanging="640"/>
            <w:divId w:val="1082797171"/>
          </w:pPr>
          <w:r>
            <w:t>12.</w:t>
          </w:r>
          <w:r>
            <w:tab/>
            <w:t xml:space="preserve">Wechsler D. Wechsler adult intelligence scale. </w:t>
          </w:r>
          <w:r>
            <w:rPr>
              <w:i/>
              <w:iCs/>
            </w:rPr>
            <w:t>4th edn. San Antonio, TX: Psychological Corporation</w:t>
          </w:r>
          <w:r>
            <w:t xml:space="preserve"> (2008).</w:t>
          </w:r>
        </w:p>
        <w:p w14:paraId="3AB1F5D7" w14:textId="77777777" w:rsidR="00F306DA" w:rsidRDefault="00F306DA">
          <w:pPr>
            <w:autoSpaceDE w:val="0"/>
            <w:autoSpaceDN w:val="0"/>
            <w:ind w:hanging="640"/>
            <w:divId w:val="770009545"/>
          </w:pPr>
          <w:r>
            <w:t>13.</w:t>
          </w:r>
          <w:r>
            <w:tab/>
            <w:t xml:space="preserve">Gladsjo, J. A. </w:t>
          </w:r>
          <w:r>
            <w:rPr>
              <w:i/>
              <w:iCs/>
            </w:rPr>
            <w:t>et al.</w:t>
          </w:r>
          <w:r>
            <w:t xml:space="preserve"> Norms for letter and category fluency: demographic corrections for age, education, and ethnicity. </w:t>
          </w:r>
          <w:r>
            <w:rPr>
              <w:i/>
              <w:iCs/>
            </w:rPr>
            <w:t>Assessment</w:t>
          </w:r>
          <w:r>
            <w:t xml:space="preserve"> </w:t>
          </w:r>
          <w:r>
            <w:rPr>
              <w:b/>
              <w:bCs/>
            </w:rPr>
            <w:t>6</w:t>
          </w:r>
          <w:r>
            <w:t>, 147–78 (1999).</w:t>
          </w:r>
        </w:p>
        <w:p w14:paraId="5831030F" w14:textId="77777777" w:rsidR="00F306DA" w:rsidRDefault="00F306DA">
          <w:pPr>
            <w:autoSpaceDE w:val="0"/>
            <w:autoSpaceDN w:val="0"/>
            <w:ind w:hanging="640"/>
            <w:divId w:val="586809724"/>
          </w:pPr>
          <w:r>
            <w:t>14.</w:t>
          </w:r>
          <w:r>
            <w:tab/>
            <w:t xml:space="preserve">Parkinson Progression Marker Initiative. The Parkinson Progression Marker Initiative (PPMI). </w:t>
          </w:r>
          <w:r>
            <w:rPr>
              <w:i/>
              <w:iCs/>
            </w:rPr>
            <w:t>Prog Neurobiol</w:t>
          </w:r>
          <w:r>
            <w:t xml:space="preserve"> </w:t>
          </w:r>
          <w:r>
            <w:rPr>
              <w:b/>
              <w:bCs/>
            </w:rPr>
            <w:t>95</w:t>
          </w:r>
          <w:r>
            <w:t>, 629–35 (2011).</w:t>
          </w:r>
        </w:p>
        <w:p w14:paraId="6B4F3B00" w14:textId="77777777" w:rsidR="00F306DA" w:rsidRDefault="00F306DA">
          <w:pPr>
            <w:autoSpaceDE w:val="0"/>
            <w:autoSpaceDN w:val="0"/>
            <w:ind w:hanging="640"/>
            <w:divId w:val="914320609"/>
          </w:pPr>
          <w:r>
            <w:t>15.</w:t>
          </w:r>
          <w:r>
            <w:tab/>
            <w:t xml:space="preserve">Marek, K. </w:t>
          </w:r>
          <w:r>
            <w:rPr>
              <w:i/>
              <w:iCs/>
            </w:rPr>
            <w:t>et al.</w:t>
          </w:r>
          <w:r>
            <w:t xml:space="preserve"> The Parkinson’s progression markers initiative (PPMI) – establishing a PD biomarker cohort. </w:t>
          </w:r>
          <w:r>
            <w:rPr>
              <w:i/>
              <w:iCs/>
            </w:rPr>
            <w:t>Ann Clin Transl Neurol</w:t>
          </w:r>
          <w:r>
            <w:t xml:space="preserve"> </w:t>
          </w:r>
          <w:r>
            <w:rPr>
              <w:b/>
              <w:bCs/>
            </w:rPr>
            <w:t>5</w:t>
          </w:r>
          <w:r>
            <w:t>, 1460–1477 (2018).</w:t>
          </w:r>
        </w:p>
        <w:p w14:paraId="5997660F" w14:textId="77777777" w:rsidR="00F306DA" w:rsidRDefault="00F306DA">
          <w:pPr>
            <w:autoSpaceDE w:val="0"/>
            <w:autoSpaceDN w:val="0"/>
            <w:ind w:hanging="640"/>
            <w:divId w:val="1252740328"/>
          </w:pPr>
          <w:r>
            <w:t>16.</w:t>
          </w:r>
          <w:r>
            <w:tab/>
            <w:t xml:space="preserve">Caminiti, S. P. </w:t>
          </w:r>
          <w:r>
            <w:rPr>
              <w:i/>
              <w:iCs/>
            </w:rPr>
            <w:t>et al.</w:t>
          </w:r>
          <w:r>
            <w:t xml:space="preserve"> Dopaminergic connectivity reconfiguration in the dementia with Lewy bodies continuum. </w:t>
          </w:r>
          <w:r>
            <w:rPr>
              <w:i/>
              <w:iCs/>
            </w:rPr>
            <w:t>Parkinsonism Relat Disord</w:t>
          </w:r>
          <w:r>
            <w:t xml:space="preserve"> </w:t>
          </w:r>
          <w:r>
            <w:rPr>
              <w:b/>
              <w:bCs/>
            </w:rPr>
            <w:t>108</w:t>
          </w:r>
          <w:r>
            <w:t>, 105288 (2023).</w:t>
          </w:r>
        </w:p>
        <w:p w14:paraId="0394D260" w14:textId="20333F6B" w:rsidR="000D198B" w:rsidRPr="00CB4391" w:rsidRDefault="00F306DA">
          <w:pPr>
            <w:rPr>
              <w:rFonts w:ascii="Arial" w:hAnsi="Arial" w:cs="Arial"/>
              <w:b/>
              <w:sz w:val="22"/>
              <w:szCs w:val="22"/>
              <w:lang w:val="en-GB"/>
            </w:rPr>
          </w:pPr>
          <w:r>
            <w:t> </w:t>
          </w:r>
        </w:p>
      </w:sdtContent>
    </w:sdt>
    <w:p w14:paraId="2FB24D82" w14:textId="77777777" w:rsidR="000228EE" w:rsidRPr="00CB4391" w:rsidRDefault="000228EE">
      <w:pPr>
        <w:rPr>
          <w:rFonts w:ascii="Arial" w:hAnsi="Arial" w:cs="Arial"/>
          <w:b/>
          <w:sz w:val="22"/>
          <w:szCs w:val="22"/>
          <w:lang w:val="en-GB"/>
        </w:rPr>
      </w:pPr>
    </w:p>
    <w:p w14:paraId="66543530" w14:textId="77777777" w:rsidR="000228EE" w:rsidRPr="00CB4391" w:rsidRDefault="000228EE">
      <w:pPr>
        <w:rPr>
          <w:rFonts w:ascii="Arial" w:hAnsi="Arial" w:cs="Arial"/>
          <w:b/>
          <w:sz w:val="22"/>
          <w:szCs w:val="22"/>
          <w:lang w:val="en-GB"/>
        </w:rPr>
      </w:pPr>
    </w:p>
    <w:p w14:paraId="6897D1C6" w14:textId="77777777" w:rsidR="008D4712" w:rsidRDefault="008D4712">
      <w:pPr>
        <w:rPr>
          <w:rFonts w:ascii="Arial" w:hAnsi="Arial" w:cs="Arial"/>
          <w:b/>
          <w:sz w:val="22"/>
          <w:szCs w:val="22"/>
          <w:lang w:val="en-GB"/>
        </w:rPr>
      </w:pPr>
      <w:r>
        <w:rPr>
          <w:rFonts w:ascii="Arial" w:hAnsi="Arial" w:cs="Arial"/>
          <w:b/>
          <w:sz w:val="22"/>
          <w:szCs w:val="22"/>
          <w:lang w:val="en-GB"/>
        </w:rPr>
        <w:br w:type="page"/>
      </w:r>
    </w:p>
    <w:p w14:paraId="2E6FE704" w14:textId="77777777" w:rsidR="00E63A7C" w:rsidRDefault="00E63A7C">
      <w:pPr>
        <w:rPr>
          <w:rFonts w:ascii="Arial" w:hAnsi="Arial" w:cs="Arial"/>
          <w:bCs/>
          <w:sz w:val="40"/>
          <w:szCs w:val="40"/>
          <w:lang w:val="en-GB"/>
        </w:rPr>
      </w:pPr>
    </w:p>
    <w:p w14:paraId="0C9291E4" w14:textId="0EB41AAC" w:rsidR="00834A5C" w:rsidRPr="00834A5C" w:rsidRDefault="00834A5C">
      <w:pPr>
        <w:rPr>
          <w:rFonts w:ascii="Arial" w:hAnsi="Arial" w:cs="Arial"/>
          <w:bCs/>
          <w:sz w:val="40"/>
          <w:szCs w:val="40"/>
          <w:lang w:val="en-GB"/>
        </w:rPr>
      </w:pPr>
      <w:r w:rsidRPr="00834A5C">
        <w:rPr>
          <w:rFonts w:ascii="Arial" w:hAnsi="Arial" w:cs="Arial"/>
          <w:bCs/>
          <w:sz w:val="40"/>
          <w:szCs w:val="40"/>
          <w:lang w:val="en-GB"/>
        </w:rPr>
        <w:t>F</w:t>
      </w:r>
      <w:r w:rsidR="008D4C67">
        <w:rPr>
          <w:rFonts w:ascii="Arial" w:hAnsi="Arial" w:cs="Arial"/>
          <w:bCs/>
          <w:sz w:val="40"/>
          <w:szCs w:val="40"/>
          <w:lang w:val="en-GB"/>
        </w:rPr>
        <w:t>IGURES</w:t>
      </w:r>
    </w:p>
    <w:p w14:paraId="040D5BC4" w14:textId="77777777" w:rsidR="00834A5C" w:rsidRDefault="00834A5C">
      <w:pPr>
        <w:rPr>
          <w:rFonts w:ascii="Arial" w:hAnsi="Arial" w:cs="Arial"/>
          <w:b/>
          <w:sz w:val="22"/>
          <w:szCs w:val="22"/>
          <w:lang w:val="en-GB"/>
        </w:rPr>
      </w:pPr>
    </w:p>
    <w:p w14:paraId="594C223D" w14:textId="77777777" w:rsidR="00E63A7C" w:rsidRDefault="00E63A7C">
      <w:pPr>
        <w:rPr>
          <w:rFonts w:ascii="Arial" w:hAnsi="Arial" w:cs="Arial"/>
          <w:b/>
          <w:sz w:val="22"/>
          <w:szCs w:val="22"/>
          <w:lang w:val="en-GB"/>
        </w:rPr>
      </w:pPr>
    </w:p>
    <w:p w14:paraId="65EC662E" w14:textId="6BC51568" w:rsidR="00E63A7C" w:rsidRDefault="00E63A7C">
      <w:pPr>
        <w:rPr>
          <w:rFonts w:ascii="Arial" w:hAnsi="Arial" w:cs="Arial"/>
          <w:b/>
          <w:sz w:val="22"/>
          <w:szCs w:val="22"/>
          <w:lang w:val="en-GB"/>
        </w:rPr>
      </w:pPr>
    </w:p>
    <w:p w14:paraId="07ED6914" w14:textId="77777777" w:rsidR="00E63A7C" w:rsidRDefault="00E63A7C">
      <w:pPr>
        <w:rPr>
          <w:rFonts w:ascii="Arial" w:hAnsi="Arial" w:cs="Arial"/>
          <w:b/>
          <w:sz w:val="22"/>
          <w:szCs w:val="22"/>
          <w:lang w:val="en-GB"/>
        </w:rPr>
      </w:pPr>
    </w:p>
    <w:p w14:paraId="1C187B7B" w14:textId="77777777" w:rsidR="00E63A7C" w:rsidRDefault="00E63A7C">
      <w:pPr>
        <w:rPr>
          <w:rFonts w:ascii="Arial" w:hAnsi="Arial" w:cs="Arial"/>
          <w:b/>
          <w:sz w:val="22"/>
          <w:szCs w:val="22"/>
          <w:lang w:val="en-GB"/>
        </w:rPr>
      </w:pPr>
    </w:p>
    <w:p w14:paraId="0EB7C5DD" w14:textId="39E4DDA9" w:rsidR="009E27E5" w:rsidRPr="007A639F" w:rsidRDefault="00834A5C">
      <w:pPr>
        <w:rPr>
          <w:rFonts w:ascii="Arial" w:hAnsi="Arial" w:cs="Arial"/>
          <w:sz w:val="22"/>
          <w:szCs w:val="22"/>
          <w:lang w:val="en-GB"/>
        </w:rPr>
      </w:pPr>
      <w:r w:rsidRPr="00CB4391">
        <w:rPr>
          <w:rFonts w:ascii="Arial" w:hAnsi="Arial" w:cs="Arial"/>
          <w:b/>
          <w:sz w:val="22"/>
          <w:szCs w:val="22"/>
          <w:lang w:val="en-GB"/>
        </w:rPr>
        <w:t xml:space="preserve">Supplementary Figure 1 </w:t>
      </w:r>
      <w:r w:rsidRPr="007A639F">
        <w:rPr>
          <w:rFonts w:ascii="Arial" w:hAnsi="Arial" w:cs="Arial"/>
          <w:sz w:val="22"/>
          <w:szCs w:val="22"/>
          <w:lang w:val="en-GB"/>
        </w:rPr>
        <w:t xml:space="preserve">Survival curves for PD patients. Kaplan-Meier curves showing the association between the probability of conversion to cognitive impairment, adjusted for age, disease duration, </w:t>
      </w:r>
      <w:r w:rsidR="009E27E5" w:rsidRPr="007A639F">
        <w:rPr>
          <w:rFonts w:ascii="Arial" w:hAnsi="Arial" w:cs="Arial"/>
          <w:sz w:val="22"/>
          <w:szCs w:val="22"/>
          <w:lang w:val="en-GB"/>
        </w:rPr>
        <w:t xml:space="preserve">education </w:t>
      </w:r>
      <w:r w:rsidRPr="007A639F">
        <w:rPr>
          <w:rFonts w:ascii="Arial" w:hAnsi="Arial" w:cs="Arial"/>
          <w:sz w:val="22"/>
          <w:szCs w:val="22"/>
          <w:lang w:val="en-GB"/>
        </w:rPr>
        <w:t xml:space="preserve">and </w:t>
      </w:r>
      <w:r w:rsidR="009E27E5" w:rsidRPr="007A639F">
        <w:rPr>
          <w:rFonts w:ascii="Arial" w:hAnsi="Arial" w:cs="Arial"/>
          <w:sz w:val="22"/>
          <w:szCs w:val="22"/>
          <w:lang w:val="en-GB"/>
        </w:rPr>
        <w:t xml:space="preserve">MDS-UPDRS-III at </w:t>
      </w:r>
      <w:r w:rsidRPr="007A639F">
        <w:rPr>
          <w:rFonts w:ascii="Arial" w:hAnsi="Arial" w:cs="Arial"/>
          <w:sz w:val="22"/>
          <w:szCs w:val="22"/>
          <w:lang w:val="en-GB"/>
        </w:rPr>
        <w:t xml:space="preserve">baseline. </w:t>
      </w:r>
    </w:p>
    <w:p w14:paraId="47895EC9" w14:textId="55BDC1EA" w:rsidR="000228EE" w:rsidRPr="007A639F" w:rsidRDefault="00834A5C">
      <w:pPr>
        <w:rPr>
          <w:rFonts w:ascii="Arial" w:hAnsi="Arial" w:cs="Arial"/>
          <w:sz w:val="22"/>
          <w:szCs w:val="22"/>
          <w:lang w:val="en-GB"/>
        </w:rPr>
      </w:pPr>
      <w:r w:rsidRPr="007A639F">
        <w:rPr>
          <w:rFonts w:ascii="Arial" w:hAnsi="Arial" w:cs="Arial"/>
          <w:sz w:val="22"/>
          <w:szCs w:val="22"/>
          <w:lang w:val="en-GB"/>
        </w:rPr>
        <w:t>The estimated effects include</w:t>
      </w:r>
      <w:r w:rsidR="009E27E5" w:rsidRPr="007A639F">
        <w:rPr>
          <w:rFonts w:ascii="Arial" w:hAnsi="Arial" w:cs="Arial"/>
          <w:sz w:val="22"/>
          <w:szCs w:val="22"/>
          <w:lang w:val="en-GB"/>
        </w:rPr>
        <w:t>:</w:t>
      </w:r>
      <w:r w:rsidRPr="007A639F">
        <w:rPr>
          <w:rFonts w:ascii="Arial" w:hAnsi="Arial" w:cs="Arial"/>
          <w:sz w:val="22"/>
          <w:szCs w:val="22"/>
          <w:lang w:val="en-GB"/>
        </w:rPr>
        <w:t xml:space="preserve"> </w:t>
      </w:r>
      <w:r w:rsidRPr="007A639F">
        <w:rPr>
          <w:rFonts w:ascii="Arial" w:hAnsi="Arial" w:cs="Arial"/>
          <w:b/>
          <w:bCs/>
          <w:sz w:val="22"/>
          <w:szCs w:val="22"/>
          <w:lang w:val="en-GB"/>
        </w:rPr>
        <w:t>(</w:t>
      </w:r>
      <w:r w:rsidR="00F168BE">
        <w:rPr>
          <w:rFonts w:ascii="Arial" w:hAnsi="Arial" w:cs="Arial"/>
          <w:b/>
          <w:bCs/>
          <w:sz w:val="22"/>
          <w:szCs w:val="22"/>
          <w:lang w:val="en-GB"/>
        </w:rPr>
        <w:t>a</w:t>
      </w:r>
      <w:r w:rsidRPr="007A639F">
        <w:rPr>
          <w:rFonts w:ascii="Arial" w:hAnsi="Arial" w:cs="Arial"/>
          <w:b/>
          <w:bCs/>
          <w:sz w:val="22"/>
          <w:szCs w:val="22"/>
          <w:lang w:val="en-GB"/>
        </w:rPr>
        <w:t>)</w:t>
      </w:r>
      <w:r w:rsidRPr="007A639F">
        <w:rPr>
          <w:rFonts w:ascii="Arial" w:hAnsi="Arial" w:cs="Arial"/>
          <w:sz w:val="22"/>
          <w:szCs w:val="22"/>
          <w:lang w:val="en-GB"/>
        </w:rPr>
        <w:t xml:space="preserve"> GBA1 variants and </w:t>
      </w:r>
      <w:r w:rsidRPr="007A639F">
        <w:rPr>
          <w:rFonts w:ascii="Arial" w:hAnsi="Arial" w:cs="Arial"/>
          <w:b/>
          <w:bCs/>
          <w:sz w:val="22"/>
          <w:szCs w:val="22"/>
          <w:lang w:val="en-GB"/>
        </w:rPr>
        <w:t>(</w:t>
      </w:r>
      <w:r w:rsidR="00F168BE">
        <w:rPr>
          <w:rFonts w:ascii="Arial" w:hAnsi="Arial" w:cs="Arial"/>
          <w:b/>
          <w:bCs/>
          <w:sz w:val="22"/>
          <w:szCs w:val="22"/>
          <w:lang w:val="en-GB"/>
        </w:rPr>
        <w:t>b</w:t>
      </w:r>
      <w:r w:rsidRPr="007A639F">
        <w:rPr>
          <w:rFonts w:ascii="Arial" w:hAnsi="Arial" w:cs="Arial"/>
          <w:b/>
          <w:bCs/>
          <w:sz w:val="22"/>
          <w:szCs w:val="22"/>
          <w:lang w:val="en-GB"/>
        </w:rPr>
        <w:t>)</w:t>
      </w:r>
      <w:r w:rsidRPr="007A639F">
        <w:rPr>
          <w:rFonts w:ascii="Arial" w:hAnsi="Arial" w:cs="Arial"/>
          <w:sz w:val="22"/>
          <w:szCs w:val="22"/>
          <w:lang w:val="en-GB"/>
        </w:rPr>
        <w:t xml:space="preserve"> male carriers of mild/severe GBA variants</w:t>
      </w:r>
      <w:r w:rsidR="00E63A7C">
        <w:rPr>
          <w:rFonts w:ascii="Arial" w:hAnsi="Arial" w:cs="Arial"/>
          <w:sz w:val="22"/>
          <w:szCs w:val="22"/>
          <w:lang w:val="en-GB"/>
        </w:rPr>
        <w:t xml:space="preserve"> versus GBA-PD with risk/unknown variants</w:t>
      </w:r>
      <w:r w:rsidRPr="007A639F">
        <w:rPr>
          <w:rFonts w:ascii="Arial" w:hAnsi="Arial" w:cs="Arial"/>
          <w:sz w:val="22"/>
          <w:szCs w:val="22"/>
          <w:lang w:val="en-GB"/>
        </w:rPr>
        <w:t>.</w:t>
      </w:r>
    </w:p>
    <w:p w14:paraId="7C061185" w14:textId="77777777" w:rsidR="000228EE" w:rsidRPr="00CB4391" w:rsidRDefault="000228EE">
      <w:pPr>
        <w:rPr>
          <w:rFonts w:ascii="Arial" w:hAnsi="Arial" w:cs="Arial"/>
          <w:b/>
          <w:sz w:val="22"/>
          <w:szCs w:val="22"/>
          <w:lang w:val="en-GB"/>
        </w:rPr>
      </w:pPr>
    </w:p>
    <w:p w14:paraId="0FDB069E" w14:textId="77777777" w:rsidR="000228EE" w:rsidRPr="00CB4391" w:rsidRDefault="000228EE">
      <w:pPr>
        <w:rPr>
          <w:rFonts w:ascii="Arial" w:hAnsi="Arial" w:cs="Arial"/>
          <w:b/>
          <w:lang w:val="en-GB"/>
        </w:rPr>
      </w:pPr>
    </w:p>
    <w:p w14:paraId="12B9075A" w14:textId="77777777" w:rsidR="000228EE" w:rsidRPr="00CB4391" w:rsidRDefault="000228EE">
      <w:pPr>
        <w:rPr>
          <w:rFonts w:ascii="Arial" w:hAnsi="Arial" w:cs="Arial"/>
          <w:b/>
          <w:lang w:val="en-GB"/>
        </w:rPr>
      </w:pPr>
    </w:p>
    <w:p w14:paraId="5F5BB7F3" w14:textId="0F862235" w:rsidR="00834A5C" w:rsidRDefault="00834A5C">
      <w:pPr>
        <w:rPr>
          <w:rFonts w:ascii="Arial" w:hAnsi="Arial" w:cs="Arial"/>
          <w:b/>
          <w:lang w:val="en-GB"/>
        </w:rPr>
      </w:pPr>
      <w:r>
        <w:rPr>
          <w:rFonts w:ascii="Arial" w:hAnsi="Arial" w:cs="Arial"/>
          <w:b/>
          <w:lang w:val="en-GB"/>
        </w:rPr>
        <w:br w:type="page"/>
      </w:r>
    </w:p>
    <w:p w14:paraId="27DB00FB" w14:textId="6EF46740" w:rsidR="000228EE" w:rsidRPr="00834A5C" w:rsidRDefault="00834A5C">
      <w:pPr>
        <w:rPr>
          <w:rFonts w:ascii="Arial" w:hAnsi="Arial" w:cs="Arial"/>
          <w:bCs/>
          <w:sz w:val="40"/>
          <w:szCs w:val="40"/>
          <w:lang w:val="en-GB"/>
        </w:rPr>
      </w:pPr>
      <w:r w:rsidRPr="00834A5C">
        <w:rPr>
          <w:rFonts w:ascii="Arial" w:hAnsi="Arial" w:cs="Arial"/>
          <w:bCs/>
          <w:sz w:val="40"/>
          <w:szCs w:val="40"/>
          <w:lang w:val="en-GB"/>
        </w:rPr>
        <w:lastRenderedPageBreak/>
        <w:t>T</w:t>
      </w:r>
      <w:r w:rsidR="008D4C67">
        <w:rPr>
          <w:rFonts w:ascii="Arial" w:hAnsi="Arial" w:cs="Arial"/>
          <w:bCs/>
          <w:sz w:val="40"/>
          <w:szCs w:val="40"/>
          <w:lang w:val="en-GB"/>
        </w:rPr>
        <w:t>ABLES</w:t>
      </w:r>
    </w:p>
    <w:p w14:paraId="61DA5CB3" w14:textId="77777777" w:rsidR="00834A5C" w:rsidRPr="00CB4391" w:rsidRDefault="00834A5C">
      <w:pPr>
        <w:rPr>
          <w:rFonts w:ascii="Arial" w:hAnsi="Arial" w:cs="Arial"/>
          <w:b/>
          <w:lang w:val="en-GB"/>
        </w:rPr>
      </w:pPr>
    </w:p>
    <w:p w14:paraId="7008382D" w14:textId="77777777" w:rsidR="000228EE" w:rsidRPr="00CB4391" w:rsidRDefault="00000000">
      <w:pPr>
        <w:rPr>
          <w:rFonts w:ascii="Arial" w:hAnsi="Arial" w:cs="Arial"/>
          <w:sz w:val="22"/>
          <w:szCs w:val="22"/>
          <w:lang w:val="en-GB"/>
        </w:rPr>
      </w:pPr>
      <w:r w:rsidRPr="00CB4391">
        <w:rPr>
          <w:rFonts w:ascii="Arial" w:hAnsi="Arial" w:cs="Arial"/>
          <w:b/>
          <w:sz w:val="22"/>
          <w:szCs w:val="22"/>
          <w:lang w:val="en-GB"/>
        </w:rPr>
        <w:t>Supplementary Table 1</w:t>
      </w:r>
      <w:r w:rsidRPr="00CB4391">
        <w:rPr>
          <w:rFonts w:ascii="Arial" w:hAnsi="Arial" w:cs="Arial"/>
          <w:sz w:val="22"/>
          <w:szCs w:val="22"/>
          <w:lang w:val="en-GB"/>
        </w:rPr>
        <w:t xml:space="preserve"> Distributions of genetic variants within the entire cohort of GBA-PD, as well as within subgroups characterized by cognitive impairment (CI) at follow-up, are presented, with stratification based on sex.</w:t>
      </w:r>
    </w:p>
    <w:p w14:paraId="06600B2A" w14:textId="77777777" w:rsidR="000228EE" w:rsidRDefault="000228EE">
      <w:pPr>
        <w:rPr>
          <w:rFonts w:ascii="Arial" w:hAnsi="Arial" w:cs="Arial"/>
          <w:lang w:val="en-GB"/>
        </w:rPr>
      </w:pPr>
    </w:p>
    <w:tbl>
      <w:tblPr>
        <w:tblW w:w="11199" w:type="dxa"/>
        <w:tblInd w:w="-709" w:type="dxa"/>
        <w:tblCellMar>
          <w:left w:w="70" w:type="dxa"/>
          <w:right w:w="70" w:type="dxa"/>
        </w:tblCellMar>
        <w:tblLook w:val="04A0" w:firstRow="1" w:lastRow="0" w:firstColumn="1" w:lastColumn="0" w:noHBand="0" w:noVBand="1"/>
      </w:tblPr>
      <w:tblGrid>
        <w:gridCol w:w="1560"/>
        <w:gridCol w:w="1417"/>
        <w:gridCol w:w="1418"/>
        <w:gridCol w:w="1134"/>
        <w:gridCol w:w="1134"/>
        <w:gridCol w:w="1417"/>
        <w:gridCol w:w="1560"/>
        <w:gridCol w:w="1559"/>
      </w:tblGrid>
      <w:tr w:rsidR="00727819" w:rsidRPr="00727819" w14:paraId="7F9D5EC4" w14:textId="77777777" w:rsidTr="00727819">
        <w:trPr>
          <w:trHeight w:val="340"/>
        </w:trPr>
        <w:tc>
          <w:tcPr>
            <w:tcW w:w="1560" w:type="dxa"/>
            <w:tcBorders>
              <w:top w:val="single" w:sz="4" w:space="0" w:color="auto"/>
              <w:left w:val="nil"/>
              <w:bottom w:val="double" w:sz="6" w:space="0" w:color="auto"/>
              <w:right w:val="nil"/>
            </w:tcBorders>
            <w:shd w:val="clear" w:color="auto" w:fill="auto"/>
            <w:noWrap/>
            <w:vAlign w:val="center"/>
            <w:hideMark/>
          </w:tcPr>
          <w:p w14:paraId="100670AE" w14:textId="77777777" w:rsidR="00727819" w:rsidRPr="00E63A7C" w:rsidRDefault="00727819">
            <w:pPr>
              <w:rPr>
                <w:rFonts w:ascii="Arial" w:hAnsi="Arial" w:cs="Arial"/>
                <w:b/>
                <w:bCs/>
                <w:color w:val="000000"/>
                <w:sz w:val="18"/>
                <w:szCs w:val="18"/>
                <w:lang w:val="en-GB"/>
              </w:rPr>
            </w:pPr>
            <w:r w:rsidRPr="00727819">
              <w:rPr>
                <w:rFonts w:ascii="Arial" w:hAnsi="Arial" w:cs="Arial"/>
                <w:b/>
                <w:bCs/>
                <w:color w:val="000000"/>
                <w:sz w:val="18"/>
                <w:szCs w:val="18"/>
                <w:lang w:val="en-GB"/>
              </w:rPr>
              <w:t> </w:t>
            </w:r>
          </w:p>
        </w:tc>
        <w:tc>
          <w:tcPr>
            <w:tcW w:w="1417" w:type="dxa"/>
            <w:tcBorders>
              <w:top w:val="single" w:sz="4" w:space="0" w:color="auto"/>
              <w:left w:val="nil"/>
              <w:bottom w:val="double" w:sz="6" w:space="0" w:color="auto"/>
              <w:right w:val="nil"/>
            </w:tcBorders>
            <w:shd w:val="clear" w:color="auto" w:fill="auto"/>
            <w:noWrap/>
            <w:vAlign w:val="center"/>
            <w:hideMark/>
          </w:tcPr>
          <w:p w14:paraId="621D7D94" w14:textId="77777777" w:rsidR="00727819" w:rsidRPr="00727819" w:rsidRDefault="00727819">
            <w:pPr>
              <w:jc w:val="center"/>
              <w:rPr>
                <w:rFonts w:ascii="Arial" w:hAnsi="Arial" w:cs="Arial"/>
                <w:b/>
                <w:bCs/>
                <w:color w:val="000000"/>
                <w:sz w:val="18"/>
                <w:szCs w:val="18"/>
              </w:rPr>
            </w:pPr>
            <w:r w:rsidRPr="00727819">
              <w:rPr>
                <w:rFonts w:ascii="Arial" w:hAnsi="Arial" w:cs="Arial"/>
                <w:b/>
                <w:bCs/>
                <w:color w:val="000000"/>
                <w:sz w:val="18"/>
                <w:szCs w:val="18"/>
              </w:rPr>
              <w:t>GBA-PD</w:t>
            </w:r>
          </w:p>
        </w:tc>
        <w:tc>
          <w:tcPr>
            <w:tcW w:w="1418" w:type="dxa"/>
            <w:tcBorders>
              <w:top w:val="single" w:sz="4" w:space="0" w:color="auto"/>
              <w:left w:val="nil"/>
              <w:bottom w:val="double" w:sz="6" w:space="0" w:color="auto"/>
              <w:right w:val="nil"/>
            </w:tcBorders>
            <w:shd w:val="clear" w:color="auto" w:fill="auto"/>
            <w:noWrap/>
            <w:vAlign w:val="center"/>
            <w:hideMark/>
          </w:tcPr>
          <w:p w14:paraId="206783B7" w14:textId="77777777" w:rsidR="00727819" w:rsidRPr="00727819" w:rsidRDefault="00727819">
            <w:pPr>
              <w:jc w:val="center"/>
              <w:rPr>
                <w:rFonts w:ascii="Arial" w:hAnsi="Arial" w:cs="Arial"/>
                <w:b/>
                <w:bCs/>
                <w:color w:val="000000"/>
                <w:sz w:val="18"/>
                <w:szCs w:val="18"/>
              </w:rPr>
            </w:pPr>
            <w:r w:rsidRPr="00727819">
              <w:rPr>
                <w:rFonts w:ascii="Arial" w:hAnsi="Arial" w:cs="Arial"/>
                <w:b/>
                <w:bCs/>
                <w:color w:val="000000"/>
                <w:sz w:val="18"/>
                <w:szCs w:val="18"/>
              </w:rPr>
              <w:t>GBA-PD F</w:t>
            </w:r>
          </w:p>
        </w:tc>
        <w:tc>
          <w:tcPr>
            <w:tcW w:w="1134" w:type="dxa"/>
            <w:tcBorders>
              <w:top w:val="single" w:sz="4" w:space="0" w:color="auto"/>
              <w:left w:val="nil"/>
              <w:bottom w:val="double" w:sz="6" w:space="0" w:color="auto"/>
              <w:right w:val="nil"/>
            </w:tcBorders>
            <w:shd w:val="clear" w:color="auto" w:fill="auto"/>
            <w:noWrap/>
            <w:vAlign w:val="center"/>
            <w:hideMark/>
          </w:tcPr>
          <w:p w14:paraId="3E34BB01" w14:textId="77777777" w:rsidR="00727819" w:rsidRPr="00727819" w:rsidRDefault="00727819">
            <w:pPr>
              <w:jc w:val="center"/>
              <w:rPr>
                <w:rFonts w:ascii="Arial" w:hAnsi="Arial" w:cs="Arial"/>
                <w:b/>
                <w:bCs/>
                <w:color w:val="000000"/>
                <w:sz w:val="18"/>
                <w:szCs w:val="18"/>
              </w:rPr>
            </w:pPr>
            <w:r w:rsidRPr="00727819">
              <w:rPr>
                <w:rFonts w:ascii="Arial" w:hAnsi="Arial" w:cs="Arial"/>
                <w:b/>
                <w:bCs/>
                <w:color w:val="000000"/>
                <w:sz w:val="18"/>
                <w:szCs w:val="18"/>
              </w:rPr>
              <w:t>GBA-PD M</w:t>
            </w:r>
          </w:p>
        </w:tc>
        <w:tc>
          <w:tcPr>
            <w:tcW w:w="1134" w:type="dxa"/>
            <w:tcBorders>
              <w:top w:val="single" w:sz="4" w:space="0" w:color="auto"/>
              <w:left w:val="nil"/>
              <w:bottom w:val="double" w:sz="6" w:space="0" w:color="auto"/>
              <w:right w:val="nil"/>
            </w:tcBorders>
            <w:shd w:val="clear" w:color="auto" w:fill="auto"/>
            <w:noWrap/>
            <w:vAlign w:val="center"/>
            <w:hideMark/>
          </w:tcPr>
          <w:p w14:paraId="07F6DFB2" w14:textId="77777777" w:rsidR="00727819" w:rsidRPr="00727819" w:rsidRDefault="00727819">
            <w:pPr>
              <w:jc w:val="center"/>
              <w:rPr>
                <w:rFonts w:ascii="Arial" w:hAnsi="Arial" w:cs="Arial"/>
                <w:b/>
                <w:bCs/>
                <w:color w:val="000000"/>
                <w:sz w:val="18"/>
                <w:szCs w:val="18"/>
              </w:rPr>
            </w:pPr>
            <w:r w:rsidRPr="00727819">
              <w:rPr>
                <w:rFonts w:ascii="Arial" w:hAnsi="Arial" w:cs="Arial"/>
                <w:b/>
                <w:bCs/>
                <w:color w:val="000000"/>
                <w:sz w:val="18"/>
                <w:szCs w:val="18"/>
              </w:rPr>
              <w:t>p-value</w:t>
            </w:r>
          </w:p>
        </w:tc>
        <w:tc>
          <w:tcPr>
            <w:tcW w:w="1417" w:type="dxa"/>
            <w:tcBorders>
              <w:top w:val="single" w:sz="4" w:space="0" w:color="auto"/>
              <w:left w:val="nil"/>
              <w:bottom w:val="double" w:sz="6" w:space="0" w:color="auto"/>
              <w:right w:val="nil"/>
            </w:tcBorders>
            <w:shd w:val="clear" w:color="auto" w:fill="auto"/>
            <w:noWrap/>
            <w:vAlign w:val="center"/>
            <w:hideMark/>
          </w:tcPr>
          <w:p w14:paraId="24F06A56" w14:textId="1A8A7BFF" w:rsidR="00727819" w:rsidRPr="00727819" w:rsidRDefault="00727819">
            <w:pPr>
              <w:jc w:val="center"/>
              <w:rPr>
                <w:rFonts w:ascii="Arial" w:hAnsi="Arial" w:cs="Arial"/>
                <w:b/>
                <w:bCs/>
                <w:color w:val="000000"/>
                <w:sz w:val="18"/>
                <w:szCs w:val="18"/>
              </w:rPr>
            </w:pPr>
            <w:r w:rsidRPr="00727819">
              <w:rPr>
                <w:rFonts w:ascii="Arial" w:hAnsi="Arial" w:cs="Arial"/>
                <w:b/>
                <w:bCs/>
                <w:color w:val="000000"/>
                <w:sz w:val="18"/>
                <w:szCs w:val="18"/>
              </w:rPr>
              <w:t>GBA-PD</w:t>
            </w:r>
            <w:r w:rsidR="00E471FF">
              <w:rPr>
                <w:rFonts w:ascii="Arial" w:hAnsi="Arial" w:cs="Arial"/>
                <w:b/>
                <w:bCs/>
                <w:color w:val="000000"/>
                <w:sz w:val="18"/>
                <w:szCs w:val="18"/>
              </w:rPr>
              <w:t>(CI)</w:t>
            </w:r>
          </w:p>
        </w:tc>
        <w:tc>
          <w:tcPr>
            <w:tcW w:w="1560" w:type="dxa"/>
            <w:tcBorders>
              <w:top w:val="single" w:sz="4" w:space="0" w:color="auto"/>
              <w:left w:val="nil"/>
              <w:bottom w:val="double" w:sz="6" w:space="0" w:color="auto"/>
              <w:right w:val="nil"/>
            </w:tcBorders>
            <w:shd w:val="clear" w:color="auto" w:fill="auto"/>
            <w:noWrap/>
            <w:vAlign w:val="center"/>
            <w:hideMark/>
          </w:tcPr>
          <w:p w14:paraId="362C2156" w14:textId="3E73C2C6" w:rsidR="00727819" w:rsidRPr="00727819" w:rsidRDefault="00727819">
            <w:pPr>
              <w:jc w:val="center"/>
              <w:rPr>
                <w:rFonts w:ascii="Arial" w:hAnsi="Arial" w:cs="Arial"/>
                <w:b/>
                <w:bCs/>
                <w:color w:val="000000"/>
                <w:sz w:val="18"/>
                <w:szCs w:val="18"/>
              </w:rPr>
            </w:pPr>
            <w:r w:rsidRPr="00727819">
              <w:rPr>
                <w:rFonts w:ascii="Arial" w:hAnsi="Arial" w:cs="Arial"/>
                <w:b/>
                <w:bCs/>
                <w:color w:val="000000"/>
                <w:sz w:val="18"/>
                <w:szCs w:val="18"/>
              </w:rPr>
              <w:t>GBA-PD F</w:t>
            </w:r>
            <w:r w:rsidR="00E471FF">
              <w:rPr>
                <w:rFonts w:ascii="Arial" w:hAnsi="Arial" w:cs="Arial"/>
                <w:b/>
                <w:bCs/>
                <w:color w:val="000000"/>
                <w:sz w:val="18"/>
                <w:szCs w:val="18"/>
              </w:rPr>
              <w:t>(CI)</w:t>
            </w:r>
          </w:p>
        </w:tc>
        <w:tc>
          <w:tcPr>
            <w:tcW w:w="1559" w:type="dxa"/>
            <w:tcBorders>
              <w:top w:val="single" w:sz="4" w:space="0" w:color="auto"/>
              <w:left w:val="nil"/>
              <w:bottom w:val="double" w:sz="6" w:space="0" w:color="auto"/>
              <w:right w:val="nil"/>
            </w:tcBorders>
            <w:shd w:val="clear" w:color="auto" w:fill="auto"/>
            <w:noWrap/>
            <w:vAlign w:val="center"/>
            <w:hideMark/>
          </w:tcPr>
          <w:p w14:paraId="5607ADA4" w14:textId="06107EE6" w:rsidR="00727819" w:rsidRPr="00727819" w:rsidRDefault="00727819">
            <w:pPr>
              <w:jc w:val="center"/>
              <w:rPr>
                <w:rFonts w:ascii="Arial" w:hAnsi="Arial" w:cs="Arial"/>
                <w:b/>
                <w:bCs/>
                <w:color w:val="000000"/>
                <w:sz w:val="18"/>
                <w:szCs w:val="18"/>
              </w:rPr>
            </w:pPr>
            <w:r w:rsidRPr="00727819">
              <w:rPr>
                <w:rFonts w:ascii="Arial" w:hAnsi="Arial" w:cs="Arial"/>
                <w:b/>
                <w:bCs/>
                <w:color w:val="000000"/>
                <w:sz w:val="18"/>
                <w:szCs w:val="18"/>
              </w:rPr>
              <w:t>GBA-PD M</w:t>
            </w:r>
            <w:r w:rsidR="00E471FF">
              <w:rPr>
                <w:rFonts w:ascii="Arial" w:hAnsi="Arial" w:cs="Arial"/>
                <w:b/>
                <w:bCs/>
                <w:color w:val="000000"/>
                <w:sz w:val="18"/>
                <w:szCs w:val="18"/>
              </w:rPr>
              <w:t>(CI)</w:t>
            </w:r>
            <w:r w:rsidRPr="00727819">
              <w:rPr>
                <w:rFonts w:ascii="Arial" w:hAnsi="Arial" w:cs="Arial"/>
                <w:b/>
                <w:bCs/>
                <w:color w:val="000000"/>
                <w:sz w:val="18"/>
                <w:szCs w:val="18"/>
              </w:rPr>
              <w:t xml:space="preserve"> </w:t>
            </w:r>
          </w:p>
        </w:tc>
      </w:tr>
      <w:tr w:rsidR="00727819" w:rsidRPr="00727819" w14:paraId="52E013D1" w14:textId="77777777" w:rsidTr="00727819">
        <w:trPr>
          <w:trHeight w:val="360"/>
        </w:trPr>
        <w:tc>
          <w:tcPr>
            <w:tcW w:w="1560" w:type="dxa"/>
            <w:tcBorders>
              <w:top w:val="nil"/>
              <w:left w:val="nil"/>
              <w:bottom w:val="nil"/>
              <w:right w:val="nil"/>
            </w:tcBorders>
            <w:shd w:val="clear" w:color="auto" w:fill="auto"/>
            <w:noWrap/>
            <w:vAlign w:val="center"/>
            <w:hideMark/>
          </w:tcPr>
          <w:p w14:paraId="53497E83" w14:textId="77777777" w:rsidR="00727819" w:rsidRPr="00727819" w:rsidRDefault="00727819">
            <w:pPr>
              <w:rPr>
                <w:rFonts w:ascii="Arial" w:hAnsi="Arial" w:cs="Arial"/>
                <w:color w:val="000000"/>
                <w:sz w:val="18"/>
                <w:szCs w:val="18"/>
              </w:rPr>
            </w:pPr>
            <w:r w:rsidRPr="00727819">
              <w:rPr>
                <w:rFonts w:ascii="Arial" w:hAnsi="Arial" w:cs="Arial"/>
                <w:color w:val="000000"/>
                <w:sz w:val="18"/>
                <w:szCs w:val="18"/>
              </w:rPr>
              <w:t xml:space="preserve">N </w:t>
            </w:r>
          </w:p>
        </w:tc>
        <w:tc>
          <w:tcPr>
            <w:tcW w:w="1417" w:type="dxa"/>
            <w:tcBorders>
              <w:top w:val="nil"/>
              <w:left w:val="nil"/>
              <w:bottom w:val="nil"/>
              <w:right w:val="nil"/>
            </w:tcBorders>
            <w:shd w:val="clear" w:color="auto" w:fill="auto"/>
            <w:noWrap/>
            <w:vAlign w:val="center"/>
            <w:hideMark/>
          </w:tcPr>
          <w:p w14:paraId="4587446D"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128</w:t>
            </w:r>
          </w:p>
        </w:tc>
        <w:tc>
          <w:tcPr>
            <w:tcW w:w="1418" w:type="dxa"/>
            <w:tcBorders>
              <w:top w:val="nil"/>
              <w:left w:val="nil"/>
              <w:bottom w:val="nil"/>
              <w:right w:val="nil"/>
            </w:tcBorders>
            <w:shd w:val="clear" w:color="auto" w:fill="auto"/>
            <w:noWrap/>
            <w:vAlign w:val="center"/>
            <w:hideMark/>
          </w:tcPr>
          <w:p w14:paraId="7158E575"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62 (48.4%)</w:t>
            </w:r>
          </w:p>
        </w:tc>
        <w:tc>
          <w:tcPr>
            <w:tcW w:w="1134" w:type="dxa"/>
            <w:tcBorders>
              <w:top w:val="nil"/>
              <w:left w:val="nil"/>
              <w:bottom w:val="nil"/>
              <w:right w:val="nil"/>
            </w:tcBorders>
            <w:shd w:val="clear" w:color="auto" w:fill="auto"/>
            <w:noWrap/>
            <w:vAlign w:val="center"/>
            <w:hideMark/>
          </w:tcPr>
          <w:p w14:paraId="7A67ADDD"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66 (51.6%)</w:t>
            </w:r>
          </w:p>
        </w:tc>
        <w:tc>
          <w:tcPr>
            <w:tcW w:w="1134" w:type="dxa"/>
            <w:tcBorders>
              <w:top w:val="nil"/>
              <w:left w:val="nil"/>
              <w:bottom w:val="nil"/>
              <w:right w:val="nil"/>
            </w:tcBorders>
            <w:shd w:val="clear" w:color="auto" w:fill="auto"/>
            <w:noWrap/>
            <w:vAlign w:val="center"/>
            <w:hideMark/>
          </w:tcPr>
          <w:p w14:paraId="7685FAEE"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w:t>
            </w:r>
          </w:p>
        </w:tc>
        <w:tc>
          <w:tcPr>
            <w:tcW w:w="1417" w:type="dxa"/>
            <w:tcBorders>
              <w:top w:val="nil"/>
              <w:left w:val="nil"/>
              <w:bottom w:val="nil"/>
              <w:right w:val="nil"/>
            </w:tcBorders>
            <w:shd w:val="clear" w:color="auto" w:fill="auto"/>
            <w:noWrap/>
            <w:vAlign w:val="center"/>
            <w:hideMark/>
          </w:tcPr>
          <w:p w14:paraId="0CF88236"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62 (48.4%)</w:t>
            </w:r>
          </w:p>
        </w:tc>
        <w:tc>
          <w:tcPr>
            <w:tcW w:w="1560" w:type="dxa"/>
            <w:tcBorders>
              <w:top w:val="nil"/>
              <w:left w:val="nil"/>
              <w:bottom w:val="nil"/>
              <w:right w:val="nil"/>
            </w:tcBorders>
            <w:shd w:val="clear" w:color="auto" w:fill="auto"/>
            <w:noWrap/>
            <w:vAlign w:val="center"/>
            <w:hideMark/>
          </w:tcPr>
          <w:p w14:paraId="34A80DEF"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24 (38.7%)</w:t>
            </w:r>
          </w:p>
        </w:tc>
        <w:tc>
          <w:tcPr>
            <w:tcW w:w="1559" w:type="dxa"/>
            <w:tcBorders>
              <w:top w:val="nil"/>
              <w:left w:val="nil"/>
              <w:bottom w:val="nil"/>
              <w:right w:val="nil"/>
            </w:tcBorders>
            <w:shd w:val="clear" w:color="auto" w:fill="auto"/>
            <w:noWrap/>
            <w:vAlign w:val="center"/>
            <w:hideMark/>
          </w:tcPr>
          <w:p w14:paraId="2E2B6C22"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38 (61.3%)</w:t>
            </w:r>
          </w:p>
        </w:tc>
      </w:tr>
      <w:tr w:rsidR="00727819" w:rsidRPr="00727819" w14:paraId="54456731" w14:textId="77777777" w:rsidTr="00727819">
        <w:trPr>
          <w:trHeight w:val="340"/>
        </w:trPr>
        <w:tc>
          <w:tcPr>
            <w:tcW w:w="1560" w:type="dxa"/>
            <w:tcBorders>
              <w:top w:val="single" w:sz="4" w:space="0" w:color="auto"/>
              <w:left w:val="nil"/>
              <w:bottom w:val="single" w:sz="4" w:space="0" w:color="auto"/>
              <w:right w:val="nil"/>
            </w:tcBorders>
            <w:shd w:val="clear" w:color="000000" w:fill="E8E8E8"/>
            <w:noWrap/>
            <w:vAlign w:val="center"/>
            <w:hideMark/>
          </w:tcPr>
          <w:p w14:paraId="79650CFE" w14:textId="77777777" w:rsidR="00727819" w:rsidRPr="00727819" w:rsidRDefault="00727819">
            <w:pPr>
              <w:rPr>
                <w:rFonts w:ascii="Arial" w:hAnsi="Arial" w:cs="Arial"/>
                <w:i/>
                <w:iCs/>
                <w:color w:val="000000"/>
                <w:sz w:val="18"/>
                <w:szCs w:val="18"/>
              </w:rPr>
            </w:pPr>
            <w:r w:rsidRPr="00727819">
              <w:rPr>
                <w:rFonts w:ascii="Arial" w:hAnsi="Arial" w:cs="Arial"/>
                <w:i/>
                <w:iCs/>
                <w:color w:val="000000"/>
                <w:sz w:val="18"/>
                <w:szCs w:val="18"/>
              </w:rPr>
              <w:t>Risk</w:t>
            </w:r>
          </w:p>
        </w:tc>
        <w:tc>
          <w:tcPr>
            <w:tcW w:w="1417" w:type="dxa"/>
            <w:tcBorders>
              <w:top w:val="single" w:sz="4" w:space="0" w:color="auto"/>
              <w:left w:val="nil"/>
              <w:bottom w:val="single" w:sz="4" w:space="0" w:color="auto"/>
              <w:right w:val="nil"/>
            </w:tcBorders>
            <w:shd w:val="clear" w:color="000000" w:fill="E8E8E8"/>
            <w:noWrap/>
            <w:vAlign w:val="center"/>
            <w:hideMark/>
          </w:tcPr>
          <w:p w14:paraId="34B064D6"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32</w:t>
            </w:r>
          </w:p>
        </w:tc>
        <w:tc>
          <w:tcPr>
            <w:tcW w:w="1418" w:type="dxa"/>
            <w:tcBorders>
              <w:top w:val="single" w:sz="4" w:space="0" w:color="auto"/>
              <w:left w:val="nil"/>
              <w:bottom w:val="single" w:sz="4" w:space="0" w:color="auto"/>
              <w:right w:val="nil"/>
            </w:tcBorders>
            <w:shd w:val="clear" w:color="000000" w:fill="E8E8E8"/>
            <w:noWrap/>
            <w:vAlign w:val="center"/>
            <w:hideMark/>
          </w:tcPr>
          <w:p w14:paraId="6E192341"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14 (43.7%)</w:t>
            </w:r>
          </w:p>
        </w:tc>
        <w:tc>
          <w:tcPr>
            <w:tcW w:w="1134" w:type="dxa"/>
            <w:tcBorders>
              <w:top w:val="single" w:sz="4" w:space="0" w:color="auto"/>
              <w:left w:val="nil"/>
              <w:bottom w:val="single" w:sz="4" w:space="0" w:color="auto"/>
              <w:right w:val="nil"/>
            </w:tcBorders>
            <w:shd w:val="clear" w:color="000000" w:fill="E8E8E8"/>
            <w:noWrap/>
            <w:vAlign w:val="center"/>
            <w:hideMark/>
          </w:tcPr>
          <w:p w14:paraId="556A79AF"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18 (56.2%)</w:t>
            </w:r>
          </w:p>
        </w:tc>
        <w:tc>
          <w:tcPr>
            <w:tcW w:w="1134" w:type="dxa"/>
            <w:tcBorders>
              <w:top w:val="single" w:sz="4" w:space="0" w:color="auto"/>
              <w:left w:val="nil"/>
              <w:bottom w:val="single" w:sz="4" w:space="0" w:color="auto"/>
              <w:right w:val="nil"/>
            </w:tcBorders>
            <w:shd w:val="clear" w:color="000000" w:fill="E8E8E8"/>
            <w:noWrap/>
            <w:vAlign w:val="center"/>
            <w:hideMark/>
          </w:tcPr>
          <w:p w14:paraId="70CB1F30" w14:textId="77777777" w:rsidR="00727819" w:rsidRPr="00727819" w:rsidRDefault="00727819">
            <w:pPr>
              <w:jc w:val="center"/>
              <w:rPr>
                <w:rFonts w:ascii="Arial" w:hAnsi="Arial" w:cs="Arial"/>
                <w:color w:val="000000"/>
                <w:sz w:val="18"/>
                <w:szCs w:val="18"/>
              </w:rPr>
            </w:pPr>
            <w:r w:rsidRPr="00727819">
              <w:rPr>
                <w:rFonts w:ascii="Arial" w:hAnsi="Arial" w:cs="Arial"/>
                <w:sz w:val="18"/>
                <w:szCs w:val="18"/>
              </w:rPr>
              <w:t>0.211</w:t>
            </w:r>
          </w:p>
        </w:tc>
        <w:tc>
          <w:tcPr>
            <w:tcW w:w="1417" w:type="dxa"/>
            <w:tcBorders>
              <w:top w:val="single" w:sz="4" w:space="0" w:color="auto"/>
              <w:left w:val="nil"/>
              <w:bottom w:val="single" w:sz="4" w:space="0" w:color="auto"/>
              <w:right w:val="nil"/>
            </w:tcBorders>
            <w:shd w:val="clear" w:color="000000" w:fill="E8E8E8"/>
            <w:noWrap/>
            <w:vAlign w:val="center"/>
            <w:hideMark/>
          </w:tcPr>
          <w:p w14:paraId="3B7874DD"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13 (40.6%)</w:t>
            </w:r>
          </w:p>
        </w:tc>
        <w:tc>
          <w:tcPr>
            <w:tcW w:w="1560" w:type="dxa"/>
            <w:tcBorders>
              <w:top w:val="single" w:sz="4" w:space="0" w:color="auto"/>
              <w:left w:val="nil"/>
              <w:bottom w:val="single" w:sz="4" w:space="0" w:color="auto"/>
              <w:right w:val="nil"/>
            </w:tcBorders>
            <w:shd w:val="clear" w:color="000000" w:fill="E8E8E8"/>
            <w:noWrap/>
            <w:vAlign w:val="center"/>
            <w:hideMark/>
          </w:tcPr>
          <w:p w14:paraId="17282904"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4 (30.7%)</w:t>
            </w:r>
          </w:p>
        </w:tc>
        <w:tc>
          <w:tcPr>
            <w:tcW w:w="1559" w:type="dxa"/>
            <w:tcBorders>
              <w:top w:val="single" w:sz="4" w:space="0" w:color="auto"/>
              <w:left w:val="nil"/>
              <w:bottom w:val="single" w:sz="4" w:space="0" w:color="auto"/>
              <w:right w:val="nil"/>
            </w:tcBorders>
            <w:shd w:val="clear" w:color="000000" w:fill="E8E8E8"/>
            <w:noWrap/>
            <w:vAlign w:val="center"/>
            <w:hideMark/>
          </w:tcPr>
          <w:p w14:paraId="7ABA330D"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9 (69.2%)</w:t>
            </w:r>
          </w:p>
        </w:tc>
      </w:tr>
      <w:tr w:rsidR="00727819" w:rsidRPr="00727819" w14:paraId="1C15CC59" w14:textId="77777777" w:rsidTr="00727819">
        <w:trPr>
          <w:trHeight w:val="320"/>
        </w:trPr>
        <w:tc>
          <w:tcPr>
            <w:tcW w:w="1560" w:type="dxa"/>
            <w:tcBorders>
              <w:top w:val="nil"/>
              <w:left w:val="nil"/>
              <w:bottom w:val="nil"/>
              <w:right w:val="nil"/>
            </w:tcBorders>
            <w:shd w:val="clear" w:color="auto" w:fill="auto"/>
            <w:noWrap/>
            <w:vAlign w:val="center"/>
            <w:hideMark/>
          </w:tcPr>
          <w:p w14:paraId="0594AB2E" w14:textId="77777777" w:rsidR="00727819" w:rsidRPr="00727819" w:rsidRDefault="00727819">
            <w:pPr>
              <w:rPr>
                <w:rFonts w:ascii="Arial" w:hAnsi="Arial" w:cs="Arial"/>
                <w:color w:val="000000"/>
                <w:sz w:val="18"/>
                <w:szCs w:val="18"/>
              </w:rPr>
            </w:pPr>
            <w:r w:rsidRPr="00727819">
              <w:rPr>
                <w:rFonts w:ascii="Arial" w:hAnsi="Arial" w:cs="Arial"/>
                <w:color w:val="000000"/>
                <w:sz w:val="18"/>
                <w:szCs w:val="18"/>
              </w:rPr>
              <w:t>E365K</w:t>
            </w:r>
          </w:p>
        </w:tc>
        <w:tc>
          <w:tcPr>
            <w:tcW w:w="1417" w:type="dxa"/>
            <w:tcBorders>
              <w:top w:val="nil"/>
              <w:left w:val="nil"/>
              <w:bottom w:val="nil"/>
              <w:right w:val="nil"/>
            </w:tcBorders>
            <w:shd w:val="clear" w:color="auto" w:fill="auto"/>
            <w:noWrap/>
            <w:vAlign w:val="center"/>
            <w:hideMark/>
          </w:tcPr>
          <w:p w14:paraId="3377B829"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22</w:t>
            </w:r>
          </w:p>
        </w:tc>
        <w:tc>
          <w:tcPr>
            <w:tcW w:w="1418" w:type="dxa"/>
            <w:tcBorders>
              <w:top w:val="nil"/>
              <w:left w:val="nil"/>
              <w:bottom w:val="nil"/>
              <w:right w:val="nil"/>
            </w:tcBorders>
            <w:shd w:val="clear" w:color="auto" w:fill="auto"/>
            <w:noWrap/>
            <w:vAlign w:val="center"/>
            <w:hideMark/>
          </w:tcPr>
          <w:p w14:paraId="12E0DC6E"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12 (54.5%)</w:t>
            </w:r>
          </w:p>
        </w:tc>
        <w:tc>
          <w:tcPr>
            <w:tcW w:w="1134" w:type="dxa"/>
            <w:tcBorders>
              <w:top w:val="nil"/>
              <w:left w:val="nil"/>
              <w:bottom w:val="nil"/>
              <w:right w:val="nil"/>
            </w:tcBorders>
            <w:shd w:val="clear" w:color="auto" w:fill="auto"/>
            <w:noWrap/>
            <w:vAlign w:val="center"/>
            <w:hideMark/>
          </w:tcPr>
          <w:p w14:paraId="57753224"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10 (45.5%)</w:t>
            </w:r>
          </w:p>
        </w:tc>
        <w:tc>
          <w:tcPr>
            <w:tcW w:w="1134" w:type="dxa"/>
            <w:tcBorders>
              <w:top w:val="nil"/>
              <w:left w:val="nil"/>
              <w:bottom w:val="nil"/>
              <w:right w:val="nil"/>
            </w:tcBorders>
            <w:shd w:val="clear" w:color="auto" w:fill="auto"/>
            <w:noWrap/>
            <w:vAlign w:val="center"/>
            <w:hideMark/>
          </w:tcPr>
          <w:p w14:paraId="4611622C"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w:t>
            </w:r>
          </w:p>
        </w:tc>
        <w:tc>
          <w:tcPr>
            <w:tcW w:w="1417" w:type="dxa"/>
            <w:tcBorders>
              <w:top w:val="nil"/>
              <w:left w:val="nil"/>
              <w:bottom w:val="nil"/>
              <w:right w:val="nil"/>
            </w:tcBorders>
            <w:shd w:val="clear" w:color="auto" w:fill="auto"/>
            <w:noWrap/>
            <w:vAlign w:val="center"/>
            <w:hideMark/>
          </w:tcPr>
          <w:p w14:paraId="23F01CAF"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8 (36.4%)</w:t>
            </w:r>
          </w:p>
        </w:tc>
        <w:tc>
          <w:tcPr>
            <w:tcW w:w="1560" w:type="dxa"/>
            <w:tcBorders>
              <w:top w:val="nil"/>
              <w:left w:val="nil"/>
              <w:bottom w:val="nil"/>
              <w:right w:val="nil"/>
            </w:tcBorders>
            <w:shd w:val="clear" w:color="auto" w:fill="auto"/>
            <w:noWrap/>
            <w:vAlign w:val="center"/>
            <w:hideMark/>
          </w:tcPr>
          <w:p w14:paraId="4D89323A"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4 (50%)</w:t>
            </w:r>
          </w:p>
        </w:tc>
        <w:tc>
          <w:tcPr>
            <w:tcW w:w="1559" w:type="dxa"/>
            <w:tcBorders>
              <w:top w:val="nil"/>
              <w:left w:val="nil"/>
              <w:bottom w:val="nil"/>
              <w:right w:val="nil"/>
            </w:tcBorders>
            <w:shd w:val="clear" w:color="auto" w:fill="auto"/>
            <w:noWrap/>
            <w:vAlign w:val="center"/>
            <w:hideMark/>
          </w:tcPr>
          <w:p w14:paraId="2358ADF1"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4 (50%)</w:t>
            </w:r>
          </w:p>
        </w:tc>
      </w:tr>
      <w:tr w:rsidR="00727819" w:rsidRPr="00727819" w14:paraId="4B6F53D5" w14:textId="77777777" w:rsidTr="00727819">
        <w:trPr>
          <w:trHeight w:val="320"/>
        </w:trPr>
        <w:tc>
          <w:tcPr>
            <w:tcW w:w="1560" w:type="dxa"/>
            <w:tcBorders>
              <w:top w:val="nil"/>
              <w:left w:val="nil"/>
              <w:bottom w:val="nil"/>
              <w:right w:val="nil"/>
            </w:tcBorders>
            <w:shd w:val="clear" w:color="auto" w:fill="auto"/>
            <w:noWrap/>
            <w:vAlign w:val="center"/>
            <w:hideMark/>
          </w:tcPr>
          <w:p w14:paraId="0B4D24FD" w14:textId="77777777" w:rsidR="00727819" w:rsidRPr="00727819" w:rsidRDefault="00727819">
            <w:pPr>
              <w:rPr>
                <w:rFonts w:ascii="Arial" w:hAnsi="Arial" w:cs="Arial"/>
                <w:color w:val="000000"/>
                <w:sz w:val="18"/>
                <w:szCs w:val="18"/>
              </w:rPr>
            </w:pPr>
            <w:r w:rsidRPr="00727819">
              <w:rPr>
                <w:rFonts w:ascii="Arial" w:hAnsi="Arial" w:cs="Arial"/>
                <w:color w:val="000000"/>
                <w:sz w:val="18"/>
                <w:szCs w:val="18"/>
              </w:rPr>
              <w:t>T408M</w:t>
            </w:r>
          </w:p>
        </w:tc>
        <w:tc>
          <w:tcPr>
            <w:tcW w:w="1417" w:type="dxa"/>
            <w:tcBorders>
              <w:top w:val="nil"/>
              <w:left w:val="nil"/>
              <w:bottom w:val="nil"/>
              <w:right w:val="nil"/>
            </w:tcBorders>
            <w:shd w:val="clear" w:color="auto" w:fill="auto"/>
            <w:noWrap/>
            <w:vAlign w:val="center"/>
            <w:hideMark/>
          </w:tcPr>
          <w:p w14:paraId="2990A94C"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10</w:t>
            </w:r>
          </w:p>
        </w:tc>
        <w:tc>
          <w:tcPr>
            <w:tcW w:w="1418" w:type="dxa"/>
            <w:tcBorders>
              <w:top w:val="nil"/>
              <w:left w:val="nil"/>
              <w:bottom w:val="nil"/>
              <w:right w:val="nil"/>
            </w:tcBorders>
            <w:shd w:val="clear" w:color="auto" w:fill="auto"/>
            <w:noWrap/>
            <w:vAlign w:val="center"/>
            <w:hideMark/>
          </w:tcPr>
          <w:p w14:paraId="2DBB829B"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2 (20%)</w:t>
            </w:r>
          </w:p>
        </w:tc>
        <w:tc>
          <w:tcPr>
            <w:tcW w:w="1134" w:type="dxa"/>
            <w:tcBorders>
              <w:top w:val="nil"/>
              <w:left w:val="nil"/>
              <w:bottom w:val="nil"/>
              <w:right w:val="nil"/>
            </w:tcBorders>
            <w:shd w:val="clear" w:color="auto" w:fill="auto"/>
            <w:noWrap/>
            <w:vAlign w:val="center"/>
            <w:hideMark/>
          </w:tcPr>
          <w:p w14:paraId="0D8E3E6B"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8 (80%)</w:t>
            </w:r>
          </w:p>
        </w:tc>
        <w:tc>
          <w:tcPr>
            <w:tcW w:w="1134" w:type="dxa"/>
            <w:tcBorders>
              <w:top w:val="nil"/>
              <w:left w:val="nil"/>
              <w:bottom w:val="nil"/>
              <w:right w:val="nil"/>
            </w:tcBorders>
            <w:shd w:val="clear" w:color="auto" w:fill="auto"/>
            <w:noWrap/>
            <w:vAlign w:val="center"/>
            <w:hideMark/>
          </w:tcPr>
          <w:p w14:paraId="24FD34A3"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w:t>
            </w:r>
          </w:p>
        </w:tc>
        <w:tc>
          <w:tcPr>
            <w:tcW w:w="1417" w:type="dxa"/>
            <w:tcBorders>
              <w:top w:val="nil"/>
              <w:left w:val="nil"/>
              <w:bottom w:val="nil"/>
              <w:right w:val="nil"/>
            </w:tcBorders>
            <w:shd w:val="clear" w:color="auto" w:fill="auto"/>
            <w:noWrap/>
            <w:vAlign w:val="center"/>
            <w:hideMark/>
          </w:tcPr>
          <w:p w14:paraId="20D919AC"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5 (50%)</w:t>
            </w:r>
          </w:p>
        </w:tc>
        <w:tc>
          <w:tcPr>
            <w:tcW w:w="1560" w:type="dxa"/>
            <w:tcBorders>
              <w:top w:val="nil"/>
              <w:left w:val="nil"/>
              <w:bottom w:val="nil"/>
              <w:right w:val="nil"/>
            </w:tcBorders>
            <w:shd w:val="clear" w:color="auto" w:fill="auto"/>
            <w:noWrap/>
            <w:vAlign w:val="center"/>
            <w:hideMark/>
          </w:tcPr>
          <w:p w14:paraId="43BAA7C3"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c>
          <w:tcPr>
            <w:tcW w:w="1559" w:type="dxa"/>
            <w:tcBorders>
              <w:top w:val="nil"/>
              <w:left w:val="nil"/>
              <w:bottom w:val="nil"/>
              <w:right w:val="nil"/>
            </w:tcBorders>
            <w:shd w:val="clear" w:color="auto" w:fill="auto"/>
            <w:noWrap/>
            <w:vAlign w:val="center"/>
            <w:hideMark/>
          </w:tcPr>
          <w:p w14:paraId="6AC2BA3B"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 xml:space="preserve">5 (100%) </w:t>
            </w:r>
          </w:p>
        </w:tc>
      </w:tr>
      <w:tr w:rsidR="00727819" w:rsidRPr="00727819" w14:paraId="3F0B85D4" w14:textId="77777777" w:rsidTr="00727819">
        <w:trPr>
          <w:trHeight w:val="320"/>
        </w:trPr>
        <w:tc>
          <w:tcPr>
            <w:tcW w:w="1560" w:type="dxa"/>
            <w:tcBorders>
              <w:top w:val="single" w:sz="4" w:space="0" w:color="auto"/>
              <w:left w:val="nil"/>
              <w:bottom w:val="single" w:sz="4" w:space="0" w:color="auto"/>
              <w:right w:val="nil"/>
            </w:tcBorders>
            <w:shd w:val="clear" w:color="000000" w:fill="E8E8E8"/>
            <w:noWrap/>
            <w:vAlign w:val="center"/>
            <w:hideMark/>
          </w:tcPr>
          <w:p w14:paraId="08EFE986" w14:textId="77777777" w:rsidR="00727819" w:rsidRPr="00727819" w:rsidRDefault="00727819">
            <w:pPr>
              <w:rPr>
                <w:rFonts w:ascii="Arial" w:hAnsi="Arial" w:cs="Arial"/>
                <w:i/>
                <w:iCs/>
                <w:color w:val="000000"/>
                <w:sz w:val="18"/>
                <w:szCs w:val="18"/>
              </w:rPr>
            </w:pPr>
            <w:r w:rsidRPr="00727819">
              <w:rPr>
                <w:rFonts w:ascii="Arial" w:hAnsi="Arial" w:cs="Arial"/>
                <w:i/>
                <w:iCs/>
                <w:color w:val="000000"/>
                <w:sz w:val="18"/>
                <w:szCs w:val="18"/>
              </w:rPr>
              <w:t>Mild</w:t>
            </w:r>
          </w:p>
        </w:tc>
        <w:tc>
          <w:tcPr>
            <w:tcW w:w="1417" w:type="dxa"/>
            <w:tcBorders>
              <w:top w:val="single" w:sz="4" w:space="0" w:color="auto"/>
              <w:left w:val="nil"/>
              <w:bottom w:val="single" w:sz="4" w:space="0" w:color="auto"/>
              <w:right w:val="nil"/>
            </w:tcBorders>
            <w:shd w:val="clear" w:color="000000" w:fill="E8E8E8"/>
            <w:noWrap/>
            <w:vAlign w:val="center"/>
            <w:hideMark/>
          </w:tcPr>
          <w:p w14:paraId="76DE76AB"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72</w:t>
            </w:r>
          </w:p>
        </w:tc>
        <w:tc>
          <w:tcPr>
            <w:tcW w:w="1418" w:type="dxa"/>
            <w:tcBorders>
              <w:top w:val="single" w:sz="4" w:space="0" w:color="auto"/>
              <w:left w:val="nil"/>
              <w:bottom w:val="single" w:sz="4" w:space="0" w:color="auto"/>
              <w:right w:val="nil"/>
            </w:tcBorders>
            <w:shd w:val="clear" w:color="000000" w:fill="E8E8E8"/>
            <w:noWrap/>
            <w:vAlign w:val="center"/>
            <w:hideMark/>
          </w:tcPr>
          <w:p w14:paraId="4F7B78C7"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37 (51.4%)</w:t>
            </w:r>
          </w:p>
        </w:tc>
        <w:tc>
          <w:tcPr>
            <w:tcW w:w="1134" w:type="dxa"/>
            <w:tcBorders>
              <w:top w:val="single" w:sz="4" w:space="0" w:color="auto"/>
              <w:left w:val="nil"/>
              <w:bottom w:val="single" w:sz="4" w:space="0" w:color="auto"/>
              <w:right w:val="nil"/>
            </w:tcBorders>
            <w:shd w:val="clear" w:color="000000" w:fill="E8E8E8"/>
            <w:noWrap/>
            <w:vAlign w:val="center"/>
            <w:hideMark/>
          </w:tcPr>
          <w:p w14:paraId="4ED55178"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35 (48.6%)</w:t>
            </w:r>
          </w:p>
        </w:tc>
        <w:tc>
          <w:tcPr>
            <w:tcW w:w="1134" w:type="dxa"/>
            <w:tcBorders>
              <w:top w:val="single" w:sz="4" w:space="0" w:color="auto"/>
              <w:left w:val="nil"/>
              <w:bottom w:val="single" w:sz="4" w:space="0" w:color="auto"/>
              <w:right w:val="nil"/>
            </w:tcBorders>
            <w:shd w:val="clear" w:color="000000" w:fill="E8E8E8"/>
            <w:noWrap/>
            <w:vAlign w:val="center"/>
            <w:hideMark/>
          </w:tcPr>
          <w:p w14:paraId="68A34700" w14:textId="77777777" w:rsidR="00727819" w:rsidRPr="00727819" w:rsidRDefault="00727819">
            <w:pPr>
              <w:jc w:val="center"/>
              <w:rPr>
                <w:rFonts w:ascii="Arial" w:hAnsi="Arial" w:cs="Arial"/>
                <w:color w:val="000000"/>
                <w:sz w:val="18"/>
                <w:szCs w:val="18"/>
              </w:rPr>
            </w:pPr>
            <w:r w:rsidRPr="00727819">
              <w:rPr>
                <w:rFonts w:ascii="Arial" w:hAnsi="Arial" w:cs="Arial"/>
                <w:sz w:val="18"/>
                <w:szCs w:val="18"/>
              </w:rPr>
              <w:t>0.779</w:t>
            </w:r>
          </w:p>
        </w:tc>
        <w:tc>
          <w:tcPr>
            <w:tcW w:w="1417" w:type="dxa"/>
            <w:tcBorders>
              <w:top w:val="single" w:sz="4" w:space="0" w:color="auto"/>
              <w:left w:val="nil"/>
              <w:bottom w:val="single" w:sz="4" w:space="0" w:color="auto"/>
              <w:right w:val="nil"/>
            </w:tcBorders>
            <w:shd w:val="clear" w:color="000000" w:fill="E8E8E8"/>
            <w:noWrap/>
            <w:vAlign w:val="center"/>
            <w:hideMark/>
          </w:tcPr>
          <w:p w14:paraId="5AE7C61B"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38 (54.3%)</w:t>
            </w:r>
          </w:p>
        </w:tc>
        <w:tc>
          <w:tcPr>
            <w:tcW w:w="1560" w:type="dxa"/>
            <w:tcBorders>
              <w:top w:val="single" w:sz="4" w:space="0" w:color="auto"/>
              <w:left w:val="nil"/>
              <w:bottom w:val="single" w:sz="4" w:space="0" w:color="auto"/>
              <w:right w:val="nil"/>
            </w:tcBorders>
            <w:shd w:val="clear" w:color="000000" w:fill="E8E8E8"/>
            <w:noWrap/>
            <w:vAlign w:val="center"/>
            <w:hideMark/>
          </w:tcPr>
          <w:p w14:paraId="08A7E45C"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17 (44.7%)</w:t>
            </w:r>
          </w:p>
        </w:tc>
        <w:tc>
          <w:tcPr>
            <w:tcW w:w="1559" w:type="dxa"/>
            <w:tcBorders>
              <w:top w:val="single" w:sz="4" w:space="0" w:color="auto"/>
              <w:left w:val="nil"/>
              <w:bottom w:val="single" w:sz="4" w:space="0" w:color="auto"/>
              <w:right w:val="nil"/>
            </w:tcBorders>
            <w:shd w:val="clear" w:color="000000" w:fill="E8E8E8"/>
            <w:noWrap/>
            <w:vAlign w:val="center"/>
            <w:hideMark/>
          </w:tcPr>
          <w:p w14:paraId="2BF05C23"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21 (55.3%)</w:t>
            </w:r>
          </w:p>
        </w:tc>
      </w:tr>
      <w:tr w:rsidR="00727819" w:rsidRPr="00727819" w14:paraId="69A4F217" w14:textId="77777777" w:rsidTr="00727819">
        <w:trPr>
          <w:trHeight w:val="320"/>
        </w:trPr>
        <w:tc>
          <w:tcPr>
            <w:tcW w:w="1560" w:type="dxa"/>
            <w:tcBorders>
              <w:top w:val="nil"/>
              <w:left w:val="nil"/>
              <w:bottom w:val="nil"/>
              <w:right w:val="nil"/>
            </w:tcBorders>
            <w:shd w:val="clear" w:color="auto" w:fill="auto"/>
            <w:noWrap/>
            <w:vAlign w:val="center"/>
            <w:hideMark/>
          </w:tcPr>
          <w:p w14:paraId="3819EB0F" w14:textId="77777777" w:rsidR="00727819" w:rsidRPr="00727819" w:rsidRDefault="00727819">
            <w:pPr>
              <w:rPr>
                <w:rFonts w:ascii="Arial" w:hAnsi="Arial" w:cs="Arial"/>
                <w:color w:val="000000"/>
                <w:sz w:val="18"/>
                <w:szCs w:val="18"/>
              </w:rPr>
            </w:pPr>
            <w:r w:rsidRPr="00727819">
              <w:rPr>
                <w:rFonts w:ascii="Arial" w:hAnsi="Arial" w:cs="Arial"/>
                <w:color w:val="000000"/>
                <w:sz w:val="18"/>
                <w:szCs w:val="18"/>
              </w:rPr>
              <w:t>E365K / N409S</w:t>
            </w:r>
          </w:p>
        </w:tc>
        <w:tc>
          <w:tcPr>
            <w:tcW w:w="1417" w:type="dxa"/>
            <w:tcBorders>
              <w:top w:val="nil"/>
              <w:left w:val="nil"/>
              <w:bottom w:val="nil"/>
              <w:right w:val="nil"/>
            </w:tcBorders>
            <w:shd w:val="clear" w:color="auto" w:fill="auto"/>
            <w:noWrap/>
            <w:vAlign w:val="center"/>
            <w:hideMark/>
          </w:tcPr>
          <w:p w14:paraId="555B7E82"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w:t>
            </w:r>
          </w:p>
        </w:tc>
        <w:tc>
          <w:tcPr>
            <w:tcW w:w="1418" w:type="dxa"/>
            <w:tcBorders>
              <w:top w:val="nil"/>
              <w:left w:val="nil"/>
              <w:bottom w:val="nil"/>
              <w:right w:val="nil"/>
            </w:tcBorders>
            <w:shd w:val="clear" w:color="auto" w:fill="auto"/>
            <w:noWrap/>
            <w:vAlign w:val="center"/>
            <w:hideMark/>
          </w:tcPr>
          <w:p w14:paraId="321115D2"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 (100%)</w:t>
            </w:r>
          </w:p>
        </w:tc>
        <w:tc>
          <w:tcPr>
            <w:tcW w:w="1134" w:type="dxa"/>
            <w:tcBorders>
              <w:top w:val="nil"/>
              <w:left w:val="nil"/>
              <w:bottom w:val="nil"/>
              <w:right w:val="nil"/>
            </w:tcBorders>
            <w:shd w:val="clear" w:color="auto" w:fill="auto"/>
            <w:noWrap/>
            <w:vAlign w:val="center"/>
            <w:hideMark/>
          </w:tcPr>
          <w:p w14:paraId="547EF5E6"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c>
          <w:tcPr>
            <w:tcW w:w="1134" w:type="dxa"/>
            <w:tcBorders>
              <w:top w:val="nil"/>
              <w:left w:val="nil"/>
              <w:bottom w:val="nil"/>
              <w:right w:val="nil"/>
            </w:tcBorders>
            <w:shd w:val="clear" w:color="auto" w:fill="auto"/>
            <w:noWrap/>
            <w:vAlign w:val="center"/>
            <w:hideMark/>
          </w:tcPr>
          <w:p w14:paraId="25AC65E1"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w:t>
            </w:r>
          </w:p>
        </w:tc>
        <w:tc>
          <w:tcPr>
            <w:tcW w:w="1417" w:type="dxa"/>
            <w:tcBorders>
              <w:top w:val="nil"/>
              <w:left w:val="nil"/>
              <w:bottom w:val="nil"/>
              <w:right w:val="nil"/>
            </w:tcBorders>
            <w:shd w:val="clear" w:color="auto" w:fill="auto"/>
            <w:noWrap/>
            <w:vAlign w:val="center"/>
            <w:hideMark/>
          </w:tcPr>
          <w:p w14:paraId="61CD1CBD"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c>
          <w:tcPr>
            <w:tcW w:w="1560" w:type="dxa"/>
            <w:tcBorders>
              <w:top w:val="nil"/>
              <w:left w:val="nil"/>
              <w:bottom w:val="nil"/>
              <w:right w:val="nil"/>
            </w:tcBorders>
            <w:shd w:val="clear" w:color="auto" w:fill="auto"/>
            <w:noWrap/>
            <w:vAlign w:val="center"/>
            <w:hideMark/>
          </w:tcPr>
          <w:p w14:paraId="14D45AC0"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c>
          <w:tcPr>
            <w:tcW w:w="1559" w:type="dxa"/>
            <w:tcBorders>
              <w:top w:val="nil"/>
              <w:left w:val="nil"/>
              <w:bottom w:val="nil"/>
              <w:right w:val="nil"/>
            </w:tcBorders>
            <w:shd w:val="clear" w:color="auto" w:fill="auto"/>
            <w:noWrap/>
            <w:vAlign w:val="center"/>
            <w:hideMark/>
          </w:tcPr>
          <w:p w14:paraId="31AA344B"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r>
      <w:tr w:rsidR="00727819" w:rsidRPr="00727819" w14:paraId="6540E585" w14:textId="77777777" w:rsidTr="00727819">
        <w:trPr>
          <w:trHeight w:val="320"/>
        </w:trPr>
        <w:tc>
          <w:tcPr>
            <w:tcW w:w="1560" w:type="dxa"/>
            <w:tcBorders>
              <w:top w:val="nil"/>
              <w:left w:val="nil"/>
              <w:bottom w:val="nil"/>
              <w:right w:val="nil"/>
            </w:tcBorders>
            <w:shd w:val="clear" w:color="auto" w:fill="auto"/>
            <w:noWrap/>
            <w:vAlign w:val="center"/>
            <w:hideMark/>
          </w:tcPr>
          <w:p w14:paraId="77E85C2E" w14:textId="77777777" w:rsidR="00727819" w:rsidRPr="00727819" w:rsidRDefault="00727819">
            <w:pPr>
              <w:rPr>
                <w:rFonts w:ascii="Arial" w:hAnsi="Arial" w:cs="Arial"/>
                <w:color w:val="000000"/>
                <w:sz w:val="18"/>
                <w:szCs w:val="18"/>
              </w:rPr>
            </w:pPr>
            <w:r w:rsidRPr="00727819">
              <w:rPr>
                <w:rFonts w:ascii="Arial" w:hAnsi="Arial" w:cs="Arial"/>
                <w:color w:val="000000"/>
                <w:sz w:val="18"/>
                <w:szCs w:val="18"/>
              </w:rPr>
              <w:t>N409S</w:t>
            </w:r>
          </w:p>
        </w:tc>
        <w:tc>
          <w:tcPr>
            <w:tcW w:w="1417" w:type="dxa"/>
            <w:tcBorders>
              <w:top w:val="nil"/>
              <w:left w:val="nil"/>
              <w:bottom w:val="nil"/>
              <w:right w:val="nil"/>
            </w:tcBorders>
            <w:shd w:val="clear" w:color="auto" w:fill="auto"/>
            <w:noWrap/>
            <w:vAlign w:val="center"/>
            <w:hideMark/>
          </w:tcPr>
          <w:p w14:paraId="28254C45"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64</w:t>
            </w:r>
          </w:p>
        </w:tc>
        <w:tc>
          <w:tcPr>
            <w:tcW w:w="1418" w:type="dxa"/>
            <w:tcBorders>
              <w:top w:val="nil"/>
              <w:left w:val="nil"/>
              <w:bottom w:val="nil"/>
              <w:right w:val="nil"/>
            </w:tcBorders>
            <w:shd w:val="clear" w:color="auto" w:fill="auto"/>
            <w:noWrap/>
            <w:vAlign w:val="center"/>
            <w:hideMark/>
          </w:tcPr>
          <w:p w14:paraId="39EBBAC6"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34 (53.1%)</w:t>
            </w:r>
          </w:p>
        </w:tc>
        <w:tc>
          <w:tcPr>
            <w:tcW w:w="1134" w:type="dxa"/>
            <w:tcBorders>
              <w:top w:val="nil"/>
              <w:left w:val="nil"/>
              <w:bottom w:val="nil"/>
              <w:right w:val="nil"/>
            </w:tcBorders>
            <w:shd w:val="clear" w:color="auto" w:fill="auto"/>
            <w:noWrap/>
            <w:vAlign w:val="center"/>
            <w:hideMark/>
          </w:tcPr>
          <w:p w14:paraId="23691141"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30 (46.9%)</w:t>
            </w:r>
          </w:p>
        </w:tc>
        <w:tc>
          <w:tcPr>
            <w:tcW w:w="1134" w:type="dxa"/>
            <w:tcBorders>
              <w:top w:val="nil"/>
              <w:left w:val="nil"/>
              <w:bottom w:val="nil"/>
              <w:right w:val="nil"/>
            </w:tcBorders>
            <w:shd w:val="clear" w:color="auto" w:fill="auto"/>
            <w:noWrap/>
            <w:vAlign w:val="center"/>
            <w:hideMark/>
          </w:tcPr>
          <w:p w14:paraId="10C79D7E"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w:t>
            </w:r>
          </w:p>
        </w:tc>
        <w:tc>
          <w:tcPr>
            <w:tcW w:w="1417" w:type="dxa"/>
            <w:tcBorders>
              <w:top w:val="nil"/>
              <w:left w:val="nil"/>
              <w:bottom w:val="nil"/>
              <w:right w:val="nil"/>
            </w:tcBorders>
            <w:shd w:val="clear" w:color="auto" w:fill="auto"/>
            <w:noWrap/>
            <w:vAlign w:val="center"/>
            <w:hideMark/>
          </w:tcPr>
          <w:p w14:paraId="54F1AB10"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33 (51.6%)</w:t>
            </w:r>
          </w:p>
        </w:tc>
        <w:tc>
          <w:tcPr>
            <w:tcW w:w="1560" w:type="dxa"/>
            <w:tcBorders>
              <w:top w:val="nil"/>
              <w:left w:val="nil"/>
              <w:bottom w:val="nil"/>
              <w:right w:val="nil"/>
            </w:tcBorders>
            <w:shd w:val="clear" w:color="auto" w:fill="auto"/>
            <w:noWrap/>
            <w:vAlign w:val="center"/>
            <w:hideMark/>
          </w:tcPr>
          <w:p w14:paraId="563C58CE"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16 (48.5%)</w:t>
            </w:r>
          </w:p>
        </w:tc>
        <w:tc>
          <w:tcPr>
            <w:tcW w:w="1559" w:type="dxa"/>
            <w:tcBorders>
              <w:top w:val="nil"/>
              <w:left w:val="nil"/>
              <w:bottom w:val="nil"/>
              <w:right w:val="nil"/>
            </w:tcBorders>
            <w:shd w:val="clear" w:color="auto" w:fill="auto"/>
            <w:noWrap/>
            <w:vAlign w:val="center"/>
            <w:hideMark/>
          </w:tcPr>
          <w:p w14:paraId="6427C86D"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17 (51.5%)</w:t>
            </w:r>
          </w:p>
        </w:tc>
      </w:tr>
      <w:tr w:rsidR="00727819" w:rsidRPr="00727819" w14:paraId="39EC2FD1" w14:textId="77777777" w:rsidTr="00727819">
        <w:trPr>
          <w:trHeight w:val="320"/>
        </w:trPr>
        <w:tc>
          <w:tcPr>
            <w:tcW w:w="1560" w:type="dxa"/>
            <w:tcBorders>
              <w:top w:val="nil"/>
              <w:left w:val="nil"/>
              <w:bottom w:val="nil"/>
              <w:right w:val="nil"/>
            </w:tcBorders>
            <w:shd w:val="clear" w:color="auto" w:fill="auto"/>
            <w:noWrap/>
            <w:vAlign w:val="center"/>
            <w:hideMark/>
          </w:tcPr>
          <w:p w14:paraId="05B21D0D" w14:textId="77777777" w:rsidR="00727819" w:rsidRPr="00727819" w:rsidRDefault="00727819">
            <w:pPr>
              <w:rPr>
                <w:rFonts w:ascii="Arial" w:hAnsi="Arial" w:cs="Arial"/>
                <w:color w:val="000000"/>
                <w:sz w:val="18"/>
                <w:szCs w:val="18"/>
              </w:rPr>
            </w:pPr>
            <w:r w:rsidRPr="00727819">
              <w:rPr>
                <w:rFonts w:ascii="Arial" w:hAnsi="Arial" w:cs="Arial"/>
                <w:color w:val="000000"/>
                <w:sz w:val="18"/>
                <w:szCs w:val="18"/>
              </w:rPr>
              <w:t>N409S/N409S</w:t>
            </w:r>
          </w:p>
        </w:tc>
        <w:tc>
          <w:tcPr>
            <w:tcW w:w="1417" w:type="dxa"/>
            <w:tcBorders>
              <w:top w:val="nil"/>
              <w:left w:val="nil"/>
              <w:bottom w:val="nil"/>
              <w:right w:val="nil"/>
            </w:tcBorders>
            <w:shd w:val="clear" w:color="auto" w:fill="auto"/>
            <w:noWrap/>
            <w:vAlign w:val="center"/>
            <w:hideMark/>
          </w:tcPr>
          <w:p w14:paraId="1D112742"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6</w:t>
            </w:r>
          </w:p>
        </w:tc>
        <w:tc>
          <w:tcPr>
            <w:tcW w:w="1418" w:type="dxa"/>
            <w:tcBorders>
              <w:top w:val="nil"/>
              <w:left w:val="nil"/>
              <w:bottom w:val="nil"/>
              <w:right w:val="nil"/>
            </w:tcBorders>
            <w:shd w:val="clear" w:color="auto" w:fill="auto"/>
            <w:noWrap/>
            <w:vAlign w:val="center"/>
            <w:hideMark/>
          </w:tcPr>
          <w:p w14:paraId="361BD6E9"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 (16.7%)</w:t>
            </w:r>
          </w:p>
        </w:tc>
        <w:tc>
          <w:tcPr>
            <w:tcW w:w="1134" w:type="dxa"/>
            <w:tcBorders>
              <w:top w:val="nil"/>
              <w:left w:val="nil"/>
              <w:bottom w:val="nil"/>
              <w:right w:val="nil"/>
            </w:tcBorders>
            <w:shd w:val="clear" w:color="auto" w:fill="auto"/>
            <w:noWrap/>
            <w:vAlign w:val="center"/>
            <w:hideMark/>
          </w:tcPr>
          <w:p w14:paraId="65106A81"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5 (83.3%)</w:t>
            </w:r>
          </w:p>
        </w:tc>
        <w:tc>
          <w:tcPr>
            <w:tcW w:w="1134" w:type="dxa"/>
            <w:tcBorders>
              <w:top w:val="nil"/>
              <w:left w:val="nil"/>
              <w:bottom w:val="nil"/>
              <w:right w:val="nil"/>
            </w:tcBorders>
            <w:shd w:val="clear" w:color="auto" w:fill="auto"/>
            <w:noWrap/>
            <w:vAlign w:val="center"/>
            <w:hideMark/>
          </w:tcPr>
          <w:p w14:paraId="41D2CA1A"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w:t>
            </w:r>
          </w:p>
        </w:tc>
        <w:tc>
          <w:tcPr>
            <w:tcW w:w="1417" w:type="dxa"/>
            <w:tcBorders>
              <w:top w:val="nil"/>
              <w:left w:val="nil"/>
              <w:bottom w:val="nil"/>
              <w:right w:val="nil"/>
            </w:tcBorders>
            <w:shd w:val="clear" w:color="auto" w:fill="auto"/>
            <w:noWrap/>
            <w:vAlign w:val="center"/>
            <w:hideMark/>
          </w:tcPr>
          <w:p w14:paraId="4EA02F38"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5 (83.3%)</w:t>
            </w:r>
          </w:p>
        </w:tc>
        <w:tc>
          <w:tcPr>
            <w:tcW w:w="1560" w:type="dxa"/>
            <w:tcBorders>
              <w:top w:val="nil"/>
              <w:left w:val="nil"/>
              <w:bottom w:val="nil"/>
              <w:right w:val="nil"/>
            </w:tcBorders>
            <w:shd w:val="clear" w:color="auto" w:fill="auto"/>
            <w:noWrap/>
            <w:vAlign w:val="center"/>
            <w:hideMark/>
          </w:tcPr>
          <w:p w14:paraId="72406722"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 (20%)</w:t>
            </w:r>
          </w:p>
        </w:tc>
        <w:tc>
          <w:tcPr>
            <w:tcW w:w="1559" w:type="dxa"/>
            <w:tcBorders>
              <w:top w:val="nil"/>
              <w:left w:val="nil"/>
              <w:bottom w:val="nil"/>
              <w:right w:val="nil"/>
            </w:tcBorders>
            <w:shd w:val="clear" w:color="auto" w:fill="auto"/>
            <w:noWrap/>
            <w:vAlign w:val="center"/>
            <w:hideMark/>
          </w:tcPr>
          <w:p w14:paraId="2BC183DB"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4 (80%)</w:t>
            </w:r>
          </w:p>
        </w:tc>
      </w:tr>
      <w:tr w:rsidR="00727819" w:rsidRPr="00727819" w14:paraId="5DDB3A94" w14:textId="77777777" w:rsidTr="00727819">
        <w:trPr>
          <w:trHeight w:val="320"/>
        </w:trPr>
        <w:tc>
          <w:tcPr>
            <w:tcW w:w="1560" w:type="dxa"/>
            <w:tcBorders>
              <w:top w:val="nil"/>
              <w:left w:val="nil"/>
              <w:bottom w:val="nil"/>
              <w:right w:val="nil"/>
            </w:tcBorders>
            <w:shd w:val="clear" w:color="auto" w:fill="auto"/>
            <w:noWrap/>
            <w:vAlign w:val="center"/>
            <w:hideMark/>
          </w:tcPr>
          <w:p w14:paraId="34F334CD" w14:textId="77777777" w:rsidR="00727819" w:rsidRPr="00727819" w:rsidRDefault="00727819">
            <w:pPr>
              <w:rPr>
                <w:rFonts w:ascii="Arial" w:hAnsi="Arial" w:cs="Arial"/>
                <w:color w:val="000000"/>
                <w:sz w:val="18"/>
                <w:szCs w:val="18"/>
              </w:rPr>
            </w:pPr>
            <w:r w:rsidRPr="00727819">
              <w:rPr>
                <w:rFonts w:ascii="Arial" w:hAnsi="Arial" w:cs="Arial"/>
                <w:color w:val="000000"/>
                <w:sz w:val="18"/>
                <w:szCs w:val="18"/>
              </w:rPr>
              <w:t>R535H</w:t>
            </w:r>
          </w:p>
        </w:tc>
        <w:tc>
          <w:tcPr>
            <w:tcW w:w="1417" w:type="dxa"/>
            <w:tcBorders>
              <w:top w:val="nil"/>
              <w:left w:val="nil"/>
              <w:bottom w:val="nil"/>
              <w:right w:val="nil"/>
            </w:tcBorders>
            <w:shd w:val="clear" w:color="auto" w:fill="auto"/>
            <w:noWrap/>
            <w:vAlign w:val="center"/>
            <w:hideMark/>
          </w:tcPr>
          <w:p w14:paraId="713D6813"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w:t>
            </w:r>
          </w:p>
        </w:tc>
        <w:tc>
          <w:tcPr>
            <w:tcW w:w="1418" w:type="dxa"/>
            <w:tcBorders>
              <w:top w:val="nil"/>
              <w:left w:val="nil"/>
              <w:bottom w:val="nil"/>
              <w:right w:val="nil"/>
            </w:tcBorders>
            <w:shd w:val="clear" w:color="auto" w:fill="auto"/>
            <w:noWrap/>
            <w:vAlign w:val="center"/>
            <w:hideMark/>
          </w:tcPr>
          <w:p w14:paraId="5BCE854E"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 (100%)</w:t>
            </w:r>
          </w:p>
        </w:tc>
        <w:tc>
          <w:tcPr>
            <w:tcW w:w="1134" w:type="dxa"/>
            <w:tcBorders>
              <w:top w:val="nil"/>
              <w:left w:val="nil"/>
              <w:bottom w:val="nil"/>
              <w:right w:val="nil"/>
            </w:tcBorders>
            <w:shd w:val="clear" w:color="auto" w:fill="auto"/>
            <w:noWrap/>
            <w:vAlign w:val="center"/>
            <w:hideMark/>
          </w:tcPr>
          <w:p w14:paraId="1CDCEA76"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c>
          <w:tcPr>
            <w:tcW w:w="1134" w:type="dxa"/>
            <w:tcBorders>
              <w:top w:val="nil"/>
              <w:left w:val="nil"/>
              <w:bottom w:val="nil"/>
              <w:right w:val="nil"/>
            </w:tcBorders>
            <w:shd w:val="clear" w:color="auto" w:fill="auto"/>
            <w:noWrap/>
            <w:vAlign w:val="center"/>
            <w:hideMark/>
          </w:tcPr>
          <w:p w14:paraId="621B84A3"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w:t>
            </w:r>
          </w:p>
        </w:tc>
        <w:tc>
          <w:tcPr>
            <w:tcW w:w="1417" w:type="dxa"/>
            <w:tcBorders>
              <w:top w:val="nil"/>
              <w:left w:val="nil"/>
              <w:bottom w:val="nil"/>
              <w:right w:val="nil"/>
            </w:tcBorders>
            <w:shd w:val="clear" w:color="auto" w:fill="auto"/>
            <w:noWrap/>
            <w:vAlign w:val="center"/>
            <w:hideMark/>
          </w:tcPr>
          <w:p w14:paraId="54BC3DE6"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c>
          <w:tcPr>
            <w:tcW w:w="1560" w:type="dxa"/>
            <w:tcBorders>
              <w:top w:val="nil"/>
              <w:left w:val="nil"/>
              <w:bottom w:val="nil"/>
              <w:right w:val="nil"/>
            </w:tcBorders>
            <w:shd w:val="clear" w:color="auto" w:fill="auto"/>
            <w:noWrap/>
            <w:vAlign w:val="center"/>
            <w:hideMark/>
          </w:tcPr>
          <w:p w14:paraId="549F94D8"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c>
          <w:tcPr>
            <w:tcW w:w="1559" w:type="dxa"/>
            <w:tcBorders>
              <w:top w:val="nil"/>
              <w:left w:val="nil"/>
              <w:bottom w:val="nil"/>
              <w:right w:val="nil"/>
            </w:tcBorders>
            <w:shd w:val="clear" w:color="auto" w:fill="auto"/>
            <w:noWrap/>
            <w:vAlign w:val="center"/>
            <w:hideMark/>
          </w:tcPr>
          <w:p w14:paraId="091DF8B7"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r>
      <w:tr w:rsidR="00727819" w:rsidRPr="00727819" w14:paraId="4DBD2E38" w14:textId="77777777" w:rsidTr="00727819">
        <w:trPr>
          <w:trHeight w:val="320"/>
        </w:trPr>
        <w:tc>
          <w:tcPr>
            <w:tcW w:w="1560" w:type="dxa"/>
            <w:tcBorders>
              <w:top w:val="single" w:sz="4" w:space="0" w:color="auto"/>
              <w:left w:val="nil"/>
              <w:bottom w:val="single" w:sz="4" w:space="0" w:color="auto"/>
              <w:right w:val="nil"/>
            </w:tcBorders>
            <w:shd w:val="clear" w:color="000000" w:fill="E8E8E8"/>
            <w:noWrap/>
            <w:vAlign w:val="center"/>
            <w:hideMark/>
          </w:tcPr>
          <w:p w14:paraId="3E631F26" w14:textId="77777777" w:rsidR="00727819" w:rsidRPr="00727819" w:rsidRDefault="00727819">
            <w:pPr>
              <w:rPr>
                <w:rFonts w:ascii="Arial" w:hAnsi="Arial" w:cs="Arial"/>
                <w:i/>
                <w:iCs/>
                <w:color w:val="000000"/>
                <w:sz w:val="18"/>
                <w:szCs w:val="18"/>
              </w:rPr>
            </w:pPr>
            <w:r w:rsidRPr="00727819">
              <w:rPr>
                <w:rFonts w:ascii="Arial" w:hAnsi="Arial" w:cs="Arial"/>
                <w:i/>
                <w:iCs/>
                <w:color w:val="000000"/>
                <w:sz w:val="18"/>
                <w:szCs w:val="18"/>
              </w:rPr>
              <w:t>Severe</w:t>
            </w:r>
          </w:p>
        </w:tc>
        <w:tc>
          <w:tcPr>
            <w:tcW w:w="1417" w:type="dxa"/>
            <w:tcBorders>
              <w:top w:val="single" w:sz="4" w:space="0" w:color="auto"/>
              <w:left w:val="nil"/>
              <w:bottom w:val="single" w:sz="4" w:space="0" w:color="auto"/>
              <w:right w:val="nil"/>
            </w:tcBorders>
            <w:shd w:val="clear" w:color="000000" w:fill="E8E8E8"/>
            <w:noWrap/>
            <w:vAlign w:val="center"/>
            <w:hideMark/>
          </w:tcPr>
          <w:p w14:paraId="7BAED768"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14</w:t>
            </w:r>
          </w:p>
        </w:tc>
        <w:tc>
          <w:tcPr>
            <w:tcW w:w="1418" w:type="dxa"/>
            <w:tcBorders>
              <w:top w:val="single" w:sz="4" w:space="0" w:color="auto"/>
              <w:left w:val="nil"/>
              <w:bottom w:val="single" w:sz="4" w:space="0" w:color="auto"/>
              <w:right w:val="nil"/>
            </w:tcBorders>
            <w:shd w:val="clear" w:color="000000" w:fill="E8E8E8"/>
            <w:noWrap/>
            <w:vAlign w:val="center"/>
            <w:hideMark/>
          </w:tcPr>
          <w:p w14:paraId="7D8AB27B"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5 (35.7%)</w:t>
            </w:r>
          </w:p>
        </w:tc>
        <w:tc>
          <w:tcPr>
            <w:tcW w:w="1134" w:type="dxa"/>
            <w:tcBorders>
              <w:top w:val="single" w:sz="4" w:space="0" w:color="auto"/>
              <w:left w:val="nil"/>
              <w:bottom w:val="single" w:sz="4" w:space="0" w:color="auto"/>
              <w:right w:val="nil"/>
            </w:tcBorders>
            <w:shd w:val="clear" w:color="000000" w:fill="E8E8E8"/>
            <w:noWrap/>
            <w:vAlign w:val="center"/>
            <w:hideMark/>
          </w:tcPr>
          <w:p w14:paraId="4CEE02B5"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9 (64.3%)</w:t>
            </w:r>
          </w:p>
        </w:tc>
        <w:tc>
          <w:tcPr>
            <w:tcW w:w="1134" w:type="dxa"/>
            <w:tcBorders>
              <w:top w:val="single" w:sz="4" w:space="0" w:color="auto"/>
              <w:left w:val="nil"/>
              <w:bottom w:val="single" w:sz="4" w:space="0" w:color="auto"/>
              <w:right w:val="nil"/>
            </w:tcBorders>
            <w:shd w:val="clear" w:color="000000" w:fill="E8E8E8"/>
            <w:noWrap/>
            <w:vAlign w:val="center"/>
            <w:hideMark/>
          </w:tcPr>
          <w:p w14:paraId="61EAB47E" w14:textId="77777777" w:rsidR="00727819" w:rsidRPr="00727819" w:rsidRDefault="00727819">
            <w:pPr>
              <w:jc w:val="center"/>
              <w:rPr>
                <w:rFonts w:ascii="Arial" w:hAnsi="Arial" w:cs="Arial"/>
                <w:b/>
                <w:bCs/>
                <w:color w:val="000000"/>
                <w:sz w:val="18"/>
                <w:szCs w:val="18"/>
              </w:rPr>
            </w:pPr>
            <w:r w:rsidRPr="00727819">
              <w:rPr>
                <w:rFonts w:ascii="Arial" w:hAnsi="Arial" w:cs="Arial"/>
                <w:b/>
                <w:bCs/>
                <w:sz w:val="18"/>
                <w:szCs w:val="18"/>
              </w:rPr>
              <w:t>0.004</w:t>
            </w:r>
          </w:p>
        </w:tc>
        <w:tc>
          <w:tcPr>
            <w:tcW w:w="1417" w:type="dxa"/>
            <w:tcBorders>
              <w:top w:val="single" w:sz="4" w:space="0" w:color="auto"/>
              <w:left w:val="nil"/>
              <w:bottom w:val="single" w:sz="4" w:space="0" w:color="auto"/>
              <w:right w:val="nil"/>
            </w:tcBorders>
            <w:shd w:val="clear" w:color="000000" w:fill="E8E8E8"/>
            <w:noWrap/>
            <w:vAlign w:val="center"/>
            <w:hideMark/>
          </w:tcPr>
          <w:p w14:paraId="041B1E58"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8 (57.1%)</w:t>
            </w:r>
          </w:p>
        </w:tc>
        <w:tc>
          <w:tcPr>
            <w:tcW w:w="1560" w:type="dxa"/>
            <w:tcBorders>
              <w:top w:val="single" w:sz="4" w:space="0" w:color="auto"/>
              <w:left w:val="nil"/>
              <w:bottom w:val="single" w:sz="4" w:space="0" w:color="auto"/>
              <w:right w:val="nil"/>
            </w:tcBorders>
            <w:shd w:val="clear" w:color="000000" w:fill="E8E8E8"/>
            <w:noWrap/>
            <w:vAlign w:val="center"/>
            <w:hideMark/>
          </w:tcPr>
          <w:p w14:paraId="1F67BDE8"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3 (37.5%)</w:t>
            </w:r>
          </w:p>
        </w:tc>
        <w:tc>
          <w:tcPr>
            <w:tcW w:w="1559" w:type="dxa"/>
            <w:tcBorders>
              <w:top w:val="single" w:sz="4" w:space="0" w:color="auto"/>
              <w:left w:val="nil"/>
              <w:bottom w:val="single" w:sz="4" w:space="0" w:color="auto"/>
              <w:right w:val="nil"/>
            </w:tcBorders>
            <w:shd w:val="clear" w:color="000000" w:fill="E8E8E8"/>
            <w:noWrap/>
            <w:vAlign w:val="center"/>
            <w:hideMark/>
          </w:tcPr>
          <w:p w14:paraId="69ED4000"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 xml:space="preserve"> 5 (62.5%)</w:t>
            </w:r>
          </w:p>
        </w:tc>
      </w:tr>
      <w:tr w:rsidR="00727819" w:rsidRPr="00727819" w14:paraId="5BE97BFE" w14:textId="77777777" w:rsidTr="00727819">
        <w:trPr>
          <w:trHeight w:val="320"/>
        </w:trPr>
        <w:tc>
          <w:tcPr>
            <w:tcW w:w="1560" w:type="dxa"/>
            <w:tcBorders>
              <w:top w:val="nil"/>
              <w:left w:val="nil"/>
              <w:bottom w:val="nil"/>
              <w:right w:val="nil"/>
            </w:tcBorders>
            <w:shd w:val="clear" w:color="auto" w:fill="auto"/>
            <w:noWrap/>
            <w:vAlign w:val="center"/>
            <w:hideMark/>
          </w:tcPr>
          <w:p w14:paraId="6DA2FB99" w14:textId="77777777" w:rsidR="00727819" w:rsidRPr="00727819" w:rsidRDefault="00727819">
            <w:pPr>
              <w:rPr>
                <w:rFonts w:ascii="Arial" w:hAnsi="Arial" w:cs="Arial"/>
                <w:color w:val="000000"/>
                <w:sz w:val="18"/>
                <w:szCs w:val="18"/>
              </w:rPr>
            </w:pPr>
            <w:r w:rsidRPr="00727819">
              <w:rPr>
                <w:rFonts w:ascii="Arial" w:hAnsi="Arial" w:cs="Arial"/>
                <w:color w:val="000000"/>
                <w:sz w:val="18"/>
                <w:szCs w:val="18"/>
              </w:rPr>
              <w:t>E427K / L483P</w:t>
            </w:r>
          </w:p>
        </w:tc>
        <w:tc>
          <w:tcPr>
            <w:tcW w:w="1417" w:type="dxa"/>
            <w:tcBorders>
              <w:top w:val="nil"/>
              <w:left w:val="nil"/>
              <w:bottom w:val="nil"/>
              <w:right w:val="nil"/>
            </w:tcBorders>
            <w:shd w:val="clear" w:color="auto" w:fill="auto"/>
            <w:noWrap/>
            <w:vAlign w:val="center"/>
            <w:hideMark/>
          </w:tcPr>
          <w:p w14:paraId="209B13F2"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w:t>
            </w:r>
          </w:p>
        </w:tc>
        <w:tc>
          <w:tcPr>
            <w:tcW w:w="1418" w:type="dxa"/>
            <w:tcBorders>
              <w:top w:val="nil"/>
              <w:left w:val="nil"/>
              <w:bottom w:val="nil"/>
              <w:right w:val="nil"/>
            </w:tcBorders>
            <w:shd w:val="clear" w:color="auto" w:fill="auto"/>
            <w:noWrap/>
            <w:vAlign w:val="center"/>
            <w:hideMark/>
          </w:tcPr>
          <w:p w14:paraId="7858EC06"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 (100%)</w:t>
            </w:r>
          </w:p>
        </w:tc>
        <w:tc>
          <w:tcPr>
            <w:tcW w:w="1134" w:type="dxa"/>
            <w:tcBorders>
              <w:top w:val="nil"/>
              <w:left w:val="nil"/>
              <w:bottom w:val="nil"/>
              <w:right w:val="nil"/>
            </w:tcBorders>
            <w:shd w:val="clear" w:color="auto" w:fill="auto"/>
            <w:noWrap/>
            <w:vAlign w:val="center"/>
            <w:hideMark/>
          </w:tcPr>
          <w:p w14:paraId="06639C77"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c>
          <w:tcPr>
            <w:tcW w:w="1134" w:type="dxa"/>
            <w:tcBorders>
              <w:top w:val="nil"/>
              <w:left w:val="nil"/>
              <w:bottom w:val="nil"/>
              <w:right w:val="nil"/>
            </w:tcBorders>
            <w:shd w:val="clear" w:color="auto" w:fill="auto"/>
            <w:noWrap/>
            <w:vAlign w:val="center"/>
            <w:hideMark/>
          </w:tcPr>
          <w:p w14:paraId="3676457E"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w:t>
            </w:r>
          </w:p>
        </w:tc>
        <w:tc>
          <w:tcPr>
            <w:tcW w:w="1417" w:type="dxa"/>
            <w:tcBorders>
              <w:top w:val="nil"/>
              <w:left w:val="nil"/>
              <w:bottom w:val="nil"/>
              <w:right w:val="nil"/>
            </w:tcBorders>
            <w:shd w:val="clear" w:color="auto" w:fill="auto"/>
            <w:noWrap/>
            <w:vAlign w:val="center"/>
            <w:hideMark/>
          </w:tcPr>
          <w:p w14:paraId="7254B874"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c>
          <w:tcPr>
            <w:tcW w:w="1560" w:type="dxa"/>
            <w:tcBorders>
              <w:top w:val="nil"/>
              <w:left w:val="nil"/>
              <w:bottom w:val="nil"/>
              <w:right w:val="nil"/>
            </w:tcBorders>
            <w:shd w:val="clear" w:color="auto" w:fill="auto"/>
            <w:noWrap/>
            <w:vAlign w:val="center"/>
            <w:hideMark/>
          </w:tcPr>
          <w:p w14:paraId="3735377F"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c>
          <w:tcPr>
            <w:tcW w:w="1559" w:type="dxa"/>
            <w:tcBorders>
              <w:top w:val="nil"/>
              <w:left w:val="nil"/>
              <w:bottom w:val="nil"/>
              <w:right w:val="nil"/>
            </w:tcBorders>
            <w:shd w:val="clear" w:color="auto" w:fill="auto"/>
            <w:noWrap/>
            <w:vAlign w:val="center"/>
            <w:hideMark/>
          </w:tcPr>
          <w:p w14:paraId="0F9ED8A2"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r>
      <w:tr w:rsidR="00727819" w:rsidRPr="00727819" w14:paraId="195B1106" w14:textId="77777777" w:rsidTr="00727819">
        <w:trPr>
          <w:trHeight w:val="320"/>
        </w:trPr>
        <w:tc>
          <w:tcPr>
            <w:tcW w:w="1560" w:type="dxa"/>
            <w:tcBorders>
              <w:top w:val="nil"/>
              <w:left w:val="nil"/>
              <w:bottom w:val="nil"/>
              <w:right w:val="nil"/>
            </w:tcBorders>
            <w:shd w:val="clear" w:color="auto" w:fill="auto"/>
            <w:noWrap/>
            <w:vAlign w:val="center"/>
            <w:hideMark/>
          </w:tcPr>
          <w:p w14:paraId="2746A182" w14:textId="77777777" w:rsidR="00727819" w:rsidRPr="00727819" w:rsidRDefault="00727819">
            <w:pPr>
              <w:rPr>
                <w:rFonts w:ascii="Arial" w:hAnsi="Arial" w:cs="Arial"/>
                <w:color w:val="000000"/>
                <w:sz w:val="18"/>
                <w:szCs w:val="18"/>
              </w:rPr>
            </w:pPr>
            <w:r w:rsidRPr="00727819">
              <w:rPr>
                <w:rFonts w:ascii="Arial" w:hAnsi="Arial" w:cs="Arial"/>
                <w:color w:val="000000"/>
                <w:sz w:val="18"/>
                <w:szCs w:val="18"/>
              </w:rPr>
              <w:t>IVS2+1G&gt;A</w:t>
            </w:r>
          </w:p>
        </w:tc>
        <w:tc>
          <w:tcPr>
            <w:tcW w:w="1417" w:type="dxa"/>
            <w:tcBorders>
              <w:top w:val="nil"/>
              <w:left w:val="nil"/>
              <w:bottom w:val="nil"/>
              <w:right w:val="nil"/>
            </w:tcBorders>
            <w:shd w:val="clear" w:color="auto" w:fill="auto"/>
            <w:noWrap/>
            <w:vAlign w:val="center"/>
            <w:hideMark/>
          </w:tcPr>
          <w:p w14:paraId="5BAEB0B9"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w:t>
            </w:r>
          </w:p>
        </w:tc>
        <w:tc>
          <w:tcPr>
            <w:tcW w:w="1418" w:type="dxa"/>
            <w:tcBorders>
              <w:top w:val="nil"/>
              <w:left w:val="nil"/>
              <w:bottom w:val="nil"/>
              <w:right w:val="nil"/>
            </w:tcBorders>
            <w:shd w:val="clear" w:color="auto" w:fill="auto"/>
            <w:noWrap/>
            <w:vAlign w:val="center"/>
            <w:hideMark/>
          </w:tcPr>
          <w:p w14:paraId="57BE8166"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c>
          <w:tcPr>
            <w:tcW w:w="1134" w:type="dxa"/>
            <w:tcBorders>
              <w:top w:val="nil"/>
              <w:left w:val="nil"/>
              <w:bottom w:val="nil"/>
              <w:right w:val="nil"/>
            </w:tcBorders>
            <w:shd w:val="clear" w:color="auto" w:fill="auto"/>
            <w:noWrap/>
            <w:vAlign w:val="center"/>
            <w:hideMark/>
          </w:tcPr>
          <w:p w14:paraId="4276F7E0"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 (100%)</w:t>
            </w:r>
          </w:p>
        </w:tc>
        <w:tc>
          <w:tcPr>
            <w:tcW w:w="1134" w:type="dxa"/>
            <w:tcBorders>
              <w:top w:val="nil"/>
              <w:left w:val="nil"/>
              <w:bottom w:val="nil"/>
              <w:right w:val="nil"/>
            </w:tcBorders>
            <w:shd w:val="clear" w:color="auto" w:fill="auto"/>
            <w:noWrap/>
            <w:vAlign w:val="center"/>
            <w:hideMark/>
          </w:tcPr>
          <w:p w14:paraId="691033B3"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w:t>
            </w:r>
          </w:p>
        </w:tc>
        <w:tc>
          <w:tcPr>
            <w:tcW w:w="1417" w:type="dxa"/>
            <w:tcBorders>
              <w:top w:val="nil"/>
              <w:left w:val="nil"/>
              <w:bottom w:val="nil"/>
              <w:right w:val="nil"/>
            </w:tcBorders>
            <w:shd w:val="clear" w:color="auto" w:fill="auto"/>
            <w:noWrap/>
            <w:vAlign w:val="center"/>
            <w:hideMark/>
          </w:tcPr>
          <w:p w14:paraId="2D9C4660"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c>
          <w:tcPr>
            <w:tcW w:w="1560" w:type="dxa"/>
            <w:tcBorders>
              <w:top w:val="nil"/>
              <w:left w:val="nil"/>
              <w:bottom w:val="nil"/>
              <w:right w:val="nil"/>
            </w:tcBorders>
            <w:shd w:val="clear" w:color="auto" w:fill="auto"/>
            <w:noWrap/>
            <w:vAlign w:val="center"/>
            <w:hideMark/>
          </w:tcPr>
          <w:p w14:paraId="5F449D60"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c>
          <w:tcPr>
            <w:tcW w:w="1559" w:type="dxa"/>
            <w:tcBorders>
              <w:top w:val="nil"/>
              <w:left w:val="nil"/>
              <w:bottom w:val="nil"/>
              <w:right w:val="nil"/>
            </w:tcBorders>
            <w:shd w:val="clear" w:color="auto" w:fill="auto"/>
            <w:noWrap/>
            <w:vAlign w:val="center"/>
            <w:hideMark/>
          </w:tcPr>
          <w:p w14:paraId="6656572C"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r>
      <w:tr w:rsidR="00727819" w:rsidRPr="00727819" w14:paraId="1D969A54" w14:textId="77777777" w:rsidTr="00727819">
        <w:trPr>
          <w:trHeight w:val="320"/>
        </w:trPr>
        <w:tc>
          <w:tcPr>
            <w:tcW w:w="1560" w:type="dxa"/>
            <w:tcBorders>
              <w:top w:val="nil"/>
              <w:left w:val="nil"/>
              <w:bottom w:val="nil"/>
              <w:right w:val="nil"/>
            </w:tcBorders>
            <w:shd w:val="clear" w:color="auto" w:fill="auto"/>
            <w:noWrap/>
            <w:vAlign w:val="center"/>
            <w:hideMark/>
          </w:tcPr>
          <w:p w14:paraId="55A8C515" w14:textId="77777777" w:rsidR="00727819" w:rsidRPr="00727819" w:rsidRDefault="00727819">
            <w:pPr>
              <w:rPr>
                <w:rFonts w:ascii="Arial" w:hAnsi="Arial" w:cs="Arial"/>
                <w:color w:val="000000"/>
                <w:sz w:val="18"/>
                <w:szCs w:val="18"/>
              </w:rPr>
            </w:pPr>
            <w:r w:rsidRPr="00727819">
              <w:rPr>
                <w:rFonts w:ascii="Arial" w:hAnsi="Arial" w:cs="Arial"/>
                <w:color w:val="000000"/>
                <w:sz w:val="18"/>
                <w:szCs w:val="18"/>
              </w:rPr>
              <w:t>L29Afs*18</w:t>
            </w:r>
          </w:p>
        </w:tc>
        <w:tc>
          <w:tcPr>
            <w:tcW w:w="1417" w:type="dxa"/>
            <w:tcBorders>
              <w:top w:val="nil"/>
              <w:left w:val="nil"/>
              <w:bottom w:val="nil"/>
              <w:right w:val="nil"/>
            </w:tcBorders>
            <w:shd w:val="clear" w:color="auto" w:fill="auto"/>
            <w:noWrap/>
            <w:vAlign w:val="center"/>
            <w:hideMark/>
          </w:tcPr>
          <w:p w14:paraId="469D8F6B"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4</w:t>
            </w:r>
          </w:p>
        </w:tc>
        <w:tc>
          <w:tcPr>
            <w:tcW w:w="1418" w:type="dxa"/>
            <w:tcBorders>
              <w:top w:val="nil"/>
              <w:left w:val="nil"/>
              <w:bottom w:val="nil"/>
              <w:right w:val="nil"/>
            </w:tcBorders>
            <w:shd w:val="clear" w:color="auto" w:fill="auto"/>
            <w:noWrap/>
            <w:vAlign w:val="center"/>
            <w:hideMark/>
          </w:tcPr>
          <w:p w14:paraId="2593DF14"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2 (50%)</w:t>
            </w:r>
          </w:p>
        </w:tc>
        <w:tc>
          <w:tcPr>
            <w:tcW w:w="1134" w:type="dxa"/>
            <w:tcBorders>
              <w:top w:val="nil"/>
              <w:left w:val="nil"/>
              <w:bottom w:val="nil"/>
              <w:right w:val="nil"/>
            </w:tcBorders>
            <w:shd w:val="clear" w:color="auto" w:fill="auto"/>
            <w:noWrap/>
            <w:vAlign w:val="center"/>
            <w:hideMark/>
          </w:tcPr>
          <w:p w14:paraId="34E1C8A0"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2 (50%)</w:t>
            </w:r>
          </w:p>
        </w:tc>
        <w:tc>
          <w:tcPr>
            <w:tcW w:w="1134" w:type="dxa"/>
            <w:tcBorders>
              <w:top w:val="nil"/>
              <w:left w:val="nil"/>
              <w:bottom w:val="nil"/>
              <w:right w:val="nil"/>
            </w:tcBorders>
            <w:shd w:val="clear" w:color="auto" w:fill="auto"/>
            <w:noWrap/>
            <w:vAlign w:val="center"/>
            <w:hideMark/>
          </w:tcPr>
          <w:p w14:paraId="54DA6B1B"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w:t>
            </w:r>
          </w:p>
        </w:tc>
        <w:tc>
          <w:tcPr>
            <w:tcW w:w="1417" w:type="dxa"/>
            <w:tcBorders>
              <w:top w:val="nil"/>
              <w:left w:val="nil"/>
              <w:bottom w:val="nil"/>
              <w:right w:val="nil"/>
            </w:tcBorders>
            <w:shd w:val="clear" w:color="auto" w:fill="auto"/>
            <w:noWrap/>
            <w:vAlign w:val="center"/>
            <w:hideMark/>
          </w:tcPr>
          <w:p w14:paraId="5A4BC180"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3 (75%)</w:t>
            </w:r>
          </w:p>
        </w:tc>
        <w:tc>
          <w:tcPr>
            <w:tcW w:w="1560" w:type="dxa"/>
            <w:tcBorders>
              <w:top w:val="nil"/>
              <w:left w:val="nil"/>
              <w:bottom w:val="nil"/>
              <w:right w:val="nil"/>
            </w:tcBorders>
            <w:shd w:val="clear" w:color="auto" w:fill="auto"/>
            <w:noWrap/>
            <w:vAlign w:val="center"/>
            <w:hideMark/>
          </w:tcPr>
          <w:p w14:paraId="274B2B69"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 (33.3%)</w:t>
            </w:r>
          </w:p>
        </w:tc>
        <w:tc>
          <w:tcPr>
            <w:tcW w:w="1559" w:type="dxa"/>
            <w:tcBorders>
              <w:top w:val="nil"/>
              <w:left w:val="nil"/>
              <w:bottom w:val="nil"/>
              <w:right w:val="nil"/>
            </w:tcBorders>
            <w:shd w:val="clear" w:color="auto" w:fill="auto"/>
            <w:noWrap/>
            <w:vAlign w:val="center"/>
            <w:hideMark/>
          </w:tcPr>
          <w:p w14:paraId="09CD21CE"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2 (66.7%)</w:t>
            </w:r>
          </w:p>
        </w:tc>
      </w:tr>
      <w:tr w:rsidR="00727819" w:rsidRPr="00727819" w14:paraId="116038A0" w14:textId="77777777" w:rsidTr="00727819">
        <w:trPr>
          <w:trHeight w:val="320"/>
        </w:trPr>
        <w:tc>
          <w:tcPr>
            <w:tcW w:w="1560" w:type="dxa"/>
            <w:tcBorders>
              <w:top w:val="nil"/>
              <w:left w:val="nil"/>
              <w:bottom w:val="nil"/>
              <w:right w:val="nil"/>
            </w:tcBorders>
            <w:shd w:val="clear" w:color="auto" w:fill="auto"/>
            <w:noWrap/>
            <w:vAlign w:val="center"/>
            <w:hideMark/>
          </w:tcPr>
          <w:p w14:paraId="35AB4EB9" w14:textId="77777777" w:rsidR="00727819" w:rsidRPr="00727819" w:rsidRDefault="00727819">
            <w:pPr>
              <w:rPr>
                <w:rFonts w:ascii="Arial" w:hAnsi="Arial" w:cs="Arial"/>
                <w:color w:val="000000"/>
                <w:sz w:val="18"/>
                <w:szCs w:val="18"/>
              </w:rPr>
            </w:pPr>
            <w:r w:rsidRPr="00727819">
              <w:rPr>
                <w:rFonts w:ascii="Arial" w:hAnsi="Arial" w:cs="Arial"/>
                <w:color w:val="000000"/>
                <w:sz w:val="18"/>
                <w:szCs w:val="18"/>
              </w:rPr>
              <w:t>L483P</w:t>
            </w:r>
          </w:p>
        </w:tc>
        <w:tc>
          <w:tcPr>
            <w:tcW w:w="1417" w:type="dxa"/>
            <w:tcBorders>
              <w:top w:val="nil"/>
              <w:left w:val="nil"/>
              <w:bottom w:val="nil"/>
              <w:right w:val="nil"/>
            </w:tcBorders>
            <w:shd w:val="clear" w:color="auto" w:fill="auto"/>
            <w:noWrap/>
            <w:vAlign w:val="center"/>
            <w:hideMark/>
          </w:tcPr>
          <w:p w14:paraId="07F7F09E"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6</w:t>
            </w:r>
          </w:p>
        </w:tc>
        <w:tc>
          <w:tcPr>
            <w:tcW w:w="1418" w:type="dxa"/>
            <w:tcBorders>
              <w:top w:val="nil"/>
              <w:left w:val="nil"/>
              <w:bottom w:val="nil"/>
              <w:right w:val="nil"/>
            </w:tcBorders>
            <w:shd w:val="clear" w:color="auto" w:fill="auto"/>
            <w:noWrap/>
            <w:vAlign w:val="center"/>
            <w:hideMark/>
          </w:tcPr>
          <w:p w14:paraId="4DD695F8"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2 (33.3%)</w:t>
            </w:r>
          </w:p>
        </w:tc>
        <w:tc>
          <w:tcPr>
            <w:tcW w:w="1134" w:type="dxa"/>
            <w:tcBorders>
              <w:top w:val="nil"/>
              <w:left w:val="nil"/>
              <w:bottom w:val="nil"/>
              <w:right w:val="nil"/>
            </w:tcBorders>
            <w:shd w:val="clear" w:color="auto" w:fill="auto"/>
            <w:noWrap/>
            <w:vAlign w:val="center"/>
            <w:hideMark/>
          </w:tcPr>
          <w:p w14:paraId="3C442A41"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4 (66.7%)</w:t>
            </w:r>
          </w:p>
        </w:tc>
        <w:tc>
          <w:tcPr>
            <w:tcW w:w="1134" w:type="dxa"/>
            <w:tcBorders>
              <w:top w:val="nil"/>
              <w:left w:val="nil"/>
              <w:bottom w:val="nil"/>
              <w:right w:val="nil"/>
            </w:tcBorders>
            <w:shd w:val="clear" w:color="auto" w:fill="auto"/>
            <w:noWrap/>
            <w:vAlign w:val="center"/>
            <w:hideMark/>
          </w:tcPr>
          <w:p w14:paraId="1E15CD51"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w:t>
            </w:r>
          </w:p>
        </w:tc>
        <w:tc>
          <w:tcPr>
            <w:tcW w:w="1417" w:type="dxa"/>
            <w:tcBorders>
              <w:top w:val="nil"/>
              <w:left w:val="nil"/>
              <w:bottom w:val="nil"/>
              <w:right w:val="nil"/>
            </w:tcBorders>
            <w:shd w:val="clear" w:color="auto" w:fill="auto"/>
            <w:noWrap/>
            <w:vAlign w:val="center"/>
            <w:hideMark/>
          </w:tcPr>
          <w:p w14:paraId="45725DC3"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4 (66.7%)</w:t>
            </w:r>
          </w:p>
        </w:tc>
        <w:tc>
          <w:tcPr>
            <w:tcW w:w="1560" w:type="dxa"/>
            <w:tcBorders>
              <w:top w:val="nil"/>
              <w:left w:val="nil"/>
              <w:bottom w:val="nil"/>
              <w:right w:val="nil"/>
            </w:tcBorders>
            <w:shd w:val="clear" w:color="auto" w:fill="auto"/>
            <w:noWrap/>
            <w:vAlign w:val="center"/>
            <w:hideMark/>
          </w:tcPr>
          <w:p w14:paraId="4F83EAAA"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2 (50%)</w:t>
            </w:r>
          </w:p>
        </w:tc>
        <w:tc>
          <w:tcPr>
            <w:tcW w:w="1559" w:type="dxa"/>
            <w:tcBorders>
              <w:top w:val="nil"/>
              <w:left w:val="nil"/>
              <w:bottom w:val="nil"/>
              <w:right w:val="nil"/>
            </w:tcBorders>
            <w:shd w:val="clear" w:color="auto" w:fill="auto"/>
            <w:noWrap/>
            <w:vAlign w:val="center"/>
            <w:hideMark/>
          </w:tcPr>
          <w:p w14:paraId="12CE5A05"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2 (50%)</w:t>
            </w:r>
          </w:p>
        </w:tc>
      </w:tr>
      <w:tr w:rsidR="00727819" w:rsidRPr="00727819" w14:paraId="293224F4" w14:textId="77777777" w:rsidTr="00727819">
        <w:trPr>
          <w:trHeight w:val="320"/>
        </w:trPr>
        <w:tc>
          <w:tcPr>
            <w:tcW w:w="1560" w:type="dxa"/>
            <w:tcBorders>
              <w:top w:val="nil"/>
              <w:left w:val="nil"/>
              <w:bottom w:val="nil"/>
              <w:right w:val="nil"/>
            </w:tcBorders>
            <w:shd w:val="clear" w:color="auto" w:fill="auto"/>
            <w:noWrap/>
            <w:vAlign w:val="center"/>
            <w:hideMark/>
          </w:tcPr>
          <w:p w14:paraId="33691E8E" w14:textId="77777777" w:rsidR="00727819" w:rsidRPr="00727819" w:rsidRDefault="00727819">
            <w:pPr>
              <w:rPr>
                <w:rFonts w:ascii="Arial" w:hAnsi="Arial" w:cs="Arial"/>
                <w:color w:val="000000"/>
                <w:sz w:val="18"/>
                <w:szCs w:val="18"/>
              </w:rPr>
            </w:pPr>
            <w:r w:rsidRPr="00727819">
              <w:rPr>
                <w:rFonts w:ascii="Arial" w:hAnsi="Arial" w:cs="Arial"/>
                <w:color w:val="000000"/>
                <w:sz w:val="18"/>
                <w:szCs w:val="18"/>
              </w:rPr>
              <w:t>R502C</w:t>
            </w:r>
          </w:p>
        </w:tc>
        <w:tc>
          <w:tcPr>
            <w:tcW w:w="1417" w:type="dxa"/>
            <w:tcBorders>
              <w:top w:val="nil"/>
              <w:left w:val="nil"/>
              <w:bottom w:val="nil"/>
              <w:right w:val="nil"/>
            </w:tcBorders>
            <w:shd w:val="clear" w:color="auto" w:fill="auto"/>
            <w:noWrap/>
            <w:vAlign w:val="center"/>
            <w:hideMark/>
          </w:tcPr>
          <w:p w14:paraId="62C5EB8D"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w:t>
            </w:r>
          </w:p>
        </w:tc>
        <w:tc>
          <w:tcPr>
            <w:tcW w:w="1418" w:type="dxa"/>
            <w:tcBorders>
              <w:top w:val="nil"/>
              <w:left w:val="nil"/>
              <w:bottom w:val="nil"/>
              <w:right w:val="nil"/>
            </w:tcBorders>
            <w:shd w:val="clear" w:color="auto" w:fill="auto"/>
            <w:noWrap/>
            <w:vAlign w:val="center"/>
            <w:hideMark/>
          </w:tcPr>
          <w:p w14:paraId="5DEA6261"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c>
          <w:tcPr>
            <w:tcW w:w="1134" w:type="dxa"/>
            <w:tcBorders>
              <w:top w:val="nil"/>
              <w:left w:val="nil"/>
              <w:bottom w:val="nil"/>
              <w:right w:val="nil"/>
            </w:tcBorders>
            <w:shd w:val="clear" w:color="auto" w:fill="auto"/>
            <w:noWrap/>
            <w:vAlign w:val="center"/>
            <w:hideMark/>
          </w:tcPr>
          <w:p w14:paraId="03CCFB22"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 (100%)</w:t>
            </w:r>
          </w:p>
        </w:tc>
        <w:tc>
          <w:tcPr>
            <w:tcW w:w="1134" w:type="dxa"/>
            <w:tcBorders>
              <w:top w:val="nil"/>
              <w:left w:val="nil"/>
              <w:bottom w:val="nil"/>
              <w:right w:val="nil"/>
            </w:tcBorders>
            <w:shd w:val="clear" w:color="auto" w:fill="auto"/>
            <w:noWrap/>
            <w:vAlign w:val="center"/>
            <w:hideMark/>
          </w:tcPr>
          <w:p w14:paraId="69CAFD4C"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w:t>
            </w:r>
          </w:p>
        </w:tc>
        <w:tc>
          <w:tcPr>
            <w:tcW w:w="1417" w:type="dxa"/>
            <w:tcBorders>
              <w:top w:val="nil"/>
              <w:left w:val="nil"/>
              <w:bottom w:val="nil"/>
              <w:right w:val="nil"/>
            </w:tcBorders>
            <w:shd w:val="clear" w:color="auto" w:fill="auto"/>
            <w:noWrap/>
            <w:vAlign w:val="center"/>
            <w:hideMark/>
          </w:tcPr>
          <w:p w14:paraId="2B64446C"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 xml:space="preserve">1 (100%) </w:t>
            </w:r>
          </w:p>
        </w:tc>
        <w:tc>
          <w:tcPr>
            <w:tcW w:w="1560" w:type="dxa"/>
            <w:tcBorders>
              <w:top w:val="nil"/>
              <w:left w:val="nil"/>
              <w:bottom w:val="nil"/>
              <w:right w:val="nil"/>
            </w:tcBorders>
            <w:shd w:val="clear" w:color="auto" w:fill="auto"/>
            <w:noWrap/>
            <w:vAlign w:val="center"/>
            <w:hideMark/>
          </w:tcPr>
          <w:p w14:paraId="40A1A7B8"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c>
          <w:tcPr>
            <w:tcW w:w="1559" w:type="dxa"/>
            <w:tcBorders>
              <w:top w:val="nil"/>
              <w:left w:val="nil"/>
              <w:bottom w:val="nil"/>
              <w:right w:val="nil"/>
            </w:tcBorders>
            <w:shd w:val="clear" w:color="auto" w:fill="auto"/>
            <w:noWrap/>
            <w:vAlign w:val="center"/>
            <w:hideMark/>
          </w:tcPr>
          <w:p w14:paraId="14AC186F"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 xml:space="preserve">1 (100%) </w:t>
            </w:r>
          </w:p>
        </w:tc>
      </w:tr>
      <w:tr w:rsidR="00727819" w:rsidRPr="00727819" w14:paraId="62A0788C" w14:textId="77777777" w:rsidTr="00727819">
        <w:trPr>
          <w:trHeight w:val="320"/>
        </w:trPr>
        <w:tc>
          <w:tcPr>
            <w:tcW w:w="1560" w:type="dxa"/>
            <w:tcBorders>
              <w:top w:val="nil"/>
              <w:left w:val="nil"/>
              <w:bottom w:val="nil"/>
              <w:right w:val="nil"/>
            </w:tcBorders>
            <w:shd w:val="clear" w:color="auto" w:fill="auto"/>
            <w:noWrap/>
            <w:vAlign w:val="center"/>
            <w:hideMark/>
          </w:tcPr>
          <w:p w14:paraId="03C07B30" w14:textId="77777777" w:rsidR="00727819" w:rsidRPr="00727819" w:rsidRDefault="00727819">
            <w:pPr>
              <w:rPr>
                <w:rFonts w:ascii="Arial" w:hAnsi="Arial" w:cs="Arial"/>
                <w:color w:val="000000"/>
                <w:sz w:val="18"/>
                <w:szCs w:val="18"/>
              </w:rPr>
            </w:pPr>
            <w:r w:rsidRPr="00727819">
              <w:rPr>
                <w:rFonts w:ascii="Arial" w:hAnsi="Arial" w:cs="Arial"/>
                <w:color w:val="000000"/>
                <w:sz w:val="18"/>
                <w:szCs w:val="18"/>
              </w:rPr>
              <w:t>T408M / R159W</w:t>
            </w:r>
          </w:p>
        </w:tc>
        <w:tc>
          <w:tcPr>
            <w:tcW w:w="1417" w:type="dxa"/>
            <w:tcBorders>
              <w:top w:val="nil"/>
              <w:left w:val="nil"/>
              <w:bottom w:val="nil"/>
              <w:right w:val="nil"/>
            </w:tcBorders>
            <w:shd w:val="clear" w:color="auto" w:fill="auto"/>
            <w:noWrap/>
            <w:vAlign w:val="center"/>
            <w:hideMark/>
          </w:tcPr>
          <w:p w14:paraId="0A428C0D"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w:t>
            </w:r>
          </w:p>
        </w:tc>
        <w:tc>
          <w:tcPr>
            <w:tcW w:w="1418" w:type="dxa"/>
            <w:tcBorders>
              <w:top w:val="nil"/>
              <w:left w:val="nil"/>
              <w:bottom w:val="nil"/>
              <w:right w:val="nil"/>
            </w:tcBorders>
            <w:shd w:val="clear" w:color="auto" w:fill="auto"/>
            <w:noWrap/>
            <w:vAlign w:val="center"/>
            <w:hideMark/>
          </w:tcPr>
          <w:p w14:paraId="36037743"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 (100%)</w:t>
            </w:r>
          </w:p>
        </w:tc>
        <w:tc>
          <w:tcPr>
            <w:tcW w:w="1134" w:type="dxa"/>
            <w:tcBorders>
              <w:top w:val="nil"/>
              <w:left w:val="nil"/>
              <w:bottom w:val="nil"/>
              <w:right w:val="nil"/>
            </w:tcBorders>
            <w:shd w:val="clear" w:color="auto" w:fill="auto"/>
            <w:noWrap/>
            <w:vAlign w:val="center"/>
            <w:hideMark/>
          </w:tcPr>
          <w:p w14:paraId="3E030315"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c>
          <w:tcPr>
            <w:tcW w:w="1134" w:type="dxa"/>
            <w:tcBorders>
              <w:top w:val="nil"/>
              <w:left w:val="nil"/>
              <w:bottom w:val="nil"/>
              <w:right w:val="nil"/>
            </w:tcBorders>
            <w:shd w:val="clear" w:color="auto" w:fill="auto"/>
            <w:noWrap/>
            <w:vAlign w:val="center"/>
            <w:hideMark/>
          </w:tcPr>
          <w:p w14:paraId="149A09E2"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w:t>
            </w:r>
          </w:p>
        </w:tc>
        <w:tc>
          <w:tcPr>
            <w:tcW w:w="1417" w:type="dxa"/>
            <w:tcBorders>
              <w:top w:val="nil"/>
              <w:left w:val="nil"/>
              <w:bottom w:val="nil"/>
              <w:right w:val="nil"/>
            </w:tcBorders>
            <w:shd w:val="clear" w:color="auto" w:fill="auto"/>
            <w:noWrap/>
            <w:vAlign w:val="center"/>
            <w:hideMark/>
          </w:tcPr>
          <w:p w14:paraId="7479E0FD"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c>
          <w:tcPr>
            <w:tcW w:w="1560" w:type="dxa"/>
            <w:tcBorders>
              <w:top w:val="nil"/>
              <w:left w:val="nil"/>
              <w:bottom w:val="nil"/>
              <w:right w:val="nil"/>
            </w:tcBorders>
            <w:shd w:val="clear" w:color="auto" w:fill="auto"/>
            <w:noWrap/>
            <w:vAlign w:val="center"/>
            <w:hideMark/>
          </w:tcPr>
          <w:p w14:paraId="02B94B77"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c>
          <w:tcPr>
            <w:tcW w:w="1559" w:type="dxa"/>
            <w:tcBorders>
              <w:top w:val="nil"/>
              <w:left w:val="nil"/>
              <w:bottom w:val="nil"/>
              <w:right w:val="nil"/>
            </w:tcBorders>
            <w:shd w:val="clear" w:color="auto" w:fill="auto"/>
            <w:noWrap/>
            <w:vAlign w:val="center"/>
            <w:hideMark/>
          </w:tcPr>
          <w:p w14:paraId="1990C9F5"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r>
      <w:tr w:rsidR="00727819" w:rsidRPr="00727819" w14:paraId="1312A5AD" w14:textId="77777777" w:rsidTr="00727819">
        <w:trPr>
          <w:trHeight w:val="340"/>
        </w:trPr>
        <w:tc>
          <w:tcPr>
            <w:tcW w:w="1560" w:type="dxa"/>
            <w:tcBorders>
              <w:top w:val="single" w:sz="4" w:space="0" w:color="auto"/>
              <w:left w:val="nil"/>
              <w:bottom w:val="single" w:sz="4" w:space="0" w:color="auto"/>
              <w:right w:val="nil"/>
            </w:tcBorders>
            <w:shd w:val="clear" w:color="000000" w:fill="E8E8E8"/>
            <w:noWrap/>
            <w:vAlign w:val="center"/>
            <w:hideMark/>
          </w:tcPr>
          <w:p w14:paraId="413D7AB6" w14:textId="77777777" w:rsidR="00727819" w:rsidRPr="00727819" w:rsidRDefault="00727819">
            <w:pPr>
              <w:rPr>
                <w:rFonts w:ascii="Arial" w:hAnsi="Arial" w:cs="Arial"/>
                <w:i/>
                <w:iCs/>
                <w:color w:val="000000"/>
                <w:sz w:val="18"/>
                <w:szCs w:val="18"/>
              </w:rPr>
            </w:pPr>
            <w:r w:rsidRPr="00727819">
              <w:rPr>
                <w:rFonts w:ascii="Arial" w:hAnsi="Arial" w:cs="Arial"/>
                <w:i/>
                <w:iCs/>
                <w:color w:val="000000"/>
                <w:sz w:val="18"/>
                <w:szCs w:val="18"/>
              </w:rPr>
              <w:t>Unknown</w:t>
            </w:r>
          </w:p>
        </w:tc>
        <w:tc>
          <w:tcPr>
            <w:tcW w:w="1417" w:type="dxa"/>
            <w:tcBorders>
              <w:top w:val="single" w:sz="4" w:space="0" w:color="auto"/>
              <w:left w:val="nil"/>
              <w:bottom w:val="single" w:sz="4" w:space="0" w:color="auto"/>
              <w:right w:val="nil"/>
            </w:tcBorders>
            <w:shd w:val="clear" w:color="000000" w:fill="E8E8E8"/>
            <w:noWrap/>
            <w:vAlign w:val="center"/>
            <w:hideMark/>
          </w:tcPr>
          <w:p w14:paraId="6E996883"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8</w:t>
            </w:r>
          </w:p>
        </w:tc>
        <w:tc>
          <w:tcPr>
            <w:tcW w:w="1418" w:type="dxa"/>
            <w:tcBorders>
              <w:top w:val="single" w:sz="4" w:space="0" w:color="auto"/>
              <w:left w:val="nil"/>
              <w:bottom w:val="single" w:sz="4" w:space="0" w:color="auto"/>
              <w:right w:val="nil"/>
            </w:tcBorders>
            <w:shd w:val="clear" w:color="000000" w:fill="E8E8E8"/>
            <w:noWrap/>
            <w:vAlign w:val="center"/>
            <w:hideMark/>
          </w:tcPr>
          <w:p w14:paraId="0E4B65F9"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4 (50%)</w:t>
            </w:r>
          </w:p>
        </w:tc>
        <w:tc>
          <w:tcPr>
            <w:tcW w:w="1134" w:type="dxa"/>
            <w:tcBorders>
              <w:top w:val="single" w:sz="4" w:space="0" w:color="auto"/>
              <w:left w:val="nil"/>
              <w:bottom w:val="single" w:sz="4" w:space="0" w:color="auto"/>
              <w:right w:val="nil"/>
            </w:tcBorders>
            <w:shd w:val="clear" w:color="000000" w:fill="E8E8E8"/>
            <w:noWrap/>
            <w:vAlign w:val="center"/>
            <w:hideMark/>
          </w:tcPr>
          <w:p w14:paraId="7D93C903"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4 (50%)</w:t>
            </w:r>
          </w:p>
        </w:tc>
        <w:tc>
          <w:tcPr>
            <w:tcW w:w="1134" w:type="dxa"/>
            <w:tcBorders>
              <w:top w:val="single" w:sz="4" w:space="0" w:color="auto"/>
              <w:left w:val="nil"/>
              <w:bottom w:val="single" w:sz="4" w:space="0" w:color="auto"/>
              <w:right w:val="nil"/>
            </w:tcBorders>
            <w:shd w:val="clear" w:color="000000" w:fill="E8E8E8"/>
            <w:noWrap/>
            <w:vAlign w:val="center"/>
            <w:hideMark/>
          </w:tcPr>
          <w:p w14:paraId="299363D7" w14:textId="33132066" w:rsidR="00727819" w:rsidRPr="00727819" w:rsidRDefault="00727819">
            <w:pPr>
              <w:jc w:val="center"/>
              <w:rPr>
                <w:rFonts w:ascii="Arial" w:hAnsi="Arial" w:cs="Arial"/>
                <w:color w:val="000000"/>
                <w:sz w:val="18"/>
                <w:szCs w:val="18"/>
              </w:rPr>
            </w:pPr>
            <w:r w:rsidRPr="00727819">
              <w:rPr>
                <w:rFonts w:ascii="Arial" w:hAnsi="Arial" w:cs="Arial"/>
                <w:sz w:val="18"/>
                <w:szCs w:val="18"/>
              </w:rPr>
              <w:t>1</w:t>
            </w:r>
            <w:r>
              <w:rPr>
                <w:rFonts w:ascii="Arial" w:hAnsi="Arial" w:cs="Arial"/>
                <w:sz w:val="18"/>
                <w:szCs w:val="18"/>
              </w:rPr>
              <w:t>.000</w:t>
            </w:r>
          </w:p>
        </w:tc>
        <w:tc>
          <w:tcPr>
            <w:tcW w:w="1417" w:type="dxa"/>
            <w:tcBorders>
              <w:top w:val="single" w:sz="4" w:space="0" w:color="auto"/>
              <w:left w:val="nil"/>
              <w:bottom w:val="single" w:sz="4" w:space="0" w:color="auto"/>
              <w:right w:val="nil"/>
            </w:tcBorders>
            <w:shd w:val="clear" w:color="000000" w:fill="E8E8E8"/>
            <w:noWrap/>
            <w:vAlign w:val="center"/>
            <w:hideMark/>
          </w:tcPr>
          <w:p w14:paraId="1669EA60"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2 (25%)</w:t>
            </w:r>
          </w:p>
        </w:tc>
        <w:tc>
          <w:tcPr>
            <w:tcW w:w="1560" w:type="dxa"/>
            <w:tcBorders>
              <w:top w:val="single" w:sz="4" w:space="0" w:color="auto"/>
              <w:left w:val="nil"/>
              <w:bottom w:val="single" w:sz="4" w:space="0" w:color="auto"/>
              <w:right w:val="nil"/>
            </w:tcBorders>
            <w:shd w:val="clear" w:color="000000" w:fill="E8E8E8"/>
            <w:noWrap/>
            <w:vAlign w:val="center"/>
            <w:hideMark/>
          </w:tcPr>
          <w:p w14:paraId="78513259"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c>
          <w:tcPr>
            <w:tcW w:w="1559" w:type="dxa"/>
            <w:tcBorders>
              <w:top w:val="single" w:sz="4" w:space="0" w:color="auto"/>
              <w:left w:val="nil"/>
              <w:bottom w:val="single" w:sz="4" w:space="0" w:color="auto"/>
              <w:right w:val="nil"/>
            </w:tcBorders>
            <w:shd w:val="clear" w:color="000000" w:fill="E8E8E8"/>
            <w:noWrap/>
            <w:vAlign w:val="center"/>
            <w:hideMark/>
          </w:tcPr>
          <w:p w14:paraId="5E05797D"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 xml:space="preserve">2 (100%) </w:t>
            </w:r>
          </w:p>
        </w:tc>
      </w:tr>
      <w:tr w:rsidR="00727819" w:rsidRPr="00727819" w14:paraId="25402BEE" w14:textId="77777777" w:rsidTr="00727819">
        <w:trPr>
          <w:trHeight w:val="340"/>
        </w:trPr>
        <w:tc>
          <w:tcPr>
            <w:tcW w:w="1560" w:type="dxa"/>
            <w:tcBorders>
              <w:top w:val="nil"/>
              <w:left w:val="nil"/>
              <w:bottom w:val="nil"/>
              <w:right w:val="nil"/>
            </w:tcBorders>
            <w:shd w:val="clear" w:color="auto" w:fill="auto"/>
            <w:noWrap/>
            <w:vAlign w:val="center"/>
            <w:hideMark/>
          </w:tcPr>
          <w:p w14:paraId="4D6A9B97" w14:textId="77777777" w:rsidR="00727819" w:rsidRPr="00727819" w:rsidRDefault="00727819">
            <w:pPr>
              <w:rPr>
                <w:rFonts w:ascii="Arial" w:hAnsi="Arial" w:cs="Arial"/>
                <w:color w:val="000000"/>
                <w:sz w:val="18"/>
                <w:szCs w:val="18"/>
              </w:rPr>
            </w:pPr>
            <w:r w:rsidRPr="00727819">
              <w:rPr>
                <w:rFonts w:ascii="Arial" w:hAnsi="Arial" w:cs="Arial"/>
                <w:color w:val="000000"/>
                <w:sz w:val="18"/>
                <w:szCs w:val="18"/>
              </w:rPr>
              <w:t>A495P</w:t>
            </w:r>
          </w:p>
        </w:tc>
        <w:tc>
          <w:tcPr>
            <w:tcW w:w="1417" w:type="dxa"/>
            <w:tcBorders>
              <w:top w:val="nil"/>
              <w:left w:val="nil"/>
              <w:bottom w:val="nil"/>
              <w:right w:val="nil"/>
            </w:tcBorders>
            <w:shd w:val="clear" w:color="auto" w:fill="auto"/>
            <w:noWrap/>
            <w:vAlign w:val="center"/>
            <w:hideMark/>
          </w:tcPr>
          <w:p w14:paraId="0DDFBD1C"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3</w:t>
            </w:r>
          </w:p>
        </w:tc>
        <w:tc>
          <w:tcPr>
            <w:tcW w:w="1418" w:type="dxa"/>
            <w:tcBorders>
              <w:top w:val="nil"/>
              <w:left w:val="nil"/>
              <w:bottom w:val="nil"/>
              <w:right w:val="nil"/>
            </w:tcBorders>
            <w:shd w:val="clear" w:color="auto" w:fill="auto"/>
            <w:noWrap/>
            <w:vAlign w:val="center"/>
            <w:hideMark/>
          </w:tcPr>
          <w:p w14:paraId="5B669910"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 (33.3%)</w:t>
            </w:r>
          </w:p>
        </w:tc>
        <w:tc>
          <w:tcPr>
            <w:tcW w:w="1134" w:type="dxa"/>
            <w:tcBorders>
              <w:top w:val="nil"/>
              <w:left w:val="nil"/>
              <w:bottom w:val="nil"/>
              <w:right w:val="nil"/>
            </w:tcBorders>
            <w:shd w:val="clear" w:color="auto" w:fill="auto"/>
            <w:noWrap/>
            <w:vAlign w:val="center"/>
            <w:hideMark/>
          </w:tcPr>
          <w:p w14:paraId="0A0AD601"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2 (66.7%)</w:t>
            </w:r>
          </w:p>
        </w:tc>
        <w:tc>
          <w:tcPr>
            <w:tcW w:w="1134" w:type="dxa"/>
            <w:tcBorders>
              <w:top w:val="nil"/>
              <w:left w:val="nil"/>
              <w:bottom w:val="nil"/>
              <w:right w:val="nil"/>
            </w:tcBorders>
            <w:shd w:val="clear" w:color="auto" w:fill="auto"/>
            <w:noWrap/>
            <w:vAlign w:val="center"/>
            <w:hideMark/>
          </w:tcPr>
          <w:p w14:paraId="5CC09A03"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w:t>
            </w:r>
          </w:p>
        </w:tc>
        <w:tc>
          <w:tcPr>
            <w:tcW w:w="1417" w:type="dxa"/>
            <w:tcBorders>
              <w:top w:val="nil"/>
              <w:left w:val="nil"/>
              <w:bottom w:val="nil"/>
              <w:right w:val="nil"/>
            </w:tcBorders>
            <w:shd w:val="clear" w:color="auto" w:fill="auto"/>
            <w:noWrap/>
            <w:vAlign w:val="center"/>
            <w:hideMark/>
          </w:tcPr>
          <w:p w14:paraId="63E14106"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 (33.3%)</w:t>
            </w:r>
          </w:p>
        </w:tc>
        <w:tc>
          <w:tcPr>
            <w:tcW w:w="1560" w:type="dxa"/>
            <w:tcBorders>
              <w:top w:val="nil"/>
              <w:left w:val="nil"/>
              <w:bottom w:val="nil"/>
              <w:right w:val="nil"/>
            </w:tcBorders>
            <w:shd w:val="clear" w:color="auto" w:fill="auto"/>
            <w:noWrap/>
            <w:vAlign w:val="center"/>
            <w:hideMark/>
          </w:tcPr>
          <w:p w14:paraId="53887E83"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c>
          <w:tcPr>
            <w:tcW w:w="1559" w:type="dxa"/>
            <w:tcBorders>
              <w:top w:val="nil"/>
              <w:left w:val="nil"/>
              <w:bottom w:val="nil"/>
              <w:right w:val="nil"/>
            </w:tcBorders>
            <w:shd w:val="clear" w:color="auto" w:fill="auto"/>
            <w:noWrap/>
            <w:vAlign w:val="center"/>
            <w:hideMark/>
          </w:tcPr>
          <w:p w14:paraId="366A40AE"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 xml:space="preserve">1 (100%) </w:t>
            </w:r>
          </w:p>
        </w:tc>
      </w:tr>
      <w:tr w:rsidR="00727819" w:rsidRPr="00727819" w14:paraId="7DA21C6E" w14:textId="77777777" w:rsidTr="00727819">
        <w:trPr>
          <w:trHeight w:val="340"/>
        </w:trPr>
        <w:tc>
          <w:tcPr>
            <w:tcW w:w="1560" w:type="dxa"/>
            <w:tcBorders>
              <w:top w:val="nil"/>
              <w:left w:val="nil"/>
              <w:bottom w:val="nil"/>
              <w:right w:val="nil"/>
            </w:tcBorders>
            <w:shd w:val="clear" w:color="auto" w:fill="auto"/>
            <w:noWrap/>
            <w:vAlign w:val="center"/>
            <w:hideMark/>
          </w:tcPr>
          <w:p w14:paraId="29E1FF56" w14:textId="77777777" w:rsidR="00727819" w:rsidRPr="00727819" w:rsidRDefault="00727819">
            <w:pPr>
              <w:rPr>
                <w:rFonts w:ascii="Arial" w:hAnsi="Arial" w:cs="Arial"/>
                <w:color w:val="000000"/>
                <w:sz w:val="18"/>
                <w:szCs w:val="18"/>
              </w:rPr>
            </w:pPr>
            <w:r w:rsidRPr="00727819">
              <w:rPr>
                <w:rFonts w:ascii="Arial" w:hAnsi="Arial" w:cs="Arial"/>
                <w:color w:val="000000"/>
                <w:sz w:val="18"/>
                <w:szCs w:val="18"/>
              </w:rPr>
              <w:t>G154R / G232E</w:t>
            </w:r>
          </w:p>
        </w:tc>
        <w:tc>
          <w:tcPr>
            <w:tcW w:w="1417" w:type="dxa"/>
            <w:tcBorders>
              <w:top w:val="nil"/>
              <w:left w:val="nil"/>
              <w:bottom w:val="nil"/>
              <w:right w:val="nil"/>
            </w:tcBorders>
            <w:shd w:val="clear" w:color="auto" w:fill="auto"/>
            <w:noWrap/>
            <w:vAlign w:val="center"/>
            <w:hideMark/>
          </w:tcPr>
          <w:p w14:paraId="5E0D50B8"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w:t>
            </w:r>
          </w:p>
        </w:tc>
        <w:tc>
          <w:tcPr>
            <w:tcW w:w="1418" w:type="dxa"/>
            <w:tcBorders>
              <w:top w:val="nil"/>
              <w:left w:val="nil"/>
              <w:bottom w:val="nil"/>
              <w:right w:val="nil"/>
            </w:tcBorders>
            <w:shd w:val="clear" w:color="auto" w:fill="auto"/>
            <w:noWrap/>
            <w:vAlign w:val="center"/>
            <w:hideMark/>
          </w:tcPr>
          <w:p w14:paraId="3FDE91D0"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c>
          <w:tcPr>
            <w:tcW w:w="1134" w:type="dxa"/>
            <w:tcBorders>
              <w:top w:val="nil"/>
              <w:left w:val="nil"/>
              <w:bottom w:val="nil"/>
              <w:right w:val="nil"/>
            </w:tcBorders>
            <w:shd w:val="clear" w:color="auto" w:fill="auto"/>
            <w:noWrap/>
            <w:vAlign w:val="center"/>
            <w:hideMark/>
          </w:tcPr>
          <w:p w14:paraId="588CB2C6"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 (100%)</w:t>
            </w:r>
          </w:p>
        </w:tc>
        <w:tc>
          <w:tcPr>
            <w:tcW w:w="1134" w:type="dxa"/>
            <w:tcBorders>
              <w:top w:val="nil"/>
              <w:left w:val="nil"/>
              <w:bottom w:val="nil"/>
              <w:right w:val="nil"/>
            </w:tcBorders>
            <w:shd w:val="clear" w:color="auto" w:fill="auto"/>
            <w:noWrap/>
            <w:vAlign w:val="center"/>
            <w:hideMark/>
          </w:tcPr>
          <w:p w14:paraId="28B34A72"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w:t>
            </w:r>
          </w:p>
        </w:tc>
        <w:tc>
          <w:tcPr>
            <w:tcW w:w="1417" w:type="dxa"/>
            <w:tcBorders>
              <w:top w:val="nil"/>
              <w:left w:val="nil"/>
              <w:bottom w:val="nil"/>
              <w:right w:val="nil"/>
            </w:tcBorders>
            <w:shd w:val="clear" w:color="auto" w:fill="auto"/>
            <w:noWrap/>
            <w:vAlign w:val="center"/>
            <w:hideMark/>
          </w:tcPr>
          <w:p w14:paraId="013BBC34"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c>
          <w:tcPr>
            <w:tcW w:w="1560" w:type="dxa"/>
            <w:tcBorders>
              <w:top w:val="nil"/>
              <w:left w:val="nil"/>
              <w:bottom w:val="nil"/>
              <w:right w:val="nil"/>
            </w:tcBorders>
            <w:shd w:val="clear" w:color="auto" w:fill="auto"/>
            <w:noWrap/>
            <w:vAlign w:val="center"/>
            <w:hideMark/>
          </w:tcPr>
          <w:p w14:paraId="6BAFC0A0"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c>
          <w:tcPr>
            <w:tcW w:w="1559" w:type="dxa"/>
            <w:tcBorders>
              <w:top w:val="nil"/>
              <w:left w:val="nil"/>
              <w:bottom w:val="nil"/>
              <w:right w:val="nil"/>
            </w:tcBorders>
            <w:shd w:val="clear" w:color="auto" w:fill="auto"/>
            <w:noWrap/>
            <w:vAlign w:val="center"/>
            <w:hideMark/>
          </w:tcPr>
          <w:p w14:paraId="507D9AA2"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r>
      <w:tr w:rsidR="00727819" w:rsidRPr="00727819" w14:paraId="325362FB" w14:textId="77777777" w:rsidTr="00727819">
        <w:trPr>
          <w:trHeight w:val="340"/>
        </w:trPr>
        <w:tc>
          <w:tcPr>
            <w:tcW w:w="1560" w:type="dxa"/>
            <w:tcBorders>
              <w:top w:val="nil"/>
              <w:left w:val="nil"/>
              <w:bottom w:val="nil"/>
              <w:right w:val="nil"/>
            </w:tcBorders>
            <w:shd w:val="clear" w:color="auto" w:fill="auto"/>
            <w:noWrap/>
            <w:vAlign w:val="center"/>
            <w:hideMark/>
          </w:tcPr>
          <w:p w14:paraId="4F299129" w14:textId="77777777" w:rsidR="00727819" w:rsidRPr="00727819" w:rsidRDefault="00727819">
            <w:pPr>
              <w:rPr>
                <w:rFonts w:ascii="Arial" w:hAnsi="Arial" w:cs="Arial"/>
                <w:color w:val="000000"/>
                <w:sz w:val="18"/>
                <w:szCs w:val="18"/>
              </w:rPr>
            </w:pPr>
            <w:r w:rsidRPr="00727819">
              <w:rPr>
                <w:rFonts w:ascii="Arial" w:hAnsi="Arial" w:cs="Arial"/>
                <w:color w:val="000000"/>
                <w:sz w:val="18"/>
                <w:szCs w:val="18"/>
              </w:rPr>
              <w:t>I528L</w:t>
            </w:r>
          </w:p>
        </w:tc>
        <w:tc>
          <w:tcPr>
            <w:tcW w:w="1417" w:type="dxa"/>
            <w:tcBorders>
              <w:top w:val="nil"/>
              <w:left w:val="nil"/>
              <w:bottom w:val="nil"/>
              <w:right w:val="nil"/>
            </w:tcBorders>
            <w:shd w:val="clear" w:color="auto" w:fill="auto"/>
            <w:noWrap/>
            <w:vAlign w:val="center"/>
            <w:hideMark/>
          </w:tcPr>
          <w:p w14:paraId="08B2ACA3"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w:t>
            </w:r>
          </w:p>
        </w:tc>
        <w:tc>
          <w:tcPr>
            <w:tcW w:w="1418" w:type="dxa"/>
            <w:tcBorders>
              <w:top w:val="nil"/>
              <w:left w:val="nil"/>
              <w:bottom w:val="nil"/>
              <w:right w:val="nil"/>
            </w:tcBorders>
            <w:shd w:val="clear" w:color="auto" w:fill="auto"/>
            <w:noWrap/>
            <w:vAlign w:val="center"/>
            <w:hideMark/>
          </w:tcPr>
          <w:p w14:paraId="49959B6B"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 (100%)</w:t>
            </w:r>
          </w:p>
        </w:tc>
        <w:tc>
          <w:tcPr>
            <w:tcW w:w="1134" w:type="dxa"/>
            <w:tcBorders>
              <w:top w:val="nil"/>
              <w:left w:val="nil"/>
              <w:bottom w:val="nil"/>
              <w:right w:val="nil"/>
            </w:tcBorders>
            <w:shd w:val="clear" w:color="auto" w:fill="auto"/>
            <w:noWrap/>
            <w:vAlign w:val="center"/>
            <w:hideMark/>
          </w:tcPr>
          <w:p w14:paraId="0B78262D"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c>
          <w:tcPr>
            <w:tcW w:w="1134" w:type="dxa"/>
            <w:tcBorders>
              <w:top w:val="nil"/>
              <w:left w:val="nil"/>
              <w:bottom w:val="nil"/>
              <w:right w:val="nil"/>
            </w:tcBorders>
            <w:shd w:val="clear" w:color="auto" w:fill="auto"/>
            <w:noWrap/>
            <w:vAlign w:val="center"/>
            <w:hideMark/>
          </w:tcPr>
          <w:p w14:paraId="1B5D38B5"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w:t>
            </w:r>
          </w:p>
        </w:tc>
        <w:tc>
          <w:tcPr>
            <w:tcW w:w="1417" w:type="dxa"/>
            <w:tcBorders>
              <w:top w:val="nil"/>
              <w:left w:val="nil"/>
              <w:bottom w:val="nil"/>
              <w:right w:val="nil"/>
            </w:tcBorders>
            <w:shd w:val="clear" w:color="auto" w:fill="auto"/>
            <w:noWrap/>
            <w:vAlign w:val="center"/>
            <w:hideMark/>
          </w:tcPr>
          <w:p w14:paraId="62553F9C"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c>
          <w:tcPr>
            <w:tcW w:w="1560" w:type="dxa"/>
            <w:tcBorders>
              <w:top w:val="nil"/>
              <w:left w:val="nil"/>
              <w:bottom w:val="nil"/>
              <w:right w:val="nil"/>
            </w:tcBorders>
            <w:shd w:val="clear" w:color="auto" w:fill="auto"/>
            <w:noWrap/>
            <w:vAlign w:val="center"/>
            <w:hideMark/>
          </w:tcPr>
          <w:p w14:paraId="7B7624ED"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c>
          <w:tcPr>
            <w:tcW w:w="1559" w:type="dxa"/>
            <w:tcBorders>
              <w:top w:val="nil"/>
              <w:left w:val="nil"/>
              <w:bottom w:val="nil"/>
              <w:right w:val="nil"/>
            </w:tcBorders>
            <w:shd w:val="clear" w:color="auto" w:fill="auto"/>
            <w:noWrap/>
            <w:vAlign w:val="center"/>
            <w:hideMark/>
          </w:tcPr>
          <w:p w14:paraId="7E738F74"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r>
      <w:tr w:rsidR="00727819" w:rsidRPr="00727819" w14:paraId="190B1021" w14:textId="77777777" w:rsidTr="00727819">
        <w:trPr>
          <w:trHeight w:val="340"/>
        </w:trPr>
        <w:tc>
          <w:tcPr>
            <w:tcW w:w="1560" w:type="dxa"/>
            <w:tcBorders>
              <w:top w:val="nil"/>
              <w:left w:val="nil"/>
              <w:bottom w:val="nil"/>
              <w:right w:val="nil"/>
            </w:tcBorders>
            <w:shd w:val="clear" w:color="auto" w:fill="auto"/>
            <w:noWrap/>
            <w:vAlign w:val="center"/>
            <w:hideMark/>
          </w:tcPr>
          <w:p w14:paraId="44090B2E" w14:textId="77777777" w:rsidR="00727819" w:rsidRPr="00727819" w:rsidRDefault="00727819">
            <w:pPr>
              <w:rPr>
                <w:rFonts w:ascii="Arial" w:hAnsi="Arial" w:cs="Arial"/>
                <w:color w:val="000000"/>
                <w:sz w:val="18"/>
                <w:szCs w:val="18"/>
              </w:rPr>
            </w:pPr>
            <w:r w:rsidRPr="00727819">
              <w:rPr>
                <w:rFonts w:ascii="Arial" w:hAnsi="Arial" w:cs="Arial"/>
                <w:color w:val="000000"/>
                <w:sz w:val="18"/>
                <w:szCs w:val="18"/>
              </w:rPr>
              <w:t>K13R</w:t>
            </w:r>
          </w:p>
        </w:tc>
        <w:tc>
          <w:tcPr>
            <w:tcW w:w="1417" w:type="dxa"/>
            <w:tcBorders>
              <w:top w:val="nil"/>
              <w:left w:val="nil"/>
              <w:bottom w:val="nil"/>
              <w:right w:val="nil"/>
            </w:tcBorders>
            <w:shd w:val="clear" w:color="auto" w:fill="auto"/>
            <w:noWrap/>
            <w:vAlign w:val="center"/>
            <w:hideMark/>
          </w:tcPr>
          <w:p w14:paraId="29FEAEF1"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w:t>
            </w:r>
          </w:p>
        </w:tc>
        <w:tc>
          <w:tcPr>
            <w:tcW w:w="1418" w:type="dxa"/>
            <w:tcBorders>
              <w:top w:val="nil"/>
              <w:left w:val="nil"/>
              <w:bottom w:val="nil"/>
              <w:right w:val="nil"/>
            </w:tcBorders>
            <w:shd w:val="clear" w:color="auto" w:fill="auto"/>
            <w:noWrap/>
            <w:vAlign w:val="center"/>
            <w:hideMark/>
          </w:tcPr>
          <w:p w14:paraId="2A8A151D"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 (100%)</w:t>
            </w:r>
          </w:p>
        </w:tc>
        <w:tc>
          <w:tcPr>
            <w:tcW w:w="1134" w:type="dxa"/>
            <w:tcBorders>
              <w:top w:val="nil"/>
              <w:left w:val="nil"/>
              <w:bottom w:val="nil"/>
              <w:right w:val="nil"/>
            </w:tcBorders>
            <w:shd w:val="clear" w:color="auto" w:fill="auto"/>
            <w:noWrap/>
            <w:vAlign w:val="center"/>
            <w:hideMark/>
          </w:tcPr>
          <w:p w14:paraId="0E58D0E8"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c>
          <w:tcPr>
            <w:tcW w:w="1134" w:type="dxa"/>
            <w:tcBorders>
              <w:top w:val="nil"/>
              <w:left w:val="nil"/>
              <w:bottom w:val="nil"/>
              <w:right w:val="nil"/>
            </w:tcBorders>
            <w:shd w:val="clear" w:color="auto" w:fill="auto"/>
            <w:noWrap/>
            <w:vAlign w:val="center"/>
            <w:hideMark/>
          </w:tcPr>
          <w:p w14:paraId="0052FFD2"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w:t>
            </w:r>
          </w:p>
        </w:tc>
        <w:tc>
          <w:tcPr>
            <w:tcW w:w="1417" w:type="dxa"/>
            <w:tcBorders>
              <w:top w:val="nil"/>
              <w:left w:val="nil"/>
              <w:bottom w:val="nil"/>
              <w:right w:val="nil"/>
            </w:tcBorders>
            <w:shd w:val="clear" w:color="auto" w:fill="auto"/>
            <w:noWrap/>
            <w:vAlign w:val="center"/>
            <w:hideMark/>
          </w:tcPr>
          <w:p w14:paraId="0B2CBCDC"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c>
          <w:tcPr>
            <w:tcW w:w="1560" w:type="dxa"/>
            <w:tcBorders>
              <w:top w:val="nil"/>
              <w:left w:val="nil"/>
              <w:bottom w:val="nil"/>
              <w:right w:val="nil"/>
            </w:tcBorders>
            <w:shd w:val="clear" w:color="auto" w:fill="auto"/>
            <w:noWrap/>
            <w:vAlign w:val="center"/>
            <w:hideMark/>
          </w:tcPr>
          <w:p w14:paraId="4E5605C9"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c>
          <w:tcPr>
            <w:tcW w:w="1559" w:type="dxa"/>
            <w:tcBorders>
              <w:top w:val="nil"/>
              <w:left w:val="nil"/>
              <w:bottom w:val="nil"/>
              <w:right w:val="nil"/>
            </w:tcBorders>
            <w:shd w:val="clear" w:color="auto" w:fill="auto"/>
            <w:noWrap/>
            <w:vAlign w:val="center"/>
            <w:hideMark/>
          </w:tcPr>
          <w:p w14:paraId="5528CB46"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r>
      <w:tr w:rsidR="00727819" w:rsidRPr="00727819" w14:paraId="0710AD76" w14:textId="77777777" w:rsidTr="00727819">
        <w:trPr>
          <w:trHeight w:val="340"/>
        </w:trPr>
        <w:tc>
          <w:tcPr>
            <w:tcW w:w="1560" w:type="dxa"/>
            <w:tcBorders>
              <w:top w:val="nil"/>
              <w:left w:val="nil"/>
              <w:bottom w:val="nil"/>
              <w:right w:val="nil"/>
            </w:tcBorders>
            <w:shd w:val="clear" w:color="auto" w:fill="auto"/>
            <w:noWrap/>
            <w:vAlign w:val="center"/>
            <w:hideMark/>
          </w:tcPr>
          <w:p w14:paraId="58767158" w14:textId="77777777" w:rsidR="00727819" w:rsidRPr="00727819" w:rsidRDefault="00727819">
            <w:pPr>
              <w:rPr>
                <w:rFonts w:ascii="Arial" w:hAnsi="Arial" w:cs="Arial"/>
                <w:color w:val="000000"/>
                <w:sz w:val="18"/>
                <w:szCs w:val="18"/>
              </w:rPr>
            </w:pPr>
            <w:r w:rsidRPr="00727819">
              <w:rPr>
                <w:rFonts w:ascii="Arial" w:hAnsi="Arial" w:cs="Arial"/>
                <w:color w:val="000000"/>
                <w:sz w:val="18"/>
                <w:szCs w:val="18"/>
              </w:rPr>
              <w:t>R78C</w:t>
            </w:r>
          </w:p>
        </w:tc>
        <w:tc>
          <w:tcPr>
            <w:tcW w:w="1417" w:type="dxa"/>
            <w:tcBorders>
              <w:top w:val="nil"/>
              <w:left w:val="nil"/>
              <w:bottom w:val="nil"/>
              <w:right w:val="nil"/>
            </w:tcBorders>
            <w:shd w:val="clear" w:color="auto" w:fill="auto"/>
            <w:noWrap/>
            <w:vAlign w:val="center"/>
            <w:hideMark/>
          </w:tcPr>
          <w:p w14:paraId="52E70F04"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2</w:t>
            </w:r>
          </w:p>
        </w:tc>
        <w:tc>
          <w:tcPr>
            <w:tcW w:w="1418" w:type="dxa"/>
            <w:tcBorders>
              <w:top w:val="nil"/>
              <w:left w:val="nil"/>
              <w:bottom w:val="nil"/>
              <w:right w:val="nil"/>
            </w:tcBorders>
            <w:shd w:val="clear" w:color="auto" w:fill="auto"/>
            <w:noWrap/>
            <w:vAlign w:val="center"/>
            <w:hideMark/>
          </w:tcPr>
          <w:p w14:paraId="0537E253"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 xml:space="preserve">2 (100%) </w:t>
            </w:r>
          </w:p>
        </w:tc>
        <w:tc>
          <w:tcPr>
            <w:tcW w:w="1134" w:type="dxa"/>
            <w:tcBorders>
              <w:top w:val="nil"/>
              <w:left w:val="nil"/>
              <w:bottom w:val="nil"/>
              <w:right w:val="nil"/>
            </w:tcBorders>
            <w:shd w:val="clear" w:color="auto" w:fill="auto"/>
            <w:noWrap/>
            <w:vAlign w:val="center"/>
            <w:hideMark/>
          </w:tcPr>
          <w:p w14:paraId="4BF243C6"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c>
          <w:tcPr>
            <w:tcW w:w="1134" w:type="dxa"/>
            <w:tcBorders>
              <w:top w:val="nil"/>
              <w:left w:val="nil"/>
              <w:bottom w:val="nil"/>
              <w:right w:val="nil"/>
            </w:tcBorders>
            <w:shd w:val="clear" w:color="auto" w:fill="auto"/>
            <w:noWrap/>
            <w:vAlign w:val="center"/>
            <w:hideMark/>
          </w:tcPr>
          <w:p w14:paraId="281ED08F"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w:t>
            </w:r>
          </w:p>
        </w:tc>
        <w:tc>
          <w:tcPr>
            <w:tcW w:w="1417" w:type="dxa"/>
            <w:tcBorders>
              <w:top w:val="nil"/>
              <w:left w:val="nil"/>
              <w:bottom w:val="nil"/>
              <w:right w:val="nil"/>
            </w:tcBorders>
            <w:shd w:val="clear" w:color="auto" w:fill="auto"/>
            <w:noWrap/>
            <w:vAlign w:val="center"/>
            <w:hideMark/>
          </w:tcPr>
          <w:p w14:paraId="4133B852"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c>
          <w:tcPr>
            <w:tcW w:w="1560" w:type="dxa"/>
            <w:tcBorders>
              <w:top w:val="nil"/>
              <w:left w:val="nil"/>
              <w:bottom w:val="nil"/>
              <w:right w:val="nil"/>
            </w:tcBorders>
            <w:shd w:val="clear" w:color="auto" w:fill="auto"/>
            <w:noWrap/>
            <w:vAlign w:val="center"/>
            <w:hideMark/>
          </w:tcPr>
          <w:p w14:paraId="7832E85E"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c>
          <w:tcPr>
            <w:tcW w:w="1559" w:type="dxa"/>
            <w:tcBorders>
              <w:top w:val="nil"/>
              <w:left w:val="nil"/>
              <w:bottom w:val="nil"/>
              <w:right w:val="nil"/>
            </w:tcBorders>
            <w:shd w:val="clear" w:color="auto" w:fill="auto"/>
            <w:noWrap/>
            <w:vAlign w:val="center"/>
            <w:hideMark/>
          </w:tcPr>
          <w:p w14:paraId="54096265"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r>
      <w:tr w:rsidR="00727819" w:rsidRPr="00727819" w14:paraId="6B716872" w14:textId="77777777" w:rsidTr="00727819">
        <w:trPr>
          <w:trHeight w:val="340"/>
        </w:trPr>
        <w:tc>
          <w:tcPr>
            <w:tcW w:w="1560" w:type="dxa"/>
            <w:tcBorders>
              <w:top w:val="nil"/>
              <w:left w:val="nil"/>
              <w:bottom w:val="double" w:sz="6" w:space="0" w:color="auto"/>
              <w:right w:val="nil"/>
            </w:tcBorders>
            <w:shd w:val="clear" w:color="auto" w:fill="auto"/>
            <w:noWrap/>
            <w:vAlign w:val="center"/>
            <w:hideMark/>
          </w:tcPr>
          <w:p w14:paraId="25DB4982" w14:textId="77777777" w:rsidR="00727819" w:rsidRPr="00727819" w:rsidRDefault="00727819">
            <w:pPr>
              <w:rPr>
                <w:rFonts w:ascii="Arial" w:hAnsi="Arial" w:cs="Arial"/>
                <w:color w:val="000000"/>
                <w:sz w:val="18"/>
                <w:szCs w:val="18"/>
              </w:rPr>
            </w:pPr>
            <w:r w:rsidRPr="00727819">
              <w:rPr>
                <w:rFonts w:ascii="Arial" w:hAnsi="Arial" w:cs="Arial"/>
                <w:color w:val="000000"/>
                <w:sz w:val="18"/>
                <w:szCs w:val="18"/>
              </w:rPr>
              <w:t>R83C</w:t>
            </w:r>
          </w:p>
        </w:tc>
        <w:tc>
          <w:tcPr>
            <w:tcW w:w="1417" w:type="dxa"/>
            <w:tcBorders>
              <w:top w:val="nil"/>
              <w:left w:val="nil"/>
              <w:bottom w:val="double" w:sz="6" w:space="0" w:color="auto"/>
              <w:right w:val="nil"/>
            </w:tcBorders>
            <w:shd w:val="clear" w:color="auto" w:fill="auto"/>
            <w:noWrap/>
            <w:vAlign w:val="center"/>
            <w:hideMark/>
          </w:tcPr>
          <w:p w14:paraId="689FB832"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w:t>
            </w:r>
          </w:p>
        </w:tc>
        <w:tc>
          <w:tcPr>
            <w:tcW w:w="1418" w:type="dxa"/>
            <w:tcBorders>
              <w:top w:val="nil"/>
              <w:left w:val="nil"/>
              <w:bottom w:val="double" w:sz="6" w:space="0" w:color="auto"/>
              <w:right w:val="nil"/>
            </w:tcBorders>
            <w:shd w:val="clear" w:color="auto" w:fill="auto"/>
            <w:noWrap/>
            <w:vAlign w:val="center"/>
            <w:hideMark/>
          </w:tcPr>
          <w:p w14:paraId="526A4A4D"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c>
          <w:tcPr>
            <w:tcW w:w="1134" w:type="dxa"/>
            <w:tcBorders>
              <w:top w:val="nil"/>
              <w:left w:val="nil"/>
              <w:bottom w:val="double" w:sz="6" w:space="0" w:color="auto"/>
              <w:right w:val="nil"/>
            </w:tcBorders>
            <w:shd w:val="clear" w:color="auto" w:fill="auto"/>
            <w:noWrap/>
            <w:vAlign w:val="center"/>
            <w:hideMark/>
          </w:tcPr>
          <w:p w14:paraId="52B15AA4"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 (100%)</w:t>
            </w:r>
          </w:p>
        </w:tc>
        <w:tc>
          <w:tcPr>
            <w:tcW w:w="1134" w:type="dxa"/>
            <w:tcBorders>
              <w:top w:val="nil"/>
              <w:left w:val="nil"/>
              <w:bottom w:val="double" w:sz="6" w:space="0" w:color="auto"/>
              <w:right w:val="nil"/>
            </w:tcBorders>
            <w:shd w:val="clear" w:color="auto" w:fill="auto"/>
            <w:noWrap/>
            <w:vAlign w:val="center"/>
            <w:hideMark/>
          </w:tcPr>
          <w:p w14:paraId="78EF2A47"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w:t>
            </w:r>
          </w:p>
        </w:tc>
        <w:tc>
          <w:tcPr>
            <w:tcW w:w="1417" w:type="dxa"/>
            <w:tcBorders>
              <w:top w:val="nil"/>
              <w:left w:val="nil"/>
              <w:bottom w:val="double" w:sz="6" w:space="0" w:color="auto"/>
              <w:right w:val="nil"/>
            </w:tcBorders>
            <w:shd w:val="clear" w:color="auto" w:fill="auto"/>
            <w:noWrap/>
            <w:vAlign w:val="center"/>
            <w:hideMark/>
          </w:tcPr>
          <w:p w14:paraId="0A35EACB"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 xml:space="preserve">1 (100%) </w:t>
            </w:r>
          </w:p>
        </w:tc>
        <w:tc>
          <w:tcPr>
            <w:tcW w:w="1560" w:type="dxa"/>
            <w:tcBorders>
              <w:top w:val="nil"/>
              <w:left w:val="nil"/>
              <w:bottom w:val="double" w:sz="6" w:space="0" w:color="auto"/>
              <w:right w:val="nil"/>
            </w:tcBorders>
            <w:shd w:val="clear" w:color="auto" w:fill="auto"/>
            <w:noWrap/>
            <w:vAlign w:val="center"/>
            <w:hideMark/>
          </w:tcPr>
          <w:p w14:paraId="517D311B"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 (0%)</w:t>
            </w:r>
          </w:p>
        </w:tc>
        <w:tc>
          <w:tcPr>
            <w:tcW w:w="1559" w:type="dxa"/>
            <w:tcBorders>
              <w:top w:val="nil"/>
              <w:left w:val="nil"/>
              <w:bottom w:val="double" w:sz="6" w:space="0" w:color="auto"/>
              <w:right w:val="nil"/>
            </w:tcBorders>
            <w:shd w:val="clear" w:color="auto" w:fill="auto"/>
            <w:noWrap/>
            <w:vAlign w:val="center"/>
            <w:hideMark/>
          </w:tcPr>
          <w:p w14:paraId="4AD1BDF6"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 xml:space="preserve">1 (100%) </w:t>
            </w:r>
          </w:p>
        </w:tc>
      </w:tr>
      <w:tr w:rsidR="00727819" w:rsidRPr="00727819" w14:paraId="70276300" w14:textId="77777777" w:rsidTr="00727819">
        <w:trPr>
          <w:trHeight w:val="340"/>
        </w:trPr>
        <w:tc>
          <w:tcPr>
            <w:tcW w:w="1560" w:type="dxa"/>
            <w:tcBorders>
              <w:top w:val="nil"/>
              <w:left w:val="nil"/>
              <w:bottom w:val="nil"/>
              <w:right w:val="nil"/>
            </w:tcBorders>
            <w:shd w:val="clear" w:color="auto" w:fill="auto"/>
            <w:noWrap/>
            <w:vAlign w:val="bottom"/>
            <w:hideMark/>
          </w:tcPr>
          <w:p w14:paraId="78C0D4B2" w14:textId="77777777" w:rsidR="00727819" w:rsidRPr="00727819" w:rsidRDefault="00727819" w:rsidP="00727819">
            <w:pPr>
              <w:rPr>
                <w:rFonts w:ascii="Arial" w:hAnsi="Arial" w:cs="Arial"/>
                <w:color w:val="000000"/>
                <w:sz w:val="18"/>
                <w:szCs w:val="18"/>
              </w:rPr>
            </w:pPr>
          </w:p>
        </w:tc>
        <w:tc>
          <w:tcPr>
            <w:tcW w:w="1417" w:type="dxa"/>
            <w:tcBorders>
              <w:top w:val="nil"/>
              <w:left w:val="nil"/>
              <w:bottom w:val="nil"/>
              <w:right w:val="nil"/>
            </w:tcBorders>
            <w:shd w:val="clear" w:color="auto" w:fill="auto"/>
            <w:noWrap/>
            <w:vAlign w:val="bottom"/>
            <w:hideMark/>
          </w:tcPr>
          <w:p w14:paraId="18ACB776" w14:textId="77777777" w:rsidR="00727819" w:rsidRPr="00727819" w:rsidRDefault="00727819">
            <w:pPr>
              <w:rPr>
                <w:rFonts w:ascii="Arial" w:hAnsi="Arial" w:cs="Arial"/>
                <w:sz w:val="18"/>
                <w:szCs w:val="18"/>
              </w:rPr>
            </w:pPr>
          </w:p>
        </w:tc>
        <w:tc>
          <w:tcPr>
            <w:tcW w:w="1418" w:type="dxa"/>
            <w:tcBorders>
              <w:top w:val="nil"/>
              <w:left w:val="nil"/>
              <w:bottom w:val="nil"/>
              <w:right w:val="nil"/>
            </w:tcBorders>
            <w:shd w:val="clear" w:color="auto" w:fill="auto"/>
            <w:noWrap/>
            <w:vAlign w:val="bottom"/>
            <w:hideMark/>
          </w:tcPr>
          <w:p w14:paraId="3506FB04" w14:textId="77777777" w:rsidR="00727819" w:rsidRPr="00727819" w:rsidRDefault="00727819">
            <w:pPr>
              <w:rPr>
                <w:rFonts w:ascii="Arial" w:hAnsi="Arial" w:cs="Arial"/>
                <w:sz w:val="18"/>
                <w:szCs w:val="18"/>
              </w:rPr>
            </w:pPr>
          </w:p>
        </w:tc>
        <w:tc>
          <w:tcPr>
            <w:tcW w:w="1134" w:type="dxa"/>
            <w:tcBorders>
              <w:top w:val="nil"/>
              <w:left w:val="nil"/>
              <w:bottom w:val="nil"/>
              <w:right w:val="nil"/>
            </w:tcBorders>
            <w:shd w:val="clear" w:color="auto" w:fill="auto"/>
            <w:noWrap/>
            <w:vAlign w:val="bottom"/>
            <w:hideMark/>
          </w:tcPr>
          <w:p w14:paraId="67D8976D" w14:textId="77777777" w:rsidR="00727819" w:rsidRPr="00727819" w:rsidRDefault="00727819">
            <w:pPr>
              <w:rPr>
                <w:rFonts w:ascii="Arial" w:hAnsi="Arial" w:cs="Arial"/>
                <w:sz w:val="18"/>
                <w:szCs w:val="18"/>
              </w:rPr>
            </w:pPr>
          </w:p>
        </w:tc>
        <w:tc>
          <w:tcPr>
            <w:tcW w:w="1134" w:type="dxa"/>
            <w:tcBorders>
              <w:top w:val="nil"/>
              <w:left w:val="nil"/>
              <w:bottom w:val="nil"/>
              <w:right w:val="nil"/>
            </w:tcBorders>
            <w:shd w:val="clear" w:color="auto" w:fill="auto"/>
            <w:noWrap/>
            <w:vAlign w:val="bottom"/>
            <w:hideMark/>
          </w:tcPr>
          <w:p w14:paraId="7B361BAB" w14:textId="77777777" w:rsidR="00727819" w:rsidRPr="00727819" w:rsidRDefault="00727819">
            <w:pPr>
              <w:rPr>
                <w:rFonts w:ascii="Arial" w:hAnsi="Arial" w:cs="Arial"/>
                <w:sz w:val="18"/>
                <w:szCs w:val="18"/>
              </w:rPr>
            </w:pPr>
          </w:p>
        </w:tc>
        <w:tc>
          <w:tcPr>
            <w:tcW w:w="1417" w:type="dxa"/>
            <w:tcBorders>
              <w:top w:val="nil"/>
              <w:left w:val="nil"/>
              <w:bottom w:val="nil"/>
              <w:right w:val="nil"/>
            </w:tcBorders>
            <w:shd w:val="clear" w:color="auto" w:fill="auto"/>
            <w:noWrap/>
            <w:vAlign w:val="bottom"/>
            <w:hideMark/>
          </w:tcPr>
          <w:p w14:paraId="65D05E9D" w14:textId="77777777" w:rsidR="00727819" w:rsidRPr="00727819" w:rsidRDefault="00727819">
            <w:pPr>
              <w:rPr>
                <w:rFonts w:ascii="Arial" w:hAnsi="Arial" w:cs="Arial"/>
                <w:sz w:val="18"/>
                <w:szCs w:val="18"/>
              </w:rPr>
            </w:pPr>
          </w:p>
        </w:tc>
        <w:tc>
          <w:tcPr>
            <w:tcW w:w="1560" w:type="dxa"/>
            <w:tcBorders>
              <w:top w:val="nil"/>
              <w:left w:val="nil"/>
              <w:bottom w:val="nil"/>
              <w:right w:val="nil"/>
            </w:tcBorders>
            <w:shd w:val="clear" w:color="auto" w:fill="auto"/>
            <w:noWrap/>
            <w:vAlign w:val="bottom"/>
            <w:hideMark/>
          </w:tcPr>
          <w:p w14:paraId="05CA91AB" w14:textId="77777777" w:rsidR="00727819" w:rsidRPr="00727819" w:rsidRDefault="00727819">
            <w:pPr>
              <w:rPr>
                <w:rFonts w:ascii="Arial" w:hAnsi="Arial" w:cs="Arial"/>
                <w:sz w:val="18"/>
                <w:szCs w:val="18"/>
              </w:rPr>
            </w:pPr>
          </w:p>
        </w:tc>
        <w:tc>
          <w:tcPr>
            <w:tcW w:w="1559" w:type="dxa"/>
            <w:tcBorders>
              <w:top w:val="nil"/>
              <w:left w:val="nil"/>
              <w:bottom w:val="nil"/>
              <w:right w:val="nil"/>
            </w:tcBorders>
            <w:shd w:val="clear" w:color="auto" w:fill="auto"/>
            <w:noWrap/>
            <w:vAlign w:val="bottom"/>
            <w:hideMark/>
          </w:tcPr>
          <w:p w14:paraId="4742FE6C" w14:textId="77777777" w:rsidR="00727819" w:rsidRPr="00727819" w:rsidRDefault="00727819">
            <w:pPr>
              <w:rPr>
                <w:rFonts w:ascii="Arial" w:hAnsi="Arial" w:cs="Arial"/>
                <w:sz w:val="18"/>
                <w:szCs w:val="18"/>
              </w:rPr>
            </w:pPr>
          </w:p>
        </w:tc>
      </w:tr>
    </w:tbl>
    <w:p w14:paraId="09380F2E" w14:textId="77777777" w:rsidR="000228EE" w:rsidRPr="00CB4391" w:rsidRDefault="00000000">
      <w:pPr>
        <w:rPr>
          <w:rFonts w:ascii="Arial" w:hAnsi="Arial" w:cs="Arial"/>
          <w:sz w:val="20"/>
          <w:szCs w:val="20"/>
          <w:lang w:val="en-US"/>
        </w:rPr>
      </w:pPr>
      <w:r w:rsidRPr="00CB4391">
        <w:rPr>
          <w:rFonts w:ascii="Arial" w:hAnsi="Arial" w:cs="Arial"/>
          <w:sz w:val="20"/>
          <w:szCs w:val="20"/>
          <w:lang w:val="en-US"/>
        </w:rPr>
        <w:t>Significant p-values (p &lt; 0.05) are reported in bold.</w:t>
      </w:r>
    </w:p>
    <w:p w14:paraId="1592E713" w14:textId="77777777" w:rsidR="000228EE" w:rsidRPr="00CB4391" w:rsidRDefault="000228EE">
      <w:pPr>
        <w:rPr>
          <w:rFonts w:ascii="Arial" w:hAnsi="Arial" w:cs="Arial"/>
          <w:b/>
          <w:lang w:val="en-US"/>
        </w:rPr>
      </w:pPr>
    </w:p>
    <w:p w14:paraId="3FB77D5F" w14:textId="77777777" w:rsidR="000228EE" w:rsidRPr="00CB4391" w:rsidRDefault="000228EE">
      <w:pPr>
        <w:rPr>
          <w:rFonts w:ascii="Arial" w:hAnsi="Arial" w:cs="Arial"/>
          <w:b/>
          <w:lang w:val="en-US"/>
        </w:rPr>
      </w:pPr>
    </w:p>
    <w:p w14:paraId="2CF97D88" w14:textId="11233A10" w:rsidR="00727819" w:rsidRPr="00517351" w:rsidRDefault="00517351" w:rsidP="00727819">
      <w:pPr>
        <w:rPr>
          <w:rFonts w:ascii="Arial" w:hAnsi="Arial" w:cs="Arial"/>
          <w:b/>
          <w:sz w:val="22"/>
          <w:szCs w:val="22"/>
          <w:lang w:val="en-US"/>
        </w:rPr>
      </w:pPr>
      <w:r>
        <w:rPr>
          <w:rFonts w:ascii="Arial" w:hAnsi="Arial" w:cs="Arial"/>
          <w:b/>
          <w:sz w:val="22"/>
          <w:szCs w:val="22"/>
          <w:lang w:val="en-US"/>
        </w:rPr>
        <w:br w:type="page"/>
      </w:r>
      <w:r w:rsidRPr="00CB4391">
        <w:rPr>
          <w:rFonts w:ascii="Arial" w:hAnsi="Arial" w:cs="Arial"/>
          <w:b/>
          <w:sz w:val="22"/>
          <w:szCs w:val="22"/>
          <w:lang w:val="en-GB"/>
        </w:rPr>
        <w:lastRenderedPageBreak/>
        <w:t xml:space="preserve">Supplementary Table </w:t>
      </w:r>
      <w:r>
        <w:rPr>
          <w:rFonts w:ascii="Arial" w:hAnsi="Arial" w:cs="Arial"/>
          <w:b/>
          <w:sz w:val="22"/>
          <w:szCs w:val="22"/>
          <w:lang w:val="en-GB"/>
        </w:rPr>
        <w:t>2</w:t>
      </w:r>
      <w:r w:rsidRPr="00CB4391">
        <w:rPr>
          <w:rFonts w:ascii="Arial" w:hAnsi="Arial" w:cs="Arial"/>
          <w:sz w:val="22"/>
          <w:szCs w:val="22"/>
          <w:lang w:val="en-GB"/>
        </w:rPr>
        <w:t xml:space="preserve"> </w:t>
      </w:r>
      <w:r w:rsidR="00727819" w:rsidRPr="00292628">
        <w:rPr>
          <w:rFonts w:ascii="Arial" w:eastAsia="Arial" w:hAnsi="Arial" w:cs="Arial"/>
          <w:sz w:val="22"/>
          <w:szCs w:val="22"/>
          <w:lang w:val="en-GB"/>
        </w:rPr>
        <w:t xml:space="preserve">Demographic and clinical features of GBA-PD and nonGBA-PD subgroups with </w:t>
      </w:r>
      <w:r w:rsidR="00727819" w:rsidRPr="00292628">
        <w:rPr>
          <w:rFonts w:ascii="Arial" w:eastAsia="Arial" w:hAnsi="Arial" w:cs="Arial"/>
          <w:sz w:val="22"/>
          <w:szCs w:val="22"/>
          <w:vertAlign w:val="superscript"/>
          <w:lang w:val="en-GB"/>
        </w:rPr>
        <w:t>123</w:t>
      </w:r>
      <w:r w:rsidR="00727819" w:rsidRPr="00292628">
        <w:rPr>
          <w:rFonts w:ascii="Arial" w:eastAsia="Arial" w:hAnsi="Arial" w:cs="Arial"/>
          <w:sz w:val="22"/>
          <w:szCs w:val="22"/>
          <w:lang w:val="en-GB"/>
        </w:rPr>
        <w:t>I-FP-CIT-SPECT data available, divided by sex.</w:t>
      </w:r>
    </w:p>
    <w:p w14:paraId="7A51975B" w14:textId="77777777" w:rsidR="00727819" w:rsidRPr="00292628" w:rsidRDefault="00727819" w:rsidP="00727819">
      <w:pPr>
        <w:rPr>
          <w:rFonts w:ascii="Arial" w:eastAsia="Arial" w:hAnsi="Arial" w:cs="Arial"/>
          <w:sz w:val="22"/>
          <w:szCs w:val="22"/>
          <w:lang w:val="en-GB"/>
        </w:rPr>
      </w:pPr>
    </w:p>
    <w:tbl>
      <w:tblPr>
        <w:tblW w:w="11483" w:type="dxa"/>
        <w:tblInd w:w="-851" w:type="dxa"/>
        <w:tblCellMar>
          <w:left w:w="70" w:type="dxa"/>
          <w:right w:w="70" w:type="dxa"/>
        </w:tblCellMar>
        <w:tblLook w:val="04A0" w:firstRow="1" w:lastRow="0" w:firstColumn="1" w:lastColumn="0" w:noHBand="0" w:noVBand="1"/>
      </w:tblPr>
      <w:tblGrid>
        <w:gridCol w:w="2552"/>
        <w:gridCol w:w="1240"/>
        <w:gridCol w:w="1240"/>
        <w:gridCol w:w="1348"/>
        <w:gridCol w:w="1417"/>
        <w:gridCol w:w="992"/>
        <w:gridCol w:w="2694"/>
      </w:tblGrid>
      <w:tr w:rsidR="00727819" w:rsidRPr="00497CAC" w14:paraId="70E46E4D" w14:textId="77777777" w:rsidTr="00727819">
        <w:trPr>
          <w:trHeight w:val="320"/>
        </w:trPr>
        <w:tc>
          <w:tcPr>
            <w:tcW w:w="2552" w:type="dxa"/>
            <w:tcBorders>
              <w:top w:val="nil"/>
              <w:left w:val="nil"/>
              <w:bottom w:val="nil"/>
              <w:right w:val="nil"/>
            </w:tcBorders>
            <w:shd w:val="clear" w:color="auto" w:fill="auto"/>
            <w:noWrap/>
            <w:vAlign w:val="bottom"/>
            <w:hideMark/>
          </w:tcPr>
          <w:p w14:paraId="4FB407FB" w14:textId="77777777" w:rsidR="00727819" w:rsidRPr="00E63A7C" w:rsidRDefault="00727819">
            <w:pPr>
              <w:rPr>
                <w:rFonts w:ascii="Arial" w:hAnsi="Arial" w:cs="Arial"/>
                <w:sz w:val="18"/>
                <w:szCs w:val="18"/>
                <w:lang w:val="en-GB"/>
              </w:rPr>
            </w:pPr>
          </w:p>
        </w:tc>
        <w:tc>
          <w:tcPr>
            <w:tcW w:w="1240" w:type="dxa"/>
            <w:tcBorders>
              <w:top w:val="nil"/>
              <w:left w:val="nil"/>
              <w:bottom w:val="nil"/>
              <w:right w:val="nil"/>
            </w:tcBorders>
            <w:shd w:val="clear" w:color="auto" w:fill="auto"/>
            <w:noWrap/>
            <w:vAlign w:val="bottom"/>
            <w:hideMark/>
          </w:tcPr>
          <w:p w14:paraId="48A301DF" w14:textId="77777777" w:rsidR="00727819" w:rsidRPr="00E63A7C" w:rsidRDefault="00727819">
            <w:pPr>
              <w:rPr>
                <w:rFonts w:ascii="Arial" w:hAnsi="Arial" w:cs="Arial"/>
                <w:sz w:val="18"/>
                <w:szCs w:val="18"/>
                <w:lang w:val="en-GB"/>
              </w:rPr>
            </w:pPr>
          </w:p>
        </w:tc>
        <w:tc>
          <w:tcPr>
            <w:tcW w:w="1240" w:type="dxa"/>
            <w:tcBorders>
              <w:top w:val="nil"/>
              <w:left w:val="nil"/>
              <w:bottom w:val="nil"/>
              <w:right w:val="nil"/>
            </w:tcBorders>
            <w:shd w:val="clear" w:color="auto" w:fill="auto"/>
            <w:noWrap/>
            <w:vAlign w:val="bottom"/>
            <w:hideMark/>
          </w:tcPr>
          <w:p w14:paraId="308BB21D" w14:textId="77777777" w:rsidR="00727819" w:rsidRPr="00E63A7C" w:rsidRDefault="00727819">
            <w:pPr>
              <w:rPr>
                <w:rFonts w:ascii="Arial" w:hAnsi="Arial" w:cs="Arial"/>
                <w:sz w:val="18"/>
                <w:szCs w:val="18"/>
                <w:lang w:val="en-GB"/>
              </w:rPr>
            </w:pPr>
          </w:p>
        </w:tc>
        <w:tc>
          <w:tcPr>
            <w:tcW w:w="1348" w:type="dxa"/>
            <w:tcBorders>
              <w:top w:val="nil"/>
              <w:left w:val="nil"/>
              <w:bottom w:val="nil"/>
              <w:right w:val="nil"/>
            </w:tcBorders>
            <w:shd w:val="clear" w:color="auto" w:fill="auto"/>
            <w:noWrap/>
            <w:vAlign w:val="bottom"/>
            <w:hideMark/>
          </w:tcPr>
          <w:p w14:paraId="7A3CBDCD" w14:textId="77777777" w:rsidR="00727819" w:rsidRPr="00E63A7C" w:rsidRDefault="00727819">
            <w:pPr>
              <w:rPr>
                <w:rFonts w:ascii="Arial" w:hAnsi="Arial" w:cs="Arial"/>
                <w:sz w:val="18"/>
                <w:szCs w:val="18"/>
                <w:lang w:val="en-GB"/>
              </w:rPr>
            </w:pPr>
          </w:p>
        </w:tc>
        <w:tc>
          <w:tcPr>
            <w:tcW w:w="1417" w:type="dxa"/>
            <w:tcBorders>
              <w:top w:val="nil"/>
              <w:left w:val="nil"/>
              <w:bottom w:val="nil"/>
              <w:right w:val="nil"/>
            </w:tcBorders>
            <w:shd w:val="clear" w:color="auto" w:fill="auto"/>
            <w:noWrap/>
            <w:vAlign w:val="bottom"/>
            <w:hideMark/>
          </w:tcPr>
          <w:p w14:paraId="074A5551" w14:textId="77777777" w:rsidR="00727819" w:rsidRPr="00E63A7C" w:rsidRDefault="00727819">
            <w:pPr>
              <w:rPr>
                <w:rFonts w:ascii="Arial" w:hAnsi="Arial" w:cs="Arial"/>
                <w:sz w:val="18"/>
                <w:szCs w:val="18"/>
                <w:lang w:val="en-GB"/>
              </w:rPr>
            </w:pPr>
          </w:p>
        </w:tc>
        <w:tc>
          <w:tcPr>
            <w:tcW w:w="992" w:type="dxa"/>
            <w:tcBorders>
              <w:top w:val="nil"/>
              <w:left w:val="nil"/>
              <w:bottom w:val="nil"/>
              <w:right w:val="nil"/>
            </w:tcBorders>
            <w:shd w:val="clear" w:color="auto" w:fill="auto"/>
            <w:noWrap/>
            <w:vAlign w:val="bottom"/>
            <w:hideMark/>
          </w:tcPr>
          <w:p w14:paraId="49B7B102" w14:textId="77777777" w:rsidR="00727819" w:rsidRPr="00E63A7C" w:rsidRDefault="00727819">
            <w:pPr>
              <w:rPr>
                <w:rFonts w:ascii="Arial" w:hAnsi="Arial" w:cs="Arial"/>
                <w:sz w:val="18"/>
                <w:szCs w:val="18"/>
                <w:lang w:val="en-GB"/>
              </w:rPr>
            </w:pPr>
          </w:p>
        </w:tc>
        <w:tc>
          <w:tcPr>
            <w:tcW w:w="2694" w:type="dxa"/>
            <w:tcBorders>
              <w:top w:val="nil"/>
              <w:left w:val="nil"/>
              <w:bottom w:val="nil"/>
              <w:right w:val="nil"/>
            </w:tcBorders>
            <w:shd w:val="clear" w:color="auto" w:fill="auto"/>
            <w:noWrap/>
            <w:vAlign w:val="bottom"/>
            <w:hideMark/>
          </w:tcPr>
          <w:p w14:paraId="270E767D" w14:textId="77777777" w:rsidR="00727819" w:rsidRPr="00E63A7C" w:rsidRDefault="00727819">
            <w:pPr>
              <w:rPr>
                <w:rFonts w:ascii="Arial" w:hAnsi="Arial" w:cs="Arial"/>
                <w:sz w:val="18"/>
                <w:szCs w:val="18"/>
                <w:lang w:val="en-GB"/>
              </w:rPr>
            </w:pPr>
          </w:p>
        </w:tc>
      </w:tr>
      <w:tr w:rsidR="00727819" w:rsidRPr="00497CAC" w14:paraId="28CC6D23" w14:textId="77777777" w:rsidTr="00727819">
        <w:trPr>
          <w:trHeight w:val="340"/>
        </w:trPr>
        <w:tc>
          <w:tcPr>
            <w:tcW w:w="2552" w:type="dxa"/>
            <w:tcBorders>
              <w:top w:val="single" w:sz="4" w:space="0" w:color="auto"/>
              <w:left w:val="nil"/>
              <w:bottom w:val="nil"/>
              <w:right w:val="nil"/>
            </w:tcBorders>
            <w:shd w:val="clear" w:color="auto" w:fill="auto"/>
            <w:noWrap/>
            <w:vAlign w:val="bottom"/>
            <w:hideMark/>
          </w:tcPr>
          <w:p w14:paraId="06687876" w14:textId="77777777" w:rsidR="00727819" w:rsidRPr="00E63A7C" w:rsidRDefault="00727819">
            <w:pPr>
              <w:rPr>
                <w:rFonts w:ascii="Arial" w:hAnsi="Arial" w:cs="Arial"/>
                <w:b/>
                <w:bCs/>
                <w:color w:val="000000"/>
                <w:sz w:val="18"/>
                <w:szCs w:val="18"/>
                <w:lang w:val="en-GB"/>
              </w:rPr>
            </w:pPr>
            <w:r w:rsidRPr="00727819">
              <w:rPr>
                <w:rFonts w:ascii="Arial" w:hAnsi="Arial" w:cs="Arial"/>
                <w:b/>
                <w:bCs/>
                <w:color w:val="000000"/>
                <w:sz w:val="18"/>
                <w:szCs w:val="18"/>
                <w:lang w:val="en-GB"/>
              </w:rPr>
              <w:t> </w:t>
            </w:r>
          </w:p>
        </w:tc>
        <w:tc>
          <w:tcPr>
            <w:tcW w:w="1240" w:type="dxa"/>
            <w:vMerge w:val="restart"/>
            <w:tcBorders>
              <w:top w:val="single" w:sz="4" w:space="0" w:color="auto"/>
              <w:left w:val="nil"/>
              <w:bottom w:val="double" w:sz="6" w:space="0" w:color="000000"/>
              <w:right w:val="nil"/>
            </w:tcBorders>
            <w:shd w:val="clear" w:color="auto" w:fill="auto"/>
            <w:noWrap/>
            <w:vAlign w:val="center"/>
            <w:hideMark/>
          </w:tcPr>
          <w:p w14:paraId="70E1FD56" w14:textId="77777777" w:rsidR="00727819" w:rsidRPr="00727819" w:rsidRDefault="00727819">
            <w:pPr>
              <w:jc w:val="center"/>
              <w:rPr>
                <w:rFonts w:ascii="Arial" w:hAnsi="Arial" w:cs="Arial"/>
                <w:b/>
                <w:bCs/>
                <w:color w:val="000000"/>
                <w:sz w:val="18"/>
                <w:szCs w:val="18"/>
              </w:rPr>
            </w:pPr>
            <w:r w:rsidRPr="00727819">
              <w:rPr>
                <w:rFonts w:ascii="Arial" w:hAnsi="Arial" w:cs="Arial"/>
                <w:b/>
                <w:bCs/>
                <w:color w:val="000000"/>
                <w:sz w:val="18"/>
                <w:szCs w:val="18"/>
                <w:lang w:val="en-GB"/>
              </w:rPr>
              <w:t>GBA-PD F</w:t>
            </w:r>
          </w:p>
        </w:tc>
        <w:tc>
          <w:tcPr>
            <w:tcW w:w="1240" w:type="dxa"/>
            <w:vMerge w:val="restart"/>
            <w:tcBorders>
              <w:top w:val="single" w:sz="4" w:space="0" w:color="auto"/>
              <w:left w:val="nil"/>
              <w:bottom w:val="double" w:sz="6" w:space="0" w:color="000000"/>
              <w:right w:val="nil"/>
            </w:tcBorders>
            <w:shd w:val="clear" w:color="auto" w:fill="auto"/>
            <w:noWrap/>
            <w:vAlign w:val="center"/>
            <w:hideMark/>
          </w:tcPr>
          <w:p w14:paraId="28C0CE78" w14:textId="77777777" w:rsidR="00727819" w:rsidRPr="00727819" w:rsidRDefault="00727819">
            <w:pPr>
              <w:jc w:val="center"/>
              <w:rPr>
                <w:rFonts w:ascii="Arial" w:hAnsi="Arial" w:cs="Arial"/>
                <w:b/>
                <w:bCs/>
                <w:color w:val="000000"/>
                <w:sz w:val="18"/>
                <w:szCs w:val="18"/>
              </w:rPr>
            </w:pPr>
            <w:r w:rsidRPr="00727819">
              <w:rPr>
                <w:rFonts w:ascii="Arial" w:hAnsi="Arial" w:cs="Arial"/>
                <w:b/>
                <w:bCs/>
                <w:color w:val="000000"/>
                <w:sz w:val="18"/>
                <w:szCs w:val="18"/>
                <w:lang w:val="en-GB"/>
              </w:rPr>
              <w:t>GBA-PD M</w:t>
            </w:r>
          </w:p>
        </w:tc>
        <w:tc>
          <w:tcPr>
            <w:tcW w:w="1348" w:type="dxa"/>
            <w:vMerge w:val="restart"/>
            <w:tcBorders>
              <w:top w:val="single" w:sz="4" w:space="0" w:color="auto"/>
              <w:left w:val="nil"/>
              <w:bottom w:val="double" w:sz="6" w:space="0" w:color="000000"/>
              <w:right w:val="nil"/>
            </w:tcBorders>
            <w:shd w:val="clear" w:color="auto" w:fill="auto"/>
            <w:noWrap/>
            <w:vAlign w:val="center"/>
            <w:hideMark/>
          </w:tcPr>
          <w:p w14:paraId="07BD9FBF" w14:textId="77777777" w:rsidR="00727819" w:rsidRPr="00727819" w:rsidRDefault="00727819">
            <w:pPr>
              <w:jc w:val="center"/>
              <w:rPr>
                <w:rFonts w:ascii="Arial" w:hAnsi="Arial" w:cs="Arial"/>
                <w:b/>
                <w:bCs/>
                <w:color w:val="000000"/>
                <w:sz w:val="18"/>
                <w:szCs w:val="18"/>
              </w:rPr>
            </w:pPr>
            <w:r w:rsidRPr="00727819">
              <w:rPr>
                <w:rFonts w:ascii="Arial" w:hAnsi="Arial" w:cs="Arial"/>
                <w:b/>
                <w:bCs/>
                <w:color w:val="000000"/>
                <w:sz w:val="18"/>
                <w:szCs w:val="18"/>
                <w:lang w:val="en-GB"/>
              </w:rPr>
              <w:t>nonGBA-PD F</w:t>
            </w:r>
          </w:p>
        </w:tc>
        <w:tc>
          <w:tcPr>
            <w:tcW w:w="1417" w:type="dxa"/>
            <w:vMerge w:val="restart"/>
            <w:tcBorders>
              <w:top w:val="single" w:sz="4" w:space="0" w:color="auto"/>
              <w:left w:val="nil"/>
              <w:bottom w:val="double" w:sz="6" w:space="0" w:color="000000"/>
              <w:right w:val="nil"/>
            </w:tcBorders>
            <w:shd w:val="clear" w:color="auto" w:fill="auto"/>
            <w:noWrap/>
            <w:vAlign w:val="center"/>
            <w:hideMark/>
          </w:tcPr>
          <w:p w14:paraId="10A6272D" w14:textId="77777777" w:rsidR="00727819" w:rsidRPr="00727819" w:rsidRDefault="00727819">
            <w:pPr>
              <w:jc w:val="center"/>
              <w:rPr>
                <w:rFonts w:ascii="Arial" w:hAnsi="Arial" w:cs="Arial"/>
                <w:b/>
                <w:bCs/>
                <w:color w:val="000000"/>
                <w:sz w:val="18"/>
                <w:szCs w:val="18"/>
              </w:rPr>
            </w:pPr>
            <w:r w:rsidRPr="00727819">
              <w:rPr>
                <w:rFonts w:ascii="Arial" w:hAnsi="Arial" w:cs="Arial"/>
                <w:b/>
                <w:bCs/>
                <w:color w:val="000000"/>
                <w:sz w:val="18"/>
                <w:szCs w:val="18"/>
                <w:lang w:val="en-GB"/>
              </w:rPr>
              <w:t>nonGBA-PD M</w:t>
            </w:r>
          </w:p>
        </w:tc>
        <w:tc>
          <w:tcPr>
            <w:tcW w:w="3686" w:type="dxa"/>
            <w:gridSpan w:val="2"/>
            <w:tcBorders>
              <w:top w:val="single" w:sz="4" w:space="0" w:color="auto"/>
              <w:left w:val="nil"/>
              <w:bottom w:val="nil"/>
              <w:right w:val="nil"/>
            </w:tcBorders>
            <w:shd w:val="clear" w:color="auto" w:fill="auto"/>
            <w:noWrap/>
            <w:vAlign w:val="center"/>
            <w:hideMark/>
          </w:tcPr>
          <w:p w14:paraId="51399315" w14:textId="77777777" w:rsidR="00727819" w:rsidRPr="00E63A7C" w:rsidRDefault="00727819" w:rsidP="00727819">
            <w:pPr>
              <w:jc w:val="center"/>
              <w:rPr>
                <w:rFonts w:ascii="Arial" w:hAnsi="Arial" w:cs="Arial"/>
                <w:b/>
                <w:bCs/>
                <w:color w:val="000000"/>
                <w:sz w:val="18"/>
                <w:szCs w:val="18"/>
                <w:lang w:val="en-GB"/>
              </w:rPr>
            </w:pPr>
            <w:r w:rsidRPr="00727819">
              <w:rPr>
                <w:rFonts w:ascii="Arial" w:hAnsi="Arial" w:cs="Arial"/>
                <w:b/>
                <w:bCs/>
                <w:color w:val="000000"/>
                <w:sz w:val="18"/>
                <w:szCs w:val="18"/>
                <w:lang w:val="en-GB"/>
              </w:rPr>
              <w:t>Comparison across the four groups</w:t>
            </w:r>
          </w:p>
        </w:tc>
      </w:tr>
      <w:tr w:rsidR="00727819" w:rsidRPr="00727819" w14:paraId="2D1059E7" w14:textId="77777777" w:rsidTr="00727819">
        <w:trPr>
          <w:trHeight w:val="340"/>
        </w:trPr>
        <w:tc>
          <w:tcPr>
            <w:tcW w:w="2552" w:type="dxa"/>
            <w:tcBorders>
              <w:top w:val="nil"/>
              <w:left w:val="nil"/>
              <w:bottom w:val="double" w:sz="6" w:space="0" w:color="auto"/>
              <w:right w:val="nil"/>
            </w:tcBorders>
            <w:shd w:val="clear" w:color="auto" w:fill="auto"/>
            <w:noWrap/>
            <w:vAlign w:val="bottom"/>
            <w:hideMark/>
          </w:tcPr>
          <w:p w14:paraId="4583AFC1" w14:textId="77777777" w:rsidR="00727819" w:rsidRPr="00E63A7C" w:rsidRDefault="00727819">
            <w:pPr>
              <w:rPr>
                <w:rFonts w:ascii="Arial" w:hAnsi="Arial" w:cs="Arial"/>
                <w:color w:val="000000"/>
                <w:sz w:val="18"/>
                <w:szCs w:val="18"/>
                <w:lang w:val="en-GB"/>
              </w:rPr>
            </w:pPr>
            <w:r w:rsidRPr="00E63A7C">
              <w:rPr>
                <w:rFonts w:ascii="Arial" w:hAnsi="Arial" w:cs="Arial"/>
                <w:color w:val="000000"/>
                <w:sz w:val="18"/>
                <w:szCs w:val="18"/>
                <w:lang w:val="en-GB"/>
              </w:rPr>
              <w:t> </w:t>
            </w:r>
          </w:p>
        </w:tc>
        <w:tc>
          <w:tcPr>
            <w:tcW w:w="1240" w:type="dxa"/>
            <w:vMerge/>
            <w:tcBorders>
              <w:top w:val="single" w:sz="4" w:space="0" w:color="auto"/>
              <w:left w:val="nil"/>
              <w:bottom w:val="double" w:sz="6" w:space="0" w:color="000000"/>
              <w:right w:val="nil"/>
            </w:tcBorders>
            <w:vAlign w:val="center"/>
            <w:hideMark/>
          </w:tcPr>
          <w:p w14:paraId="67FA695C" w14:textId="77777777" w:rsidR="00727819" w:rsidRPr="00E63A7C" w:rsidRDefault="00727819">
            <w:pPr>
              <w:rPr>
                <w:rFonts w:ascii="Arial" w:hAnsi="Arial" w:cs="Arial"/>
                <w:color w:val="000000"/>
                <w:sz w:val="18"/>
                <w:szCs w:val="18"/>
                <w:lang w:val="en-GB"/>
              </w:rPr>
            </w:pPr>
          </w:p>
        </w:tc>
        <w:tc>
          <w:tcPr>
            <w:tcW w:w="1240" w:type="dxa"/>
            <w:vMerge/>
            <w:tcBorders>
              <w:top w:val="single" w:sz="4" w:space="0" w:color="auto"/>
              <w:left w:val="nil"/>
              <w:bottom w:val="double" w:sz="6" w:space="0" w:color="000000"/>
              <w:right w:val="nil"/>
            </w:tcBorders>
            <w:vAlign w:val="center"/>
            <w:hideMark/>
          </w:tcPr>
          <w:p w14:paraId="0CA8DDFE" w14:textId="77777777" w:rsidR="00727819" w:rsidRPr="00E63A7C" w:rsidRDefault="00727819">
            <w:pPr>
              <w:rPr>
                <w:rFonts w:ascii="Arial" w:hAnsi="Arial" w:cs="Arial"/>
                <w:color w:val="000000"/>
                <w:sz w:val="18"/>
                <w:szCs w:val="18"/>
                <w:lang w:val="en-GB"/>
              </w:rPr>
            </w:pPr>
          </w:p>
        </w:tc>
        <w:tc>
          <w:tcPr>
            <w:tcW w:w="1348" w:type="dxa"/>
            <w:vMerge/>
            <w:tcBorders>
              <w:top w:val="single" w:sz="4" w:space="0" w:color="auto"/>
              <w:left w:val="nil"/>
              <w:bottom w:val="double" w:sz="6" w:space="0" w:color="000000"/>
              <w:right w:val="nil"/>
            </w:tcBorders>
            <w:vAlign w:val="center"/>
            <w:hideMark/>
          </w:tcPr>
          <w:p w14:paraId="45591E82" w14:textId="77777777" w:rsidR="00727819" w:rsidRPr="00E63A7C" w:rsidRDefault="00727819">
            <w:pPr>
              <w:rPr>
                <w:rFonts w:ascii="Arial" w:hAnsi="Arial" w:cs="Arial"/>
                <w:color w:val="000000"/>
                <w:sz w:val="18"/>
                <w:szCs w:val="18"/>
                <w:lang w:val="en-GB"/>
              </w:rPr>
            </w:pPr>
          </w:p>
        </w:tc>
        <w:tc>
          <w:tcPr>
            <w:tcW w:w="1417" w:type="dxa"/>
            <w:vMerge/>
            <w:tcBorders>
              <w:top w:val="single" w:sz="4" w:space="0" w:color="auto"/>
              <w:left w:val="nil"/>
              <w:bottom w:val="double" w:sz="6" w:space="0" w:color="000000"/>
              <w:right w:val="nil"/>
            </w:tcBorders>
            <w:vAlign w:val="center"/>
            <w:hideMark/>
          </w:tcPr>
          <w:p w14:paraId="06F434C7" w14:textId="77777777" w:rsidR="00727819" w:rsidRPr="00E63A7C" w:rsidRDefault="00727819">
            <w:pPr>
              <w:rPr>
                <w:rFonts w:ascii="Arial" w:hAnsi="Arial" w:cs="Arial"/>
                <w:color w:val="000000"/>
                <w:sz w:val="18"/>
                <w:szCs w:val="18"/>
                <w:lang w:val="en-GB"/>
              </w:rPr>
            </w:pPr>
          </w:p>
        </w:tc>
        <w:tc>
          <w:tcPr>
            <w:tcW w:w="992" w:type="dxa"/>
            <w:tcBorders>
              <w:top w:val="single" w:sz="4" w:space="0" w:color="auto"/>
              <w:left w:val="nil"/>
              <w:bottom w:val="double" w:sz="6" w:space="0" w:color="auto"/>
              <w:right w:val="nil"/>
            </w:tcBorders>
            <w:shd w:val="clear" w:color="auto" w:fill="auto"/>
            <w:noWrap/>
            <w:vAlign w:val="center"/>
            <w:hideMark/>
          </w:tcPr>
          <w:p w14:paraId="619957B6" w14:textId="77777777" w:rsidR="00727819" w:rsidRPr="00727819" w:rsidRDefault="00727819" w:rsidP="00727819">
            <w:pPr>
              <w:jc w:val="center"/>
              <w:rPr>
                <w:rFonts w:ascii="Arial" w:hAnsi="Arial" w:cs="Arial"/>
                <w:b/>
                <w:bCs/>
                <w:color w:val="000000"/>
                <w:sz w:val="18"/>
                <w:szCs w:val="18"/>
              </w:rPr>
            </w:pPr>
            <w:r w:rsidRPr="00727819">
              <w:rPr>
                <w:rFonts w:ascii="Arial" w:hAnsi="Arial" w:cs="Arial"/>
                <w:b/>
                <w:bCs/>
                <w:color w:val="000000"/>
                <w:sz w:val="18"/>
                <w:szCs w:val="18"/>
                <w:lang w:val="en-GB"/>
              </w:rPr>
              <w:t>p-value</w:t>
            </w:r>
          </w:p>
        </w:tc>
        <w:tc>
          <w:tcPr>
            <w:tcW w:w="2694" w:type="dxa"/>
            <w:tcBorders>
              <w:top w:val="single" w:sz="4" w:space="0" w:color="auto"/>
              <w:left w:val="nil"/>
              <w:bottom w:val="double" w:sz="6" w:space="0" w:color="auto"/>
              <w:right w:val="nil"/>
            </w:tcBorders>
            <w:shd w:val="clear" w:color="auto" w:fill="auto"/>
            <w:noWrap/>
            <w:vAlign w:val="center"/>
            <w:hideMark/>
          </w:tcPr>
          <w:p w14:paraId="52C6BB68" w14:textId="77777777" w:rsidR="00727819" w:rsidRPr="00727819" w:rsidRDefault="00727819" w:rsidP="00727819">
            <w:pPr>
              <w:jc w:val="center"/>
              <w:rPr>
                <w:rFonts w:ascii="Arial" w:hAnsi="Arial" w:cs="Arial"/>
                <w:b/>
                <w:bCs/>
                <w:color w:val="000000"/>
                <w:sz w:val="18"/>
                <w:szCs w:val="18"/>
              </w:rPr>
            </w:pPr>
            <w:r w:rsidRPr="00727819">
              <w:rPr>
                <w:rFonts w:ascii="Arial" w:hAnsi="Arial" w:cs="Arial"/>
                <w:b/>
                <w:bCs/>
                <w:color w:val="000000"/>
                <w:sz w:val="18"/>
                <w:szCs w:val="18"/>
                <w:lang w:val="en-GB"/>
              </w:rPr>
              <w:t>Post Hoc</w:t>
            </w:r>
          </w:p>
        </w:tc>
      </w:tr>
      <w:tr w:rsidR="00727819" w:rsidRPr="00727819" w14:paraId="3C9CA0F9" w14:textId="77777777" w:rsidTr="00727819">
        <w:trPr>
          <w:trHeight w:val="340"/>
        </w:trPr>
        <w:tc>
          <w:tcPr>
            <w:tcW w:w="2552" w:type="dxa"/>
            <w:tcBorders>
              <w:top w:val="nil"/>
              <w:left w:val="nil"/>
              <w:bottom w:val="nil"/>
              <w:right w:val="nil"/>
            </w:tcBorders>
            <w:shd w:val="clear" w:color="000000" w:fill="E8E8E8"/>
            <w:noWrap/>
            <w:vAlign w:val="center"/>
            <w:hideMark/>
          </w:tcPr>
          <w:p w14:paraId="6755B394" w14:textId="77777777" w:rsidR="00727819" w:rsidRPr="00727819" w:rsidRDefault="00727819">
            <w:pPr>
              <w:rPr>
                <w:rFonts w:ascii="Arial" w:hAnsi="Arial" w:cs="Arial"/>
                <w:color w:val="000000"/>
                <w:sz w:val="18"/>
                <w:szCs w:val="18"/>
              </w:rPr>
            </w:pPr>
            <w:r w:rsidRPr="00727819">
              <w:rPr>
                <w:rFonts w:ascii="Arial" w:hAnsi="Arial" w:cs="Arial"/>
                <w:color w:val="000000"/>
                <w:sz w:val="18"/>
                <w:szCs w:val="18"/>
                <w:lang w:val="en-GB"/>
              </w:rPr>
              <w:t>N (%)</w:t>
            </w:r>
          </w:p>
        </w:tc>
        <w:tc>
          <w:tcPr>
            <w:tcW w:w="1240" w:type="dxa"/>
            <w:tcBorders>
              <w:top w:val="nil"/>
              <w:left w:val="nil"/>
              <w:bottom w:val="nil"/>
              <w:right w:val="nil"/>
            </w:tcBorders>
            <w:shd w:val="clear" w:color="000000" w:fill="E8E8E8"/>
            <w:noWrap/>
            <w:vAlign w:val="center"/>
            <w:hideMark/>
          </w:tcPr>
          <w:p w14:paraId="5DD72B9A"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41 (14%)</w:t>
            </w:r>
          </w:p>
        </w:tc>
        <w:tc>
          <w:tcPr>
            <w:tcW w:w="1240" w:type="dxa"/>
            <w:tcBorders>
              <w:top w:val="nil"/>
              <w:left w:val="nil"/>
              <w:bottom w:val="nil"/>
              <w:right w:val="nil"/>
            </w:tcBorders>
            <w:shd w:val="clear" w:color="000000" w:fill="E8E8E8"/>
            <w:noWrap/>
            <w:vAlign w:val="center"/>
            <w:hideMark/>
          </w:tcPr>
          <w:p w14:paraId="22B08FEF"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49 (16.8%)</w:t>
            </w:r>
          </w:p>
        </w:tc>
        <w:tc>
          <w:tcPr>
            <w:tcW w:w="1348" w:type="dxa"/>
            <w:tcBorders>
              <w:top w:val="nil"/>
              <w:left w:val="nil"/>
              <w:bottom w:val="nil"/>
              <w:right w:val="nil"/>
            </w:tcBorders>
            <w:shd w:val="clear" w:color="000000" w:fill="E8E8E8"/>
            <w:noWrap/>
            <w:vAlign w:val="center"/>
            <w:hideMark/>
          </w:tcPr>
          <w:p w14:paraId="6A8E8742"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63 (21.6%)</w:t>
            </w:r>
          </w:p>
        </w:tc>
        <w:tc>
          <w:tcPr>
            <w:tcW w:w="1417" w:type="dxa"/>
            <w:tcBorders>
              <w:top w:val="nil"/>
              <w:left w:val="nil"/>
              <w:bottom w:val="nil"/>
              <w:right w:val="nil"/>
            </w:tcBorders>
            <w:shd w:val="clear" w:color="000000" w:fill="E8E8E8"/>
            <w:noWrap/>
            <w:vAlign w:val="center"/>
            <w:hideMark/>
          </w:tcPr>
          <w:p w14:paraId="78E7DB18"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139 (47.6%)</w:t>
            </w:r>
          </w:p>
        </w:tc>
        <w:tc>
          <w:tcPr>
            <w:tcW w:w="992" w:type="dxa"/>
            <w:tcBorders>
              <w:top w:val="nil"/>
              <w:left w:val="nil"/>
              <w:bottom w:val="nil"/>
              <w:right w:val="nil"/>
            </w:tcBorders>
            <w:shd w:val="clear" w:color="000000" w:fill="E8E8E8"/>
            <w:noWrap/>
            <w:vAlign w:val="center"/>
            <w:hideMark/>
          </w:tcPr>
          <w:p w14:paraId="71CD2C0A" w14:textId="77777777" w:rsidR="00727819" w:rsidRPr="00834A5C" w:rsidRDefault="00727819">
            <w:pPr>
              <w:jc w:val="center"/>
              <w:rPr>
                <w:rFonts w:ascii="Arial" w:hAnsi="Arial" w:cs="Arial"/>
                <w:b/>
                <w:bCs/>
                <w:color w:val="000000"/>
                <w:sz w:val="18"/>
                <w:szCs w:val="18"/>
              </w:rPr>
            </w:pPr>
            <w:r w:rsidRPr="00834A5C">
              <w:rPr>
                <w:rFonts w:ascii="Arial" w:hAnsi="Arial" w:cs="Arial"/>
                <w:b/>
                <w:bCs/>
                <w:color w:val="000000"/>
                <w:sz w:val="18"/>
                <w:szCs w:val="18"/>
                <w:lang w:val="en-GB"/>
              </w:rPr>
              <w:t>0.000</w:t>
            </w:r>
          </w:p>
        </w:tc>
        <w:tc>
          <w:tcPr>
            <w:tcW w:w="2694" w:type="dxa"/>
            <w:tcBorders>
              <w:top w:val="nil"/>
              <w:left w:val="nil"/>
              <w:bottom w:val="nil"/>
              <w:right w:val="nil"/>
            </w:tcBorders>
            <w:shd w:val="clear" w:color="000000" w:fill="E8E8E8"/>
            <w:noWrap/>
            <w:vAlign w:val="center"/>
            <w:hideMark/>
          </w:tcPr>
          <w:p w14:paraId="671F7371"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w:t>
            </w:r>
          </w:p>
        </w:tc>
      </w:tr>
      <w:tr w:rsidR="00727819" w:rsidRPr="00727819" w14:paraId="7AEA4CB7" w14:textId="77777777" w:rsidTr="00727819">
        <w:trPr>
          <w:trHeight w:val="320"/>
        </w:trPr>
        <w:tc>
          <w:tcPr>
            <w:tcW w:w="2552" w:type="dxa"/>
            <w:tcBorders>
              <w:top w:val="nil"/>
              <w:left w:val="nil"/>
              <w:bottom w:val="nil"/>
              <w:right w:val="nil"/>
            </w:tcBorders>
            <w:shd w:val="clear" w:color="auto" w:fill="auto"/>
            <w:noWrap/>
            <w:vAlign w:val="center"/>
            <w:hideMark/>
          </w:tcPr>
          <w:p w14:paraId="5FD85203" w14:textId="77777777" w:rsidR="00727819" w:rsidRPr="00727819" w:rsidRDefault="00727819">
            <w:pPr>
              <w:rPr>
                <w:rFonts w:ascii="Arial" w:hAnsi="Arial" w:cs="Arial"/>
                <w:color w:val="000000"/>
                <w:sz w:val="18"/>
                <w:szCs w:val="18"/>
              </w:rPr>
            </w:pPr>
            <w:r w:rsidRPr="00727819">
              <w:rPr>
                <w:rFonts w:ascii="Arial" w:hAnsi="Arial" w:cs="Arial"/>
                <w:color w:val="000000"/>
                <w:sz w:val="18"/>
                <w:szCs w:val="18"/>
                <w:lang w:val="en-GB"/>
              </w:rPr>
              <w:t>Age at SPECT</w:t>
            </w:r>
          </w:p>
        </w:tc>
        <w:tc>
          <w:tcPr>
            <w:tcW w:w="1240" w:type="dxa"/>
            <w:tcBorders>
              <w:top w:val="nil"/>
              <w:left w:val="nil"/>
              <w:bottom w:val="nil"/>
              <w:right w:val="nil"/>
            </w:tcBorders>
            <w:shd w:val="clear" w:color="auto" w:fill="auto"/>
            <w:noWrap/>
            <w:vAlign w:val="center"/>
            <w:hideMark/>
          </w:tcPr>
          <w:p w14:paraId="08CF29F7"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59.51±10.4</w:t>
            </w:r>
          </w:p>
        </w:tc>
        <w:tc>
          <w:tcPr>
            <w:tcW w:w="1240" w:type="dxa"/>
            <w:tcBorders>
              <w:top w:val="nil"/>
              <w:left w:val="nil"/>
              <w:bottom w:val="nil"/>
              <w:right w:val="nil"/>
            </w:tcBorders>
            <w:shd w:val="clear" w:color="auto" w:fill="auto"/>
            <w:noWrap/>
            <w:vAlign w:val="center"/>
            <w:hideMark/>
          </w:tcPr>
          <w:p w14:paraId="0E89994A"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60.52±9.9</w:t>
            </w:r>
          </w:p>
        </w:tc>
        <w:tc>
          <w:tcPr>
            <w:tcW w:w="1348" w:type="dxa"/>
            <w:tcBorders>
              <w:top w:val="nil"/>
              <w:left w:val="nil"/>
              <w:bottom w:val="nil"/>
              <w:right w:val="nil"/>
            </w:tcBorders>
            <w:shd w:val="clear" w:color="auto" w:fill="auto"/>
            <w:noWrap/>
            <w:vAlign w:val="center"/>
            <w:hideMark/>
          </w:tcPr>
          <w:p w14:paraId="4FCA53F8"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63.29±8.1</w:t>
            </w:r>
          </w:p>
        </w:tc>
        <w:tc>
          <w:tcPr>
            <w:tcW w:w="1417" w:type="dxa"/>
            <w:tcBorders>
              <w:top w:val="nil"/>
              <w:left w:val="nil"/>
              <w:bottom w:val="nil"/>
              <w:right w:val="nil"/>
            </w:tcBorders>
            <w:shd w:val="clear" w:color="auto" w:fill="auto"/>
            <w:noWrap/>
            <w:vAlign w:val="center"/>
            <w:hideMark/>
          </w:tcPr>
          <w:p w14:paraId="200431C1"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65.76±7.4</w:t>
            </w:r>
          </w:p>
        </w:tc>
        <w:tc>
          <w:tcPr>
            <w:tcW w:w="992" w:type="dxa"/>
            <w:tcBorders>
              <w:top w:val="nil"/>
              <w:left w:val="nil"/>
              <w:bottom w:val="nil"/>
              <w:right w:val="nil"/>
            </w:tcBorders>
            <w:shd w:val="clear" w:color="auto" w:fill="auto"/>
            <w:noWrap/>
            <w:vAlign w:val="center"/>
            <w:hideMark/>
          </w:tcPr>
          <w:p w14:paraId="5BF578BA" w14:textId="77777777" w:rsidR="00727819" w:rsidRPr="00834A5C" w:rsidRDefault="00727819">
            <w:pPr>
              <w:jc w:val="center"/>
              <w:rPr>
                <w:rFonts w:ascii="Arial" w:hAnsi="Arial" w:cs="Arial"/>
                <w:b/>
                <w:bCs/>
                <w:color w:val="000000"/>
                <w:sz w:val="18"/>
                <w:szCs w:val="18"/>
              </w:rPr>
            </w:pPr>
            <w:r w:rsidRPr="00834A5C">
              <w:rPr>
                <w:rFonts w:ascii="Arial" w:hAnsi="Arial" w:cs="Arial"/>
                <w:b/>
                <w:bCs/>
                <w:color w:val="000000"/>
                <w:sz w:val="18"/>
                <w:szCs w:val="18"/>
                <w:lang w:val="en-GB"/>
              </w:rPr>
              <w:t>0.000</w:t>
            </w:r>
          </w:p>
        </w:tc>
        <w:tc>
          <w:tcPr>
            <w:tcW w:w="2694" w:type="dxa"/>
            <w:tcBorders>
              <w:top w:val="nil"/>
              <w:left w:val="nil"/>
              <w:bottom w:val="nil"/>
              <w:right w:val="nil"/>
            </w:tcBorders>
            <w:shd w:val="clear" w:color="auto" w:fill="auto"/>
            <w:noWrap/>
            <w:vAlign w:val="center"/>
            <w:hideMark/>
          </w:tcPr>
          <w:p w14:paraId="002F70D6" w14:textId="77777777" w:rsidR="00727819" w:rsidRPr="00E63A7C" w:rsidRDefault="00727819">
            <w:pPr>
              <w:rPr>
                <w:rFonts w:ascii="Arial" w:hAnsi="Arial" w:cs="Arial"/>
                <w:color w:val="000000"/>
                <w:sz w:val="18"/>
                <w:szCs w:val="18"/>
              </w:rPr>
            </w:pPr>
          </w:p>
          <w:p w14:paraId="5C3AA35C" w14:textId="77777777" w:rsidR="00727819" w:rsidRPr="00E63A7C" w:rsidRDefault="00727819">
            <w:pPr>
              <w:rPr>
                <w:rFonts w:ascii="Arial" w:hAnsi="Arial" w:cs="Arial"/>
                <w:color w:val="000000"/>
                <w:sz w:val="18"/>
                <w:szCs w:val="18"/>
              </w:rPr>
            </w:pPr>
            <w:r w:rsidRPr="00E63A7C">
              <w:rPr>
                <w:rFonts w:ascii="Arial" w:hAnsi="Arial" w:cs="Arial"/>
                <w:color w:val="000000"/>
                <w:sz w:val="18"/>
                <w:szCs w:val="18"/>
              </w:rPr>
              <w:t xml:space="preserve">GBA-PD F &lt; nonGBA-PD M </w:t>
            </w:r>
          </w:p>
          <w:p w14:paraId="398ACBAF" w14:textId="77777777" w:rsidR="00727819" w:rsidRPr="00E63A7C" w:rsidRDefault="00727819">
            <w:pPr>
              <w:rPr>
                <w:rFonts w:ascii="Arial" w:hAnsi="Arial" w:cs="Arial"/>
                <w:color w:val="000000"/>
                <w:sz w:val="18"/>
                <w:szCs w:val="18"/>
              </w:rPr>
            </w:pPr>
            <w:r w:rsidRPr="00E63A7C">
              <w:rPr>
                <w:rFonts w:ascii="Arial" w:hAnsi="Arial" w:cs="Arial"/>
                <w:color w:val="000000"/>
                <w:sz w:val="18"/>
                <w:szCs w:val="18"/>
              </w:rPr>
              <w:t xml:space="preserve">GBA-PD M &lt; nonGBA-PD M </w:t>
            </w:r>
          </w:p>
          <w:p w14:paraId="332DF173" w14:textId="77777777" w:rsidR="00727819" w:rsidRPr="00E63A7C" w:rsidRDefault="00727819">
            <w:pPr>
              <w:rPr>
                <w:rFonts w:ascii="Arial" w:hAnsi="Arial" w:cs="Arial"/>
                <w:color w:val="000000"/>
                <w:sz w:val="18"/>
                <w:szCs w:val="18"/>
              </w:rPr>
            </w:pPr>
          </w:p>
          <w:p w14:paraId="73255993" w14:textId="3708809C" w:rsidR="00727819" w:rsidRPr="00727819" w:rsidRDefault="00727819">
            <w:pPr>
              <w:rPr>
                <w:rFonts w:ascii="Arial" w:hAnsi="Arial" w:cs="Arial"/>
                <w:color w:val="000000"/>
                <w:sz w:val="18"/>
                <w:szCs w:val="18"/>
              </w:rPr>
            </w:pPr>
          </w:p>
        </w:tc>
      </w:tr>
      <w:tr w:rsidR="00727819" w:rsidRPr="00727819" w14:paraId="09AAE9D9" w14:textId="77777777" w:rsidTr="00727819">
        <w:trPr>
          <w:trHeight w:val="320"/>
        </w:trPr>
        <w:tc>
          <w:tcPr>
            <w:tcW w:w="2552" w:type="dxa"/>
            <w:tcBorders>
              <w:top w:val="nil"/>
              <w:left w:val="nil"/>
              <w:bottom w:val="nil"/>
              <w:right w:val="nil"/>
            </w:tcBorders>
            <w:shd w:val="clear" w:color="000000" w:fill="E8E8E8"/>
            <w:noWrap/>
            <w:vAlign w:val="center"/>
            <w:hideMark/>
          </w:tcPr>
          <w:p w14:paraId="098E137A" w14:textId="77777777" w:rsidR="00727819" w:rsidRPr="00727819" w:rsidRDefault="00727819">
            <w:pPr>
              <w:rPr>
                <w:rFonts w:ascii="Arial" w:hAnsi="Arial" w:cs="Arial"/>
                <w:color w:val="000000"/>
                <w:sz w:val="18"/>
                <w:szCs w:val="18"/>
              </w:rPr>
            </w:pPr>
            <w:r w:rsidRPr="00727819">
              <w:rPr>
                <w:rFonts w:ascii="Arial" w:hAnsi="Arial" w:cs="Arial"/>
                <w:color w:val="000000"/>
                <w:sz w:val="18"/>
                <w:szCs w:val="18"/>
                <w:lang w:val="en-GB"/>
              </w:rPr>
              <w:t>AAO</w:t>
            </w:r>
          </w:p>
        </w:tc>
        <w:tc>
          <w:tcPr>
            <w:tcW w:w="1240" w:type="dxa"/>
            <w:tcBorders>
              <w:top w:val="nil"/>
              <w:left w:val="nil"/>
              <w:bottom w:val="nil"/>
              <w:right w:val="nil"/>
            </w:tcBorders>
            <w:shd w:val="clear" w:color="000000" w:fill="E8E8E8"/>
            <w:noWrap/>
            <w:vAlign w:val="center"/>
            <w:hideMark/>
          </w:tcPr>
          <w:p w14:paraId="2A8DE0B3"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55.13±11.03</w:t>
            </w:r>
          </w:p>
        </w:tc>
        <w:tc>
          <w:tcPr>
            <w:tcW w:w="1240" w:type="dxa"/>
            <w:tcBorders>
              <w:top w:val="nil"/>
              <w:left w:val="nil"/>
              <w:bottom w:val="nil"/>
              <w:right w:val="nil"/>
            </w:tcBorders>
            <w:shd w:val="clear" w:color="000000" w:fill="E8E8E8"/>
            <w:noWrap/>
            <w:vAlign w:val="center"/>
            <w:hideMark/>
          </w:tcPr>
          <w:p w14:paraId="1FF20168"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56.48±9.9</w:t>
            </w:r>
          </w:p>
        </w:tc>
        <w:tc>
          <w:tcPr>
            <w:tcW w:w="1348" w:type="dxa"/>
            <w:tcBorders>
              <w:top w:val="nil"/>
              <w:left w:val="nil"/>
              <w:bottom w:val="nil"/>
              <w:right w:val="nil"/>
            </w:tcBorders>
            <w:shd w:val="clear" w:color="000000" w:fill="E8E8E8"/>
            <w:noWrap/>
            <w:vAlign w:val="center"/>
            <w:hideMark/>
          </w:tcPr>
          <w:p w14:paraId="222CA61C"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60.75±8.1</w:t>
            </w:r>
          </w:p>
        </w:tc>
        <w:tc>
          <w:tcPr>
            <w:tcW w:w="1417" w:type="dxa"/>
            <w:tcBorders>
              <w:top w:val="nil"/>
              <w:left w:val="nil"/>
              <w:bottom w:val="nil"/>
              <w:right w:val="nil"/>
            </w:tcBorders>
            <w:shd w:val="clear" w:color="000000" w:fill="E8E8E8"/>
            <w:noWrap/>
            <w:vAlign w:val="center"/>
            <w:hideMark/>
          </w:tcPr>
          <w:p w14:paraId="25ED43E9"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63.57±7.4</w:t>
            </w:r>
          </w:p>
        </w:tc>
        <w:tc>
          <w:tcPr>
            <w:tcW w:w="992" w:type="dxa"/>
            <w:tcBorders>
              <w:top w:val="nil"/>
              <w:left w:val="nil"/>
              <w:bottom w:val="nil"/>
              <w:right w:val="nil"/>
            </w:tcBorders>
            <w:shd w:val="clear" w:color="000000" w:fill="E8E8E8"/>
            <w:noWrap/>
            <w:vAlign w:val="center"/>
            <w:hideMark/>
          </w:tcPr>
          <w:p w14:paraId="1A52FCEA" w14:textId="77777777" w:rsidR="00727819" w:rsidRPr="00834A5C" w:rsidRDefault="00727819">
            <w:pPr>
              <w:jc w:val="center"/>
              <w:rPr>
                <w:rFonts w:ascii="Arial" w:hAnsi="Arial" w:cs="Arial"/>
                <w:b/>
                <w:bCs/>
                <w:color w:val="000000"/>
                <w:sz w:val="18"/>
                <w:szCs w:val="18"/>
              </w:rPr>
            </w:pPr>
            <w:r w:rsidRPr="00834A5C">
              <w:rPr>
                <w:rFonts w:ascii="Arial" w:hAnsi="Arial" w:cs="Arial"/>
                <w:b/>
                <w:bCs/>
                <w:color w:val="000000"/>
                <w:sz w:val="18"/>
                <w:szCs w:val="18"/>
                <w:lang w:val="en-GB"/>
              </w:rPr>
              <w:t>0.000</w:t>
            </w:r>
          </w:p>
        </w:tc>
        <w:tc>
          <w:tcPr>
            <w:tcW w:w="2694" w:type="dxa"/>
            <w:tcBorders>
              <w:top w:val="nil"/>
              <w:left w:val="nil"/>
              <w:bottom w:val="nil"/>
              <w:right w:val="nil"/>
            </w:tcBorders>
            <w:shd w:val="clear" w:color="000000" w:fill="E8E8E8"/>
            <w:noWrap/>
            <w:vAlign w:val="center"/>
            <w:hideMark/>
          </w:tcPr>
          <w:p w14:paraId="60497A8F" w14:textId="77777777" w:rsidR="00727819" w:rsidRPr="00E63A7C" w:rsidRDefault="00727819">
            <w:pPr>
              <w:rPr>
                <w:rFonts w:ascii="Arial" w:hAnsi="Arial" w:cs="Arial"/>
                <w:color w:val="000000"/>
                <w:sz w:val="18"/>
                <w:szCs w:val="18"/>
              </w:rPr>
            </w:pPr>
          </w:p>
          <w:p w14:paraId="6BCEED58" w14:textId="77777777" w:rsidR="00727819" w:rsidRPr="00E63A7C" w:rsidRDefault="00727819">
            <w:pPr>
              <w:rPr>
                <w:rFonts w:ascii="Arial" w:hAnsi="Arial" w:cs="Arial"/>
                <w:color w:val="000000"/>
                <w:sz w:val="18"/>
                <w:szCs w:val="18"/>
              </w:rPr>
            </w:pPr>
            <w:r w:rsidRPr="00E63A7C">
              <w:rPr>
                <w:rFonts w:ascii="Arial" w:hAnsi="Arial" w:cs="Arial"/>
                <w:color w:val="000000"/>
                <w:sz w:val="18"/>
                <w:szCs w:val="18"/>
              </w:rPr>
              <w:t xml:space="preserve">GBA-PD F &lt; nonGBA-PD F </w:t>
            </w:r>
          </w:p>
          <w:p w14:paraId="1483EA98" w14:textId="77777777" w:rsidR="00727819" w:rsidRPr="00E63A7C" w:rsidRDefault="00727819">
            <w:pPr>
              <w:rPr>
                <w:rFonts w:ascii="Arial" w:hAnsi="Arial" w:cs="Arial"/>
                <w:color w:val="000000"/>
                <w:sz w:val="18"/>
                <w:szCs w:val="18"/>
              </w:rPr>
            </w:pPr>
            <w:r w:rsidRPr="00E63A7C">
              <w:rPr>
                <w:rFonts w:ascii="Arial" w:hAnsi="Arial" w:cs="Arial"/>
                <w:color w:val="000000"/>
                <w:sz w:val="18"/>
                <w:szCs w:val="18"/>
              </w:rPr>
              <w:t xml:space="preserve">GBA-PD F &lt; nonGBA-PD M </w:t>
            </w:r>
          </w:p>
          <w:p w14:paraId="54B459B5" w14:textId="77777777" w:rsidR="00727819" w:rsidRPr="00E63A7C" w:rsidRDefault="00727819">
            <w:pPr>
              <w:rPr>
                <w:rFonts w:ascii="Arial" w:hAnsi="Arial" w:cs="Arial"/>
                <w:color w:val="000000"/>
                <w:sz w:val="18"/>
                <w:szCs w:val="18"/>
              </w:rPr>
            </w:pPr>
            <w:r w:rsidRPr="00E63A7C">
              <w:rPr>
                <w:rFonts w:ascii="Arial" w:hAnsi="Arial" w:cs="Arial"/>
                <w:color w:val="000000"/>
                <w:sz w:val="18"/>
                <w:szCs w:val="18"/>
              </w:rPr>
              <w:t xml:space="preserve">GBA-PD M &lt; nonGBA-PD M </w:t>
            </w:r>
          </w:p>
          <w:p w14:paraId="5474817A" w14:textId="77777777" w:rsidR="00727819" w:rsidRPr="00E63A7C" w:rsidRDefault="00727819">
            <w:pPr>
              <w:rPr>
                <w:rFonts w:ascii="Arial" w:hAnsi="Arial" w:cs="Arial"/>
                <w:color w:val="000000"/>
                <w:sz w:val="18"/>
                <w:szCs w:val="18"/>
              </w:rPr>
            </w:pPr>
          </w:p>
          <w:p w14:paraId="7CBD6A7B" w14:textId="7C744B91" w:rsidR="00727819" w:rsidRPr="00727819" w:rsidRDefault="00727819">
            <w:pPr>
              <w:rPr>
                <w:rFonts w:ascii="Arial" w:hAnsi="Arial" w:cs="Arial"/>
                <w:color w:val="000000"/>
                <w:sz w:val="18"/>
                <w:szCs w:val="18"/>
              </w:rPr>
            </w:pPr>
          </w:p>
        </w:tc>
      </w:tr>
      <w:tr w:rsidR="00727819" w:rsidRPr="00727819" w14:paraId="5942B784" w14:textId="77777777" w:rsidTr="00727819">
        <w:trPr>
          <w:trHeight w:val="320"/>
        </w:trPr>
        <w:tc>
          <w:tcPr>
            <w:tcW w:w="2552" w:type="dxa"/>
            <w:tcBorders>
              <w:top w:val="nil"/>
              <w:left w:val="nil"/>
              <w:bottom w:val="nil"/>
              <w:right w:val="nil"/>
            </w:tcBorders>
            <w:shd w:val="clear" w:color="auto" w:fill="auto"/>
            <w:noWrap/>
            <w:vAlign w:val="center"/>
            <w:hideMark/>
          </w:tcPr>
          <w:p w14:paraId="7CD9D25D" w14:textId="77777777" w:rsidR="00727819" w:rsidRPr="00727819" w:rsidRDefault="00727819">
            <w:pPr>
              <w:rPr>
                <w:rFonts w:ascii="Arial" w:hAnsi="Arial" w:cs="Arial"/>
                <w:color w:val="000000"/>
                <w:sz w:val="18"/>
                <w:szCs w:val="18"/>
              </w:rPr>
            </w:pPr>
            <w:r w:rsidRPr="00727819">
              <w:rPr>
                <w:rFonts w:ascii="Arial" w:hAnsi="Arial" w:cs="Arial"/>
                <w:color w:val="000000"/>
                <w:sz w:val="18"/>
                <w:szCs w:val="18"/>
                <w:lang w:val="en-GB"/>
              </w:rPr>
              <w:t>Education (years)</w:t>
            </w:r>
          </w:p>
        </w:tc>
        <w:tc>
          <w:tcPr>
            <w:tcW w:w="1240" w:type="dxa"/>
            <w:tcBorders>
              <w:top w:val="nil"/>
              <w:left w:val="nil"/>
              <w:bottom w:val="nil"/>
              <w:right w:val="nil"/>
            </w:tcBorders>
            <w:shd w:val="clear" w:color="auto" w:fill="auto"/>
            <w:noWrap/>
            <w:vAlign w:val="center"/>
            <w:hideMark/>
          </w:tcPr>
          <w:p w14:paraId="4B684441"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15.61±3.7</w:t>
            </w:r>
          </w:p>
        </w:tc>
        <w:tc>
          <w:tcPr>
            <w:tcW w:w="1240" w:type="dxa"/>
            <w:tcBorders>
              <w:top w:val="nil"/>
              <w:left w:val="nil"/>
              <w:bottom w:val="nil"/>
              <w:right w:val="nil"/>
            </w:tcBorders>
            <w:shd w:val="clear" w:color="auto" w:fill="auto"/>
            <w:noWrap/>
            <w:vAlign w:val="center"/>
            <w:hideMark/>
          </w:tcPr>
          <w:p w14:paraId="7A0F3EDC"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16.53±2.4</w:t>
            </w:r>
          </w:p>
        </w:tc>
        <w:tc>
          <w:tcPr>
            <w:tcW w:w="1348" w:type="dxa"/>
            <w:tcBorders>
              <w:top w:val="nil"/>
              <w:left w:val="nil"/>
              <w:bottom w:val="nil"/>
              <w:right w:val="nil"/>
            </w:tcBorders>
            <w:shd w:val="clear" w:color="auto" w:fill="auto"/>
            <w:noWrap/>
            <w:vAlign w:val="center"/>
            <w:hideMark/>
          </w:tcPr>
          <w:p w14:paraId="35EB888A"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15.21±2.7</w:t>
            </w:r>
          </w:p>
        </w:tc>
        <w:tc>
          <w:tcPr>
            <w:tcW w:w="1417" w:type="dxa"/>
            <w:tcBorders>
              <w:top w:val="nil"/>
              <w:left w:val="nil"/>
              <w:bottom w:val="nil"/>
              <w:right w:val="nil"/>
            </w:tcBorders>
            <w:shd w:val="clear" w:color="auto" w:fill="auto"/>
            <w:noWrap/>
            <w:vAlign w:val="center"/>
            <w:hideMark/>
          </w:tcPr>
          <w:p w14:paraId="27E1F179"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15.53±3</w:t>
            </w:r>
          </w:p>
        </w:tc>
        <w:tc>
          <w:tcPr>
            <w:tcW w:w="992" w:type="dxa"/>
            <w:tcBorders>
              <w:top w:val="nil"/>
              <w:left w:val="nil"/>
              <w:bottom w:val="nil"/>
              <w:right w:val="nil"/>
            </w:tcBorders>
            <w:shd w:val="clear" w:color="auto" w:fill="auto"/>
            <w:noWrap/>
            <w:vAlign w:val="center"/>
            <w:hideMark/>
          </w:tcPr>
          <w:p w14:paraId="21F9728B"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0.117</w:t>
            </w:r>
          </w:p>
        </w:tc>
        <w:tc>
          <w:tcPr>
            <w:tcW w:w="2694" w:type="dxa"/>
            <w:tcBorders>
              <w:top w:val="nil"/>
              <w:left w:val="nil"/>
              <w:bottom w:val="nil"/>
              <w:right w:val="nil"/>
            </w:tcBorders>
            <w:shd w:val="clear" w:color="auto" w:fill="auto"/>
            <w:noWrap/>
            <w:vAlign w:val="center"/>
            <w:hideMark/>
          </w:tcPr>
          <w:p w14:paraId="79AC1230"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w:t>
            </w:r>
          </w:p>
        </w:tc>
      </w:tr>
      <w:tr w:rsidR="00727819" w:rsidRPr="00727819" w14:paraId="4C304D7F" w14:textId="77777777" w:rsidTr="00727819">
        <w:trPr>
          <w:trHeight w:val="320"/>
        </w:trPr>
        <w:tc>
          <w:tcPr>
            <w:tcW w:w="2552" w:type="dxa"/>
            <w:tcBorders>
              <w:top w:val="nil"/>
              <w:left w:val="nil"/>
              <w:bottom w:val="nil"/>
              <w:right w:val="nil"/>
            </w:tcBorders>
            <w:shd w:val="clear" w:color="000000" w:fill="E8E8E8"/>
            <w:noWrap/>
            <w:vAlign w:val="center"/>
            <w:hideMark/>
          </w:tcPr>
          <w:p w14:paraId="6F873B5C" w14:textId="77777777" w:rsidR="00727819" w:rsidRPr="00727819" w:rsidRDefault="00727819">
            <w:pPr>
              <w:rPr>
                <w:rFonts w:ascii="Arial" w:hAnsi="Arial" w:cs="Arial"/>
                <w:color w:val="000000"/>
                <w:sz w:val="18"/>
                <w:szCs w:val="18"/>
              </w:rPr>
            </w:pPr>
            <w:r w:rsidRPr="00727819">
              <w:rPr>
                <w:rFonts w:ascii="Arial" w:hAnsi="Arial" w:cs="Arial"/>
                <w:color w:val="000000"/>
                <w:sz w:val="18"/>
                <w:szCs w:val="18"/>
                <w:lang w:val="en-GB"/>
              </w:rPr>
              <w:t>Disease Duration (years)</w:t>
            </w:r>
          </w:p>
        </w:tc>
        <w:tc>
          <w:tcPr>
            <w:tcW w:w="1240" w:type="dxa"/>
            <w:tcBorders>
              <w:top w:val="nil"/>
              <w:left w:val="nil"/>
              <w:bottom w:val="nil"/>
              <w:right w:val="nil"/>
            </w:tcBorders>
            <w:shd w:val="clear" w:color="000000" w:fill="E8E8E8"/>
            <w:noWrap/>
            <w:vAlign w:val="center"/>
            <w:hideMark/>
          </w:tcPr>
          <w:p w14:paraId="31FD34A7"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1.41±2.2</w:t>
            </w:r>
          </w:p>
        </w:tc>
        <w:tc>
          <w:tcPr>
            <w:tcW w:w="1240" w:type="dxa"/>
            <w:tcBorders>
              <w:top w:val="nil"/>
              <w:left w:val="nil"/>
              <w:bottom w:val="nil"/>
              <w:right w:val="nil"/>
            </w:tcBorders>
            <w:shd w:val="clear" w:color="000000" w:fill="E8E8E8"/>
            <w:noWrap/>
            <w:vAlign w:val="center"/>
            <w:hideMark/>
          </w:tcPr>
          <w:p w14:paraId="59D9CACD"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1.08±1.9</w:t>
            </w:r>
          </w:p>
        </w:tc>
        <w:tc>
          <w:tcPr>
            <w:tcW w:w="1348" w:type="dxa"/>
            <w:tcBorders>
              <w:top w:val="nil"/>
              <w:left w:val="nil"/>
              <w:bottom w:val="nil"/>
              <w:right w:val="nil"/>
            </w:tcBorders>
            <w:shd w:val="clear" w:color="000000" w:fill="E8E8E8"/>
            <w:noWrap/>
            <w:vAlign w:val="center"/>
            <w:hideMark/>
          </w:tcPr>
          <w:p w14:paraId="1345F60A"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0.30±0.6</w:t>
            </w:r>
          </w:p>
        </w:tc>
        <w:tc>
          <w:tcPr>
            <w:tcW w:w="1417" w:type="dxa"/>
            <w:tcBorders>
              <w:top w:val="nil"/>
              <w:left w:val="nil"/>
              <w:bottom w:val="nil"/>
              <w:right w:val="nil"/>
            </w:tcBorders>
            <w:shd w:val="clear" w:color="000000" w:fill="E8E8E8"/>
            <w:noWrap/>
            <w:vAlign w:val="center"/>
            <w:hideMark/>
          </w:tcPr>
          <w:p w14:paraId="7DFC8FC2"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0.19±0.4</w:t>
            </w:r>
          </w:p>
        </w:tc>
        <w:tc>
          <w:tcPr>
            <w:tcW w:w="992" w:type="dxa"/>
            <w:tcBorders>
              <w:top w:val="nil"/>
              <w:left w:val="nil"/>
              <w:bottom w:val="nil"/>
              <w:right w:val="nil"/>
            </w:tcBorders>
            <w:shd w:val="clear" w:color="000000" w:fill="E8E8E8"/>
            <w:noWrap/>
            <w:vAlign w:val="center"/>
            <w:hideMark/>
          </w:tcPr>
          <w:p w14:paraId="5D23F32C" w14:textId="77777777" w:rsidR="00727819" w:rsidRPr="00834A5C" w:rsidRDefault="00727819">
            <w:pPr>
              <w:jc w:val="center"/>
              <w:rPr>
                <w:rFonts w:ascii="Arial" w:hAnsi="Arial" w:cs="Arial"/>
                <w:b/>
                <w:bCs/>
                <w:color w:val="000000"/>
                <w:sz w:val="18"/>
                <w:szCs w:val="18"/>
              </w:rPr>
            </w:pPr>
            <w:r w:rsidRPr="00834A5C">
              <w:rPr>
                <w:rFonts w:ascii="Arial" w:hAnsi="Arial" w:cs="Arial"/>
                <w:b/>
                <w:bCs/>
                <w:color w:val="000000"/>
                <w:sz w:val="18"/>
                <w:szCs w:val="18"/>
                <w:lang w:val="en-GB"/>
              </w:rPr>
              <w:t>0.000</w:t>
            </w:r>
          </w:p>
        </w:tc>
        <w:tc>
          <w:tcPr>
            <w:tcW w:w="2694" w:type="dxa"/>
            <w:tcBorders>
              <w:top w:val="nil"/>
              <w:left w:val="nil"/>
              <w:bottom w:val="nil"/>
              <w:right w:val="nil"/>
            </w:tcBorders>
            <w:shd w:val="clear" w:color="000000" w:fill="E8E8E8"/>
            <w:noWrap/>
            <w:vAlign w:val="center"/>
            <w:hideMark/>
          </w:tcPr>
          <w:p w14:paraId="795D8750" w14:textId="77777777" w:rsidR="00727819" w:rsidRPr="00E63A7C" w:rsidRDefault="00727819">
            <w:pPr>
              <w:rPr>
                <w:rFonts w:ascii="Arial" w:hAnsi="Arial" w:cs="Arial"/>
                <w:color w:val="000000"/>
                <w:sz w:val="18"/>
                <w:szCs w:val="18"/>
              </w:rPr>
            </w:pPr>
          </w:p>
          <w:p w14:paraId="397F62B1" w14:textId="77777777" w:rsidR="00727819" w:rsidRPr="00E63A7C" w:rsidRDefault="00727819">
            <w:pPr>
              <w:rPr>
                <w:rFonts w:ascii="Arial" w:hAnsi="Arial" w:cs="Arial"/>
                <w:color w:val="000000"/>
                <w:sz w:val="18"/>
                <w:szCs w:val="18"/>
              </w:rPr>
            </w:pPr>
            <w:r w:rsidRPr="00E63A7C">
              <w:rPr>
                <w:rFonts w:ascii="Arial" w:hAnsi="Arial" w:cs="Arial"/>
                <w:color w:val="000000"/>
                <w:sz w:val="18"/>
                <w:szCs w:val="18"/>
              </w:rPr>
              <w:t xml:space="preserve">GBA-PD F &gt; nonGBA-PD F </w:t>
            </w:r>
          </w:p>
          <w:p w14:paraId="1D68BAFD" w14:textId="77777777" w:rsidR="00727819" w:rsidRPr="00E63A7C" w:rsidRDefault="00727819">
            <w:pPr>
              <w:rPr>
                <w:rFonts w:ascii="Arial" w:hAnsi="Arial" w:cs="Arial"/>
                <w:color w:val="000000"/>
                <w:sz w:val="18"/>
                <w:szCs w:val="18"/>
              </w:rPr>
            </w:pPr>
            <w:r w:rsidRPr="00E63A7C">
              <w:rPr>
                <w:rFonts w:ascii="Arial" w:hAnsi="Arial" w:cs="Arial"/>
                <w:color w:val="000000"/>
                <w:sz w:val="18"/>
                <w:szCs w:val="18"/>
              </w:rPr>
              <w:t xml:space="preserve">GBA-PD F &gt; nonGBA-PD M </w:t>
            </w:r>
          </w:p>
          <w:p w14:paraId="2F1F11B7" w14:textId="77777777" w:rsidR="00727819" w:rsidRPr="00E63A7C" w:rsidRDefault="00727819">
            <w:pPr>
              <w:rPr>
                <w:rFonts w:ascii="Arial" w:hAnsi="Arial" w:cs="Arial"/>
                <w:color w:val="000000"/>
                <w:sz w:val="18"/>
                <w:szCs w:val="18"/>
              </w:rPr>
            </w:pPr>
            <w:r w:rsidRPr="00E63A7C">
              <w:rPr>
                <w:rFonts w:ascii="Arial" w:hAnsi="Arial" w:cs="Arial"/>
                <w:color w:val="000000"/>
                <w:sz w:val="18"/>
                <w:szCs w:val="18"/>
              </w:rPr>
              <w:t xml:space="preserve">GBA-PD M &gt; nonGBA-PD F </w:t>
            </w:r>
          </w:p>
          <w:p w14:paraId="0EA01E87" w14:textId="77777777" w:rsidR="00727819" w:rsidRDefault="00727819">
            <w:pPr>
              <w:rPr>
                <w:rFonts w:ascii="Arial" w:hAnsi="Arial" w:cs="Arial"/>
                <w:color w:val="000000"/>
                <w:sz w:val="18"/>
                <w:szCs w:val="18"/>
                <w:lang w:val="en-GB"/>
              </w:rPr>
            </w:pPr>
            <w:r w:rsidRPr="00727819">
              <w:rPr>
                <w:rFonts w:ascii="Arial" w:hAnsi="Arial" w:cs="Arial"/>
                <w:color w:val="000000"/>
                <w:sz w:val="18"/>
                <w:szCs w:val="18"/>
                <w:lang w:val="en-GB"/>
              </w:rPr>
              <w:t xml:space="preserve">GBA-PD M &gt; nonGBA-PD M </w:t>
            </w:r>
          </w:p>
          <w:p w14:paraId="25F97B82" w14:textId="77777777" w:rsidR="00727819" w:rsidRDefault="00727819">
            <w:pPr>
              <w:rPr>
                <w:rFonts w:ascii="Arial" w:hAnsi="Arial" w:cs="Arial"/>
                <w:color w:val="000000"/>
                <w:sz w:val="18"/>
                <w:szCs w:val="18"/>
                <w:lang w:val="en-GB"/>
              </w:rPr>
            </w:pPr>
          </w:p>
          <w:p w14:paraId="4734B5D3" w14:textId="55DA348E" w:rsidR="00727819" w:rsidRPr="00727819" w:rsidRDefault="00727819">
            <w:pPr>
              <w:rPr>
                <w:rFonts w:ascii="Arial" w:hAnsi="Arial" w:cs="Arial"/>
                <w:color w:val="000000"/>
                <w:sz w:val="18"/>
                <w:szCs w:val="18"/>
              </w:rPr>
            </w:pPr>
          </w:p>
        </w:tc>
      </w:tr>
      <w:tr w:rsidR="00727819" w:rsidRPr="00727819" w14:paraId="3092E8C3" w14:textId="77777777" w:rsidTr="00727819">
        <w:trPr>
          <w:trHeight w:val="320"/>
        </w:trPr>
        <w:tc>
          <w:tcPr>
            <w:tcW w:w="2552" w:type="dxa"/>
            <w:tcBorders>
              <w:top w:val="nil"/>
              <w:left w:val="nil"/>
              <w:bottom w:val="nil"/>
              <w:right w:val="nil"/>
            </w:tcBorders>
            <w:shd w:val="clear" w:color="auto" w:fill="auto"/>
            <w:noWrap/>
            <w:vAlign w:val="center"/>
            <w:hideMark/>
          </w:tcPr>
          <w:p w14:paraId="7419E5EA" w14:textId="77777777" w:rsidR="00727819" w:rsidRPr="00727819" w:rsidRDefault="00727819">
            <w:pPr>
              <w:rPr>
                <w:rFonts w:ascii="Arial" w:hAnsi="Arial" w:cs="Arial"/>
                <w:color w:val="000000"/>
                <w:sz w:val="18"/>
                <w:szCs w:val="18"/>
              </w:rPr>
            </w:pPr>
            <w:r w:rsidRPr="00727819">
              <w:rPr>
                <w:rFonts w:ascii="Arial" w:hAnsi="Arial" w:cs="Arial"/>
                <w:color w:val="000000"/>
                <w:sz w:val="18"/>
                <w:szCs w:val="18"/>
                <w:lang w:val="en-GB"/>
              </w:rPr>
              <w:t>LEDD</w:t>
            </w:r>
          </w:p>
        </w:tc>
        <w:tc>
          <w:tcPr>
            <w:tcW w:w="1240" w:type="dxa"/>
            <w:tcBorders>
              <w:top w:val="nil"/>
              <w:left w:val="nil"/>
              <w:bottom w:val="nil"/>
              <w:right w:val="nil"/>
            </w:tcBorders>
            <w:shd w:val="clear" w:color="auto" w:fill="auto"/>
            <w:noWrap/>
            <w:vAlign w:val="center"/>
            <w:hideMark/>
          </w:tcPr>
          <w:p w14:paraId="2096279D"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274.95±313.5</w:t>
            </w:r>
          </w:p>
        </w:tc>
        <w:tc>
          <w:tcPr>
            <w:tcW w:w="1240" w:type="dxa"/>
            <w:tcBorders>
              <w:top w:val="nil"/>
              <w:left w:val="nil"/>
              <w:bottom w:val="nil"/>
              <w:right w:val="nil"/>
            </w:tcBorders>
            <w:shd w:val="clear" w:color="auto" w:fill="auto"/>
            <w:noWrap/>
            <w:vAlign w:val="center"/>
            <w:hideMark/>
          </w:tcPr>
          <w:p w14:paraId="3B7A7133"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366.88±312.3</w:t>
            </w:r>
          </w:p>
        </w:tc>
        <w:tc>
          <w:tcPr>
            <w:tcW w:w="1348" w:type="dxa"/>
            <w:tcBorders>
              <w:top w:val="nil"/>
              <w:left w:val="nil"/>
              <w:bottom w:val="nil"/>
              <w:right w:val="nil"/>
            </w:tcBorders>
            <w:shd w:val="clear" w:color="auto" w:fill="auto"/>
            <w:noWrap/>
            <w:vAlign w:val="center"/>
            <w:hideMark/>
          </w:tcPr>
          <w:p w14:paraId="63559016"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272.06±280.7</w:t>
            </w:r>
          </w:p>
        </w:tc>
        <w:tc>
          <w:tcPr>
            <w:tcW w:w="1417" w:type="dxa"/>
            <w:tcBorders>
              <w:top w:val="nil"/>
              <w:left w:val="nil"/>
              <w:bottom w:val="nil"/>
              <w:right w:val="nil"/>
            </w:tcBorders>
            <w:shd w:val="clear" w:color="auto" w:fill="auto"/>
            <w:noWrap/>
            <w:vAlign w:val="center"/>
            <w:hideMark/>
          </w:tcPr>
          <w:p w14:paraId="64857EAC"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299.60±328.6</w:t>
            </w:r>
          </w:p>
        </w:tc>
        <w:tc>
          <w:tcPr>
            <w:tcW w:w="992" w:type="dxa"/>
            <w:tcBorders>
              <w:top w:val="nil"/>
              <w:left w:val="nil"/>
              <w:bottom w:val="nil"/>
              <w:right w:val="nil"/>
            </w:tcBorders>
            <w:shd w:val="clear" w:color="auto" w:fill="auto"/>
            <w:noWrap/>
            <w:vAlign w:val="center"/>
            <w:hideMark/>
          </w:tcPr>
          <w:p w14:paraId="70596ECA"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0.400</w:t>
            </w:r>
          </w:p>
        </w:tc>
        <w:tc>
          <w:tcPr>
            <w:tcW w:w="2694" w:type="dxa"/>
            <w:tcBorders>
              <w:top w:val="nil"/>
              <w:left w:val="nil"/>
              <w:bottom w:val="nil"/>
              <w:right w:val="nil"/>
            </w:tcBorders>
            <w:shd w:val="clear" w:color="auto" w:fill="auto"/>
            <w:noWrap/>
            <w:vAlign w:val="center"/>
            <w:hideMark/>
          </w:tcPr>
          <w:p w14:paraId="31FC2136"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w:t>
            </w:r>
          </w:p>
        </w:tc>
      </w:tr>
      <w:tr w:rsidR="00727819" w:rsidRPr="00727819" w14:paraId="264B0F28" w14:textId="77777777" w:rsidTr="00727819">
        <w:trPr>
          <w:trHeight w:val="320"/>
        </w:trPr>
        <w:tc>
          <w:tcPr>
            <w:tcW w:w="2552" w:type="dxa"/>
            <w:tcBorders>
              <w:top w:val="nil"/>
              <w:left w:val="nil"/>
              <w:bottom w:val="nil"/>
              <w:right w:val="nil"/>
            </w:tcBorders>
            <w:shd w:val="clear" w:color="000000" w:fill="E8E8E8"/>
            <w:noWrap/>
            <w:vAlign w:val="center"/>
            <w:hideMark/>
          </w:tcPr>
          <w:p w14:paraId="0EF85A02" w14:textId="77777777" w:rsidR="00727819" w:rsidRPr="00727819" w:rsidRDefault="00727819">
            <w:pPr>
              <w:rPr>
                <w:rFonts w:ascii="Arial" w:hAnsi="Arial" w:cs="Arial"/>
                <w:color w:val="000000"/>
                <w:sz w:val="18"/>
                <w:szCs w:val="18"/>
              </w:rPr>
            </w:pPr>
            <w:r w:rsidRPr="00727819">
              <w:rPr>
                <w:rFonts w:ascii="Arial" w:hAnsi="Arial" w:cs="Arial"/>
                <w:color w:val="000000"/>
                <w:sz w:val="18"/>
                <w:szCs w:val="18"/>
                <w:lang w:val="en-GB"/>
              </w:rPr>
              <w:t>AI</w:t>
            </w:r>
          </w:p>
        </w:tc>
        <w:tc>
          <w:tcPr>
            <w:tcW w:w="1240" w:type="dxa"/>
            <w:tcBorders>
              <w:top w:val="nil"/>
              <w:left w:val="nil"/>
              <w:bottom w:val="nil"/>
              <w:right w:val="nil"/>
            </w:tcBorders>
            <w:shd w:val="clear" w:color="000000" w:fill="E8E8E8"/>
            <w:noWrap/>
            <w:vAlign w:val="center"/>
            <w:hideMark/>
          </w:tcPr>
          <w:p w14:paraId="68A1B80B"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5.15±3.4</w:t>
            </w:r>
          </w:p>
        </w:tc>
        <w:tc>
          <w:tcPr>
            <w:tcW w:w="1240" w:type="dxa"/>
            <w:tcBorders>
              <w:top w:val="nil"/>
              <w:left w:val="nil"/>
              <w:bottom w:val="nil"/>
              <w:right w:val="nil"/>
            </w:tcBorders>
            <w:shd w:val="clear" w:color="000000" w:fill="E8E8E8"/>
            <w:noWrap/>
            <w:vAlign w:val="center"/>
            <w:hideMark/>
          </w:tcPr>
          <w:p w14:paraId="1F1E7C7A"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5.22±3.7</w:t>
            </w:r>
          </w:p>
        </w:tc>
        <w:tc>
          <w:tcPr>
            <w:tcW w:w="1348" w:type="dxa"/>
            <w:tcBorders>
              <w:top w:val="nil"/>
              <w:left w:val="nil"/>
              <w:bottom w:val="nil"/>
              <w:right w:val="nil"/>
            </w:tcBorders>
            <w:shd w:val="clear" w:color="000000" w:fill="E8E8E8"/>
            <w:noWrap/>
            <w:vAlign w:val="center"/>
            <w:hideMark/>
          </w:tcPr>
          <w:p w14:paraId="6F9A1F2C"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7.13±3.9</w:t>
            </w:r>
          </w:p>
        </w:tc>
        <w:tc>
          <w:tcPr>
            <w:tcW w:w="1417" w:type="dxa"/>
            <w:tcBorders>
              <w:top w:val="nil"/>
              <w:left w:val="nil"/>
              <w:bottom w:val="nil"/>
              <w:right w:val="nil"/>
            </w:tcBorders>
            <w:shd w:val="clear" w:color="000000" w:fill="E8E8E8"/>
            <w:noWrap/>
            <w:vAlign w:val="center"/>
            <w:hideMark/>
          </w:tcPr>
          <w:p w14:paraId="06AAC66F"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5.21±3.5</w:t>
            </w:r>
          </w:p>
        </w:tc>
        <w:tc>
          <w:tcPr>
            <w:tcW w:w="992" w:type="dxa"/>
            <w:tcBorders>
              <w:top w:val="nil"/>
              <w:left w:val="nil"/>
              <w:bottom w:val="nil"/>
              <w:right w:val="nil"/>
            </w:tcBorders>
            <w:shd w:val="clear" w:color="000000" w:fill="E8E8E8"/>
            <w:noWrap/>
            <w:vAlign w:val="center"/>
            <w:hideMark/>
          </w:tcPr>
          <w:p w14:paraId="608B5615" w14:textId="77777777" w:rsidR="00727819" w:rsidRPr="00834A5C" w:rsidRDefault="00727819">
            <w:pPr>
              <w:jc w:val="center"/>
              <w:rPr>
                <w:rFonts w:ascii="Arial" w:hAnsi="Arial" w:cs="Arial"/>
                <w:b/>
                <w:bCs/>
                <w:color w:val="000000"/>
                <w:sz w:val="18"/>
                <w:szCs w:val="18"/>
              </w:rPr>
            </w:pPr>
            <w:r w:rsidRPr="00834A5C">
              <w:rPr>
                <w:rFonts w:ascii="Arial" w:hAnsi="Arial" w:cs="Arial"/>
                <w:b/>
                <w:bCs/>
                <w:color w:val="000000"/>
                <w:sz w:val="18"/>
                <w:szCs w:val="18"/>
                <w:lang w:val="en-GB"/>
              </w:rPr>
              <w:t>0.003</w:t>
            </w:r>
          </w:p>
        </w:tc>
        <w:tc>
          <w:tcPr>
            <w:tcW w:w="2694" w:type="dxa"/>
            <w:tcBorders>
              <w:top w:val="nil"/>
              <w:left w:val="nil"/>
              <w:bottom w:val="nil"/>
              <w:right w:val="nil"/>
            </w:tcBorders>
            <w:shd w:val="clear" w:color="000000" w:fill="E8E8E8"/>
            <w:noWrap/>
            <w:vAlign w:val="center"/>
            <w:hideMark/>
          </w:tcPr>
          <w:p w14:paraId="6F009033" w14:textId="77777777" w:rsidR="00727819" w:rsidRPr="00E63A7C" w:rsidRDefault="00727819">
            <w:pPr>
              <w:rPr>
                <w:rFonts w:ascii="Arial" w:hAnsi="Arial" w:cs="Arial"/>
                <w:color w:val="000000"/>
                <w:sz w:val="18"/>
                <w:szCs w:val="18"/>
              </w:rPr>
            </w:pPr>
          </w:p>
          <w:p w14:paraId="012F3960" w14:textId="77777777" w:rsidR="00727819" w:rsidRPr="00E63A7C" w:rsidRDefault="00727819">
            <w:pPr>
              <w:rPr>
                <w:rFonts w:ascii="Arial" w:hAnsi="Arial" w:cs="Arial"/>
                <w:color w:val="000000"/>
                <w:sz w:val="18"/>
                <w:szCs w:val="18"/>
              </w:rPr>
            </w:pPr>
            <w:r w:rsidRPr="00E63A7C">
              <w:rPr>
                <w:rFonts w:ascii="Arial" w:hAnsi="Arial" w:cs="Arial"/>
                <w:color w:val="000000"/>
                <w:sz w:val="18"/>
                <w:szCs w:val="18"/>
              </w:rPr>
              <w:t xml:space="preserve">nonGBA-PD F &gt; GBA-PD F </w:t>
            </w:r>
          </w:p>
          <w:p w14:paraId="4B16309A" w14:textId="77777777" w:rsidR="00727819" w:rsidRPr="00E63A7C" w:rsidRDefault="00727819">
            <w:pPr>
              <w:rPr>
                <w:rFonts w:ascii="Arial" w:hAnsi="Arial" w:cs="Arial"/>
                <w:color w:val="000000"/>
                <w:sz w:val="18"/>
                <w:szCs w:val="18"/>
              </w:rPr>
            </w:pPr>
            <w:r w:rsidRPr="00E63A7C">
              <w:rPr>
                <w:rFonts w:ascii="Arial" w:hAnsi="Arial" w:cs="Arial"/>
                <w:color w:val="000000"/>
                <w:sz w:val="18"/>
                <w:szCs w:val="18"/>
              </w:rPr>
              <w:t xml:space="preserve">nonGBA-PD F &gt; GBA-PD M </w:t>
            </w:r>
          </w:p>
          <w:p w14:paraId="05CF8C5D" w14:textId="77777777" w:rsidR="00727819" w:rsidRPr="00E63A7C" w:rsidRDefault="00727819">
            <w:pPr>
              <w:rPr>
                <w:rFonts w:ascii="Arial" w:hAnsi="Arial" w:cs="Arial"/>
                <w:color w:val="000000"/>
                <w:sz w:val="18"/>
                <w:szCs w:val="18"/>
              </w:rPr>
            </w:pPr>
            <w:r w:rsidRPr="00E63A7C">
              <w:rPr>
                <w:rFonts w:ascii="Arial" w:hAnsi="Arial" w:cs="Arial"/>
                <w:color w:val="000000"/>
                <w:sz w:val="18"/>
                <w:szCs w:val="18"/>
              </w:rPr>
              <w:t>nonGBA-PD F &gt; nonGBA-PD M</w:t>
            </w:r>
          </w:p>
          <w:p w14:paraId="721AEB66" w14:textId="6F03F4B4" w:rsidR="00727819" w:rsidRPr="00E63A7C" w:rsidRDefault="00727819">
            <w:pPr>
              <w:rPr>
                <w:rFonts w:ascii="Arial" w:hAnsi="Arial" w:cs="Arial"/>
                <w:color w:val="000000"/>
                <w:sz w:val="18"/>
                <w:szCs w:val="18"/>
              </w:rPr>
            </w:pPr>
            <w:r w:rsidRPr="00E63A7C">
              <w:rPr>
                <w:rFonts w:ascii="Arial" w:hAnsi="Arial" w:cs="Arial"/>
                <w:color w:val="000000"/>
                <w:sz w:val="18"/>
                <w:szCs w:val="18"/>
              </w:rPr>
              <w:t xml:space="preserve"> </w:t>
            </w:r>
          </w:p>
          <w:p w14:paraId="5C724196" w14:textId="0BB8C97B" w:rsidR="00727819" w:rsidRPr="00727819" w:rsidRDefault="00727819">
            <w:pPr>
              <w:rPr>
                <w:rFonts w:ascii="Arial" w:hAnsi="Arial" w:cs="Arial"/>
                <w:color w:val="000000"/>
                <w:sz w:val="18"/>
                <w:szCs w:val="18"/>
              </w:rPr>
            </w:pPr>
          </w:p>
        </w:tc>
      </w:tr>
      <w:tr w:rsidR="00727819" w:rsidRPr="00727819" w14:paraId="63BB6A18" w14:textId="77777777" w:rsidTr="00727819">
        <w:trPr>
          <w:trHeight w:val="340"/>
        </w:trPr>
        <w:tc>
          <w:tcPr>
            <w:tcW w:w="11483" w:type="dxa"/>
            <w:gridSpan w:val="7"/>
            <w:tcBorders>
              <w:top w:val="single" w:sz="4" w:space="0" w:color="auto"/>
              <w:left w:val="nil"/>
              <w:bottom w:val="single" w:sz="4" w:space="0" w:color="auto"/>
              <w:right w:val="nil"/>
            </w:tcBorders>
            <w:shd w:val="clear" w:color="auto" w:fill="auto"/>
            <w:noWrap/>
            <w:vAlign w:val="center"/>
            <w:hideMark/>
          </w:tcPr>
          <w:p w14:paraId="28912815" w14:textId="77777777" w:rsidR="00727819" w:rsidRPr="00517351" w:rsidRDefault="00727819">
            <w:pPr>
              <w:rPr>
                <w:rFonts w:ascii="Arial" w:hAnsi="Arial" w:cs="Arial"/>
                <w:i/>
                <w:iCs/>
                <w:color w:val="000000"/>
                <w:sz w:val="18"/>
                <w:szCs w:val="18"/>
              </w:rPr>
            </w:pPr>
            <w:r w:rsidRPr="00517351">
              <w:rPr>
                <w:rFonts w:ascii="Arial" w:hAnsi="Arial" w:cs="Arial"/>
                <w:i/>
                <w:iCs/>
                <w:color w:val="000000"/>
                <w:sz w:val="18"/>
                <w:szCs w:val="18"/>
                <w:lang w:val="en-GB"/>
              </w:rPr>
              <w:t>Clinical assessment</w:t>
            </w:r>
          </w:p>
        </w:tc>
      </w:tr>
      <w:tr w:rsidR="00727819" w:rsidRPr="00727819" w14:paraId="33C05625" w14:textId="77777777" w:rsidTr="00727819">
        <w:trPr>
          <w:trHeight w:val="320"/>
        </w:trPr>
        <w:tc>
          <w:tcPr>
            <w:tcW w:w="2552" w:type="dxa"/>
            <w:tcBorders>
              <w:top w:val="nil"/>
              <w:left w:val="nil"/>
              <w:bottom w:val="nil"/>
              <w:right w:val="nil"/>
            </w:tcBorders>
            <w:shd w:val="clear" w:color="000000" w:fill="E8E8E8"/>
            <w:noWrap/>
            <w:vAlign w:val="center"/>
            <w:hideMark/>
          </w:tcPr>
          <w:p w14:paraId="27E20AF7" w14:textId="77777777" w:rsidR="00727819" w:rsidRPr="00727819" w:rsidRDefault="00727819">
            <w:pPr>
              <w:rPr>
                <w:rFonts w:ascii="Arial" w:hAnsi="Arial" w:cs="Arial"/>
                <w:color w:val="000000"/>
                <w:sz w:val="18"/>
                <w:szCs w:val="18"/>
              </w:rPr>
            </w:pPr>
            <w:r w:rsidRPr="00727819">
              <w:rPr>
                <w:rFonts w:ascii="Arial" w:hAnsi="Arial" w:cs="Arial"/>
                <w:color w:val="000000"/>
                <w:sz w:val="18"/>
                <w:szCs w:val="18"/>
                <w:lang w:val="en-GB"/>
              </w:rPr>
              <w:t xml:space="preserve">MDS-UPDRS </w:t>
            </w:r>
          </w:p>
        </w:tc>
        <w:tc>
          <w:tcPr>
            <w:tcW w:w="1240" w:type="dxa"/>
            <w:tcBorders>
              <w:top w:val="nil"/>
              <w:left w:val="nil"/>
              <w:bottom w:val="nil"/>
              <w:right w:val="nil"/>
            </w:tcBorders>
            <w:shd w:val="clear" w:color="000000" w:fill="E8E8E8"/>
            <w:noWrap/>
            <w:vAlign w:val="center"/>
            <w:hideMark/>
          </w:tcPr>
          <w:p w14:paraId="25CB5CF4"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21.54±10</w:t>
            </w:r>
          </w:p>
        </w:tc>
        <w:tc>
          <w:tcPr>
            <w:tcW w:w="1240" w:type="dxa"/>
            <w:tcBorders>
              <w:top w:val="nil"/>
              <w:left w:val="nil"/>
              <w:bottom w:val="nil"/>
              <w:right w:val="nil"/>
            </w:tcBorders>
            <w:shd w:val="clear" w:color="000000" w:fill="E8E8E8"/>
            <w:noWrap/>
            <w:vAlign w:val="center"/>
            <w:hideMark/>
          </w:tcPr>
          <w:p w14:paraId="05B9D177"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23.29±11.2</w:t>
            </w:r>
          </w:p>
        </w:tc>
        <w:tc>
          <w:tcPr>
            <w:tcW w:w="1348" w:type="dxa"/>
            <w:tcBorders>
              <w:top w:val="nil"/>
              <w:left w:val="nil"/>
              <w:bottom w:val="nil"/>
              <w:right w:val="nil"/>
            </w:tcBorders>
            <w:shd w:val="clear" w:color="000000" w:fill="E8E8E8"/>
            <w:noWrap/>
            <w:vAlign w:val="center"/>
            <w:hideMark/>
          </w:tcPr>
          <w:p w14:paraId="44A56705"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20.27±8.3</w:t>
            </w:r>
          </w:p>
        </w:tc>
        <w:tc>
          <w:tcPr>
            <w:tcW w:w="1417" w:type="dxa"/>
            <w:tcBorders>
              <w:top w:val="nil"/>
              <w:left w:val="nil"/>
              <w:bottom w:val="nil"/>
              <w:right w:val="nil"/>
            </w:tcBorders>
            <w:shd w:val="clear" w:color="000000" w:fill="E8E8E8"/>
            <w:noWrap/>
            <w:vAlign w:val="center"/>
            <w:hideMark/>
          </w:tcPr>
          <w:p w14:paraId="186E0BC7"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21.59±8.8</w:t>
            </w:r>
          </w:p>
        </w:tc>
        <w:tc>
          <w:tcPr>
            <w:tcW w:w="992" w:type="dxa"/>
            <w:tcBorders>
              <w:top w:val="nil"/>
              <w:left w:val="nil"/>
              <w:bottom w:val="nil"/>
              <w:right w:val="nil"/>
            </w:tcBorders>
            <w:shd w:val="clear" w:color="000000" w:fill="E8E8E8"/>
            <w:noWrap/>
            <w:vAlign w:val="center"/>
            <w:hideMark/>
          </w:tcPr>
          <w:p w14:paraId="50C6866B"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0.347</w:t>
            </w:r>
          </w:p>
        </w:tc>
        <w:tc>
          <w:tcPr>
            <w:tcW w:w="2694" w:type="dxa"/>
            <w:tcBorders>
              <w:top w:val="nil"/>
              <w:left w:val="nil"/>
              <w:bottom w:val="nil"/>
              <w:right w:val="nil"/>
            </w:tcBorders>
            <w:shd w:val="clear" w:color="000000" w:fill="E8E8E8"/>
            <w:noWrap/>
            <w:vAlign w:val="center"/>
            <w:hideMark/>
          </w:tcPr>
          <w:p w14:paraId="6B1F8864"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w:t>
            </w:r>
          </w:p>
        </w:tc>
      </w:tr>
      <w:tr w:rsidR="00727819" w:rsidRPr="00727819" w14:paraId="56F585E1" w14:textId="77777777" w:rsidTr="00727819">
        <w:trPr>
          <w:trHeight w:val="320"/>
        </w:trPr>
        <w:tc>
          <w:tcPr>
            <w:tcW w:w="2552" w:type="dxa"/>
            <w:tcBorders>
              <w:top w:val="nil"/>
              <w:left w:val="nil"/>
              <w:bottom w:val="nil"/>
              <w:right w:val="nil"/>
            </w:tcBorders>
            <w:shd w:val="clear" w:color="auto" w:fill="auto"/>
            <w:noWrap/>
            <w:vAlign w:val="center"/>
            <w:hideMark/>
          </w:tcPr>
          <w:p w14:paraId="74B59FFB" w14:textId="77777777" w:rsidR="00727819" w:rsidRPr="00727819" w:rsidRDefault="00727819">
            <w:pPr>
              <w:rPr>
                <w:rFonts w:ascii="Arial" w:hAnsi="Arial" w:cs="Arial"/>
                <w:color w:val="000000"/>
                <w:sz w:val="18"/>
                <w:szCs w:val="18"/>
              </w:rPr>
            </w:pPr>
            <w:r w:rsidRPr="00727819">
              <w:rPr>
                <w:rFonts w:ascii="Arial" w:hAnsi="Arial" w:cs="Arial"/>
                <w:color w:val="000000"/>
                <w:sz w:val="18"/>
                <w:szCs w:val="18"/>
                <w:lang w:val="en-GB"/>
              </w:rPr>
              <w:t>SCOPA-AUT</w:t>
            </w:r>
          </w:p>
        </w:tc>
        <w:tc>
          <w:tcPr>
            <w:tcW w:w="1240" w:type="dxa"/>
            <w:tcBorders>
              <w:top w:val="nil"/>
              <w:left w:val="nil"/>
              <w:bottom w:val="nil"/>
              <w:right w:val="nil"/>
            </w:tcBorders>
            <w:shd w:val="clear" w:color="auto" w:fill="auto"/>
            <w:noWrap/>
            <w:vAlign w:val="center"/>
            <w:hideMark/>
          </w:tcPr>
          <w:p w14:paraId="76C75884"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16.68±10.4</w:t>
            </w:r>
          </w:p>
        </w:tc>
        <w:tc>
          <w:tcPr>
            <w:tcW w:w="1240" w:type="dxa"/>
            <w:tcBorders>
              <w:top w:val="nil"/>
              <w:left w:val="nil"/>
              <w:bottom w:val="nil"/>
              <w:right w:val="nil"/>
            </w:tcBorders>
            <w:shd w:val="clear" w:color="auto" w:fill="auto"/>
            <w:noWrap/>
            <w:vAlign w:val="center"/>
            <w:hideMark/>
          </w:tcPr>
          <w:p w14:paraId="589BB55D"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13.98±11.2</w:t>
            </w:r>
          </w:p>
        </w:tc>
        <w:tc>
          <w:tcPr>
            <w:tcW w:w="1348" w:type="dxa"/>
            <w:tcBorders>
              <w:top w:val="nil"/>
              <w:left w:val="nil"/>
              <w:bottom w:val="nil"/>
              <w:right w:val="nil"/>
            </w:tcBorders>
            <w:shd w:val="clear" w:color="auto" w:fill="auto"/>
            <w:noWrap/>
            <w:vAlign w:val="center"/>
            <w:hideMark/>
          </w:tcPr>
          <w:p w14:paraId="6889A2E6"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17.64±10</w:t>
            </w:r>
          </w:p>
        </w:tc>
        <w:tc>
          <w:tcPr>
            <w:tcW w:w="1417" w:type="dxa"/>
            <w:tcBorders>
              <w:top w:val="nil"/>
              <w:left w:val="nil"/>
              <w:bottom w:val="nil"/>
              <w:right w:val="nil"/>
            </w:tcBorders>
            <w:shd w:val="clear" w:color="auto" w:fill="auto"/>
            <w:noWrap/>
            <w:vAlign w:val="center"/>
            <w:hideMark/>
          </w:tcPr>
          <w:p w14:paraId="033B43E6"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12.86±8</w:t>
            </w:r>
          </w:p>
        </w:tc>
        <w:tc>
          <w:tcPr>
            <w:tcW w:w="992" w:type="dxa"/>
            <w:tcBorders>
              <w:top w:val="nil"/>
              <w:left w:val="nil"/>
              <w:bottom w:val="nil"/>
              <w:right w:val="nil"/>
            </w:tcBorders>
            <w:shd w:val="clear" w:color="auto" w:fill="auto"/>
            <w:noWrap/>
            <w:vAlign w:val="center"/>
            <w:hideMark/>
          </w:tcPr>
          <w:p w14:paraId="13A88914" w14:textId="77777777" w:rsidR="00727819" w:rsidRPr="00834A5C" w:rsidRDefault="00727819">
            <w:pPr>
              <w:jc w:val="center"/>
              <w:rPr>
                <w:rFonts w:ascii="Arial" w:hAnsi="Arial" w:cs="Arial"/>
                <w:b/>
                <w:bCs/>
                <w:color w:val="000000"/>
                <w:sz w:val="18"/>
                <w:szCs w:val="18"/>
              </w:rPr>
            </w:pPr>
            <w:r w:rsidRPr="00834A5C">
              <w:rPr>
                <w:rFonts w:ascii="Arial" w:hAnsi="Arial" w:cs="Arial"/>
                <w:b/>
                <w:bCs/>
                <w:color w:val="000000"/>
                <w:sz w:val="18"/>
                <w:szCs w:val="18"/>
                <w:lang w:val="en-GB"/>
              </w:rPr>
              <w:t>0.005</w:t>
            </w:r>
          </w:p>
        </w:tc>
        <w:tc>
          <w:tcPr>
            <w:tcW w:w="2694" w:type="dxa"/>
            <w:tcBorders>
              <w:top w:val="nil"/>
              <w:left w:val="nil"/>
              <w:bottom w:val="nil"/>
              <w:right w:val="nil"/>
            </w:tcBorders>
            <w:shd w:val="clear" w:color="auto" w:fill="auto"/>
            <w:noWrap/>
            <w:vAlign w:val="center"/>
            <w:hideMark/>
          </w:tcPr>
          <w:p w14:paraId="6F14A8EA" w14:textId="77777777" w:rsidR="00727819" w:rsidRPr="00E63A7C" w:rsidRDefault="00727819">
            <w:pPr>
              <w:rPr>
                <w:rFonts w:ascii="Arial" w:hAnsi="Arial" w:cs="Arial"/>
                <w:color w:val="000000"/>
                <w:sz w:val="18"/>
                <w:szCs w:val="18"/>
              </w:rPr>
            </w:pPr>
          </w:p>
          <w:p w14:paraId="527965C0" w14:textId="77777777" w:rsidR="00727819" w:rsidRPr="00E63A7C" w:rsidRDefault="00727819">
            <w:pPr>
              <w:rPr>
                <w:rFonts w:ascii="Arial" w:hAnsi="Arial" w:cs="Arial"/>
                <w:color w:val="000000"/>
                <w:sz w:val="18"/>
                <w:szCs w:val="18"/>
              </w:rPr>
            </w:pPr>
            <w:r w:rsidRPr="00E63A7C">
              <w:rPr>
                <w:rFonts w:ascii="Arial" w:hAnsi="Arial" w:cs="Arial"/>
                <w:color w:val="000000"/>
                <w:sz w:val="18"/>
                <w:szCs w:val="18"/>
              </w:rPr>
              <w:t xml:space="preserve">GBA-PD F &gt; nonGBA-PD M </w:t>
            </w:r>
          </w:p>
          <w:p w14:paraId="26583E3D" w14:textId="77777777" w:rsidR="00727819" w:rsidRPr="00E63A7C" w:rsidRDefault="00727819">
            <w:pPr>
              <w:rPr>
                <w:rFonts w:ascii="Arial" w:hAnsi="Arial" w:cs="Arial"/>
                <w:color w:val="000000"/>
                <w:sz w:val="18"/>
                <w:szCs w:val="18"/>
              </w:rPr>
            </w:pPr>
            <w:r w:rsidRPr="00E63A7C">
              <w:rPr>
                <w:rFonts w:ascii="Arial" w:hAnsi="Arial" w:cs="Arial"/>
                <w:color w:val="000000"/>
                <w:sz w:val="18"/>
                <w:szCs w:val="18"/>
              </w:rPr>
              <w:t>nonGBA-PD F &gt; nonGBA-PD M</w:t>
            </w:r>
          </w:p>
          <w:p w14:paraId="62BD8287" w14:textId="06487FB7" w:rsidR="00727819" w:rsidRPr="00E63A7C" w:rsidRDefault="00727819">
            <w:pPr>
              <w:rPr>
                <w:rFonts w:ascii="Arial" w:hAnsi="Arial" w:cs="Arial"/>
                <w:color w:val="000000"/>
                <w:sz w:val="18"/>
                <w:szCs w:val="18"/>
              </w:rPr>
            </w:pPr>
            <w:r w:rsidRPr="00E63A7C">
              <w:rPr>
                <w:rFonts w:ascii="Arial" w:hAnsi="Arial" w:cs="Arial"/>
                <w:color w:val="000000"/>
                <w:sz w:val="18"/>
                <w:szCs w:val="18"/>
              </w:rPr>
              <w:t xml:space="preserve">  </w:t>
            </w:r>
          </w:p>
          <w:p w14:paraId="439F726D" w14:textId="74FABEDF" w:rsidR="00727819" w:rsidRPr="00E63A7C" w:rsidRDefault="00727819">
            <w:pPr>
              <w:rPr>
                <w:rFonts w:ascii="Arial" w:hAnsi="Arial" w:cs="Arial"/>
                <w:color w:val="000000"/>
                <w:sz w:val="18"/>
                <w:szCs w:val="18"/>
              </w:rPr>
            </w:pPr>
          </w:p>
        </w:tc>
      </w:tr>
      <w:tr w:rsidR="00727819" w:rsidRPr="00497CAC" w14:paraId="69307AA0" w14:textId="77777777" w:rsidTr="00727819">
        <w:trPr>
          <w:trHeight w:val="320"/>
        </w:trPr>
        <w:tc>
          <w:tcPr>
            <w:tcW w:w="2552" w:type="dxa"/>
            <w:tcBorders>
              <w:top w:val="nil"/>
              <w:left w:val="nil"/>
              <w:bottom w:val="nil"/>
              <w:right w:val="nil"/>
            </w:tcBorders>
            <w:shd w:val="clear" w:color="000000" w:fill="E8E8E8"/>
            <w:noWrap/>
            <w:vAlign w:val="center"/>
            <w:hideMark/>
          </w:tcPr>
          <w:p w14:paraId="241DF11E" w14:textId="77777777" w:rsidR="00727819" w:rsidRPr="00727819" w:rsidRDefault="00727819">
            <w:pPr>
              <w:rPr>
                <w:rFonts w:ascii="Arial" w:hAnsi="Arial" w:cs="Arial"/>
                <w:color w:val="000000"/>
                <w:sz w:val="18"/>
                <w:szCs w:val="18"/>
              </w:rPr>
            </w:pPr>
            <w:r w:rsidRPr="00727819">
              <w:rPr>
                <w:rFonts w:ascii="Arial" w:hAnsi="Arial" w:cs="Arial"/>
                <w:color w:val="000000"/>
                <w:sz w:val="18"/>
                <w:szCs w:val="18"/>
                <w:lang w:val="en-GB"/>
              </w:rPr>
              <w:t>RBDSQ</w:t>
            </w:r>
          </w:p>
        </w:tc>
        <w:tc>
          <w:tcPr>
            <w:tcW w:w="1240" w:type="dxa"/>
            <w:tcBorders>
              <w:top w:val="nil"/>
              <w:left w:val="nil"/>
              <w:bottom w:val="nil"/>
              <w:right w:val="nil"/>
            </w:tcBorders>
            <w:shd w:val="clear" w:color="000000" w:fill="E8E8E8"/>
            <w:noWrap/>
            <w:vAlign w:val="center"/>
            <w:hideMark/>
          </w:tcPr>
          <w:p w14:paraId="2BB7C05A"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4.39±2.8</w:t>
            </w:r>
          </w:p>
        </w:tc>
        <w:tc>
          <w:tcPr>
            <w:tcW w:w="1240" w:type="dxa"/>
            <w:tcBorders>
              <w:top w:val="nil"/>
              <w:left w:val="nil"/>
              <w:bottom w:val="nil"/>
              <w:right w:val="nil"/>
            </w:tcBorders>
            <w:shd w:val="clear" w:color="000000" w:fill="E8E8E8"/>
            <w:noWrap/>
            <w:vAlign w:val="center"/>
            <w:hideMark/>
          </w:tcPr>
          <w:p w14:paraId="435AF5DE"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6.08±3.5</w:t>
            </w:r>
          </w:p>
        </w:tc>
        <w:tc>
          <w:tcPr>
            <w:tcW w:w="1348" w:type="dxa"/>
            <w:tcBorders>
              <w:top w:val="nil"/>
              <w:left w:val="nil"/>
              <w:bottom w:val="nil"/>
              <w:right w:val="nil"/>
            </w:tcBorders>
            <w:shd w:val="clear" w:color="000000" w:fill="E8E8E8"/>
            <w:noWrap/>
            <w:vAlign w:val="center"/>
            <w:hideMark/>
          </w:tcPr>
          <w:p w14:paraId="13970FD5"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3.81±2.6</w:t>
            </w:r>
          </w:p>
        </w:tc>
        <w:tc>
          <w:tcPr>
            <w:tcW w:w="1417" w:type="dxa"/>
            <w:tcBorders>
              <w:top w:val="nil"/>
              <w:left w:val="nil"/>
              <w:bottom w:val="nil"/>
              <w:right w:val="nil"/>
            </w:tcBorders>
            <w:shd w:val="clear" w:color="000000" w:fill="E8E8E8"/>
            <w:noWrap/>
            <w:vAlign w:val="center"/>
            <w:hideMark/>
          </w:tcPr>
          <w:p w14:paraId="25470B1D"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4.60±2.9</w:t>
            </w:r>
          </w:p>
        </w:tc>
        <w:tc>
          <w:tcPr>
            <w:tcW w:w="992" w:type="dxa"/>
            <w:tcBorders>
              <w:top w:val="nil"/>
              <w:left w:val="nil"/>
              <w:bottom w:val="nil"/>
              <w:right w:val="nil"/>
            </w:tcBorders>
            <w:shd w:val="clear" w:color="000000" w:fill="E8E8E8"/>
            <w:noWrap/>
            <w:vAlign w:val="center"/>
            <w:hideMark/>
          </w:tcPr>
          <w:p w14:paraId="31821BDF" w14:textId="77777777" w:rsidR="00727819" w:rsidRPr="00834A5C" w:rsidRDefault="00727819">
            <w:pPr>
              <w:jc w:val="center"/>
              <w:rPr>
                <w:rFonts w:ascii="Arial" w:hAnsi="Arial" w:cs="Arial"/>
                <w:b/>
                <w:bCs/>
                <w:color w:val="000000"/>
                <w:sz w:val="18"/>
                <w:szCs w:val="18"/>
              </w:rPr>
            </w:pPr>
            <w:r w:rsidRPr="00834A5C">
              <w:rPr>
                <w:rFonts w:ascii="Arial" w:hAnsi="Arial" w:cs="Arial"/>
                <w:b/>
                <w:bCs/>
                <w:color w:val="000000"/>
                <w:sz w:val="18"/>
                <w:szCs w:val="18"/>
                <w:lang w:val="en-GB"/>
              </w:rPr>
              <w:t>0.001</w:t>
            </w:r>
          </w:p>
        </w:tc>
        <w:tc>
          <w:tcPr>
            <w:tcW w:w="2694" w:type="dxa"/>
            <w:tcBorders>
              <w:top w:val="nil"/>
              <w:left w:val="nil"/>
              <w:bottom w:val="nil"/>
              <w:right w:val="nil"/>
            </w:tcBorders>
            <w:shd w:val="clear" w:color="000000" w:fill="E8E8E8"/>
            <w:noWrap/>
            <w:vAlign w:val="center"/>
            <w:hideMark/>
          </w:tcPr>
          <w:p w14:paraId="4CDEC68D" w14:textId="77777777" w:rsidR="00727819" w:rsidRPr="00E63A7C" w:rsidRDefault="00727819">
            <w:pPr>
              <w:rPr>
                <w:rFonts w:ascii="Arial" w:hAnsi="Arial" w:cs="Arial"/>
                <w:color w:val="000000"/>
                <w:sz w:val="18"/>
                <w:szCs w:val="18"/>
              </w:rPr>
            </w:pPr>
          </w:p>
          <w:p w14:paraId="0CA474CD" w14:textId="77777777" w:rsidR="00727819" w:rsidRPr="00E63A7C" w:rsidRDefault="00727819">
            <w:pPr>
              <w:rPr>
                <w:rFonts w:ascii="Arial" w:hAnsi="Arial" w:cs="Arial"/>
                <w:color w:val="000000"/>
                <w:sz w:val="18"/>
                <w:szCs w:val="18"/>
              </w:rPr>
            </w:pPr>
            <w:r w:rsidRPr="00E63A7C">
              <w:rPr>
                <w:rFonts w:ascii="Arial" w:hAnsi="Arial" w:cs="Arial"/>
                <w:color w:val="000000"/>
                <w:sz w:val="18"/>
                <w:szCs w:val="18"/>
              </w:rPr>
              <w:t xml:space="preserve">GBA-PD M &gt; GBA-PD F </w:t>
            </w:r>
          </w:p>
          <w:p w14:paraId="4FAA62CB" w14:textId="77777777" w:rsidR="00727819" w:rsidRDefault="00727819">
            <w:pPr>
              <w:rPr>
                <w:rFonts w:ascii="Arial" w:hAnsi="Arial" w:cs="Arial"/>
                <w:color w:val="000000"/>
                <w:sz w:val="18"/>
                <w:szCs w:val="18"/>
                <w:lang w:val="en-GB"/>
              </w:rPr>
            </w:pPr>
            <w:r w:rsidRPr="00727819">
              <w:rPr>
                <w:rFonts w:ascii="Arial" w:hAnsi="Arial" w:cs="Arial"/>
                <w:color w:val="000000"/>
                <w:sz w:val="18"/>
                <w:szCs w:val="18"/>
                <w:lang w:val="en-GB"/>
              </w:rPr>
              <w:t>GBA-PD M &gt; nonGBA-PD F</w:t>
            </w:r>
          </w:p>
          <w:p w14:paraId="3506F120" w14:textId="77777777" w:rsidR="00727819" w:rsidRDefault="00727819">
            <w:pPr>
              <w:rPr>
                <w:rFonts w:ascii="Arial" w:hAnsi="Arial" w:cs="Arial"/>
                <w:color w:val="000000"/>
                <w:sz w:val="18"/>
                <w:szCs w:val="18"/>
                <w:lang w:val="en-GB"/>
              </w:rPr>
            </w:pPr>
          </w:p>
          <w:p w14:paraId="677406A9" w14:textId="1973DAFA" w:rsidR="00727819" w:rsidRPr="00E63A7C" w:rsidRDefault="00727819">
            <w:pPr>
              <w:rPr>
                <w:rFonts w:ascii="Arial" w:hAnsi="Arial" w:cs="Arial"/>
                <w:color w:val="000000"/>
                <w:sz w:val="18"/>
                <w:szCs w:val="18"/>
                <w:lang w:val="en-GB"/>
              </w:rPr>
            </w:pPr>
          </w:p>
        </w:tc>
      </w:tr>
      <w:tr w:rsidR="00727819" w:rsidRPr="00727819" w14:paraId="2C9D5ABA" w14:textId="77777777" w:rsidTr="00727819">
        <w:trPr>
          <w:trHeight w:val="340"/>
        </w:trPr>
        <w:tc>
          <w:tcPr>
            <w:tcW w:w="2552" w:type="dxa"/>
            <w:tcBorders>
              <w:top w:val="nil"/>
              <w:left w:val="nil"/>
              <w:bottom w:val="double" w:sz="6" w:space="0" w:color="auto"/>
              <w:right w:val="nil"/>
            </w:tcBorders>
            <w:shd w:val="clear" w:color="auto" w:fill="auto"/>
            <w:noWrap/>
            <w:vAlign w:val="center"/>
            <w:hideMark/>
          </w:tcPr>
          <w:p w14:paraId="03DD4849" w14:textId="77777777" w:rsidR="00727819" w:rsidRPr="00727819" w:rsidRDefault="00727819">
            <w:pPr>
              <w:rPr>
                <w:rFonts w:ascii="Arial" w:hAnsi="Arial" w:cs="Arial"/>
                <w:color w:val="000000"/>
                <w:sz w:val="18"/>
                <w:szCs w:val="18"/>
              </w:rPr>
            </w:pPr>
            <w:r w:rsidRPr="00727819">
              <w:rPr>
                <w:rFonts w:ascii="Arial" w:hAnsi="Arial" w:cs="Arial"/>
                <w:color w:val="000000"/>
                <w:sz w:val="18"/>
                <w:szCs w:val="18"/>
                <w:lang w:val="en-GB"/>
              </w:rPr>
              <w:t>RBD disorders (RBDSQ ≥ 6)</w:t>
            </w:r>
          </w:p>
        </w:tc>
        <w:tc>
          <w:tcPr>
            <w:tcW w:w="1240" w:type="dxa"/>
            <w:tcBorders>
              <w:top w:val="nil"/>
              <w:left w:val="nil"/>
              <w:bottom w:val="double" w:sz="6" w:space="0" w:color="auto"/>
              <w:right w:val="nil"/>
            </w:tcBorders>
            <w:shd w:val="clear" w:color="auto" w:fill="auto"/>
            <w:noWrap/>
            <w:vAlign w:val="center"/>
            <w:hideMark/>
          </w:tcPr>
          <w:p w14:paraId="5B2ACB2B"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11 (26.8%)</w:t>
            </w:r>
          </w:p>
        </w:tc>
        <w:tc>
          <w:tcPr>
            <w:tcW w:w="1240" w:type="dxa"/>
            <w:tcBorders>
              <w:top w:val="nil"/>
              <w:left w:val="nil"/>
              <w:bottom w:val="double" w:sz="6" w:space="0" w:color="auto"/>
              <w:right w:val="nil"/>
            </w:tcBorders>
            <w:shd w:val="clear" w:color="auto" w:fill="auto"/>
            <w:noWrap/>
            <w:vAlign w:val="center"/>
            <w:hideMark/>
          </w:tcPr>
          <w:p w14:paraId="13C128BC"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25 (51%)</w:t>
            </w:r>
          </w:p>
        </w:tc>
        <w:tc>
          <w:tcPr>
            <w:tcW w:w="1348" w:type="dxa"/>
            <w:tcBorders>
              <w:top w:val="nil"/>
              <w:left w:val="nil"/>
              <w:bottom w:val="double" w:sz="6" w:space="0" w:color="auto"/>
              <w:right w:val="nil"/>
            </w:tcBorders>
            <w:shd w:val="clear" w:color="auto" w:fill="auto"/>
            <w:noWrap/>
            <w:vAlign w:val="center"/>
            <w:hideMark/>
          </w:tcPr>
          <w:p w14:paraId="74446E4A"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15 (23.8%)</w:t>
            </w:r>
          </w:p>
        </w:tc>
        <w:tc>
          <w:tcPr>
            <w:tcW w:w="1417" w:type="dxa"/>
            <w:tcBorders>
              <w:top w:val="nil"/>
              <w:left w:val="nil"/>
              <w:bottom w:val="double" w:sz="6" w:space="0" w:color="auto"/>
              <w:right w:val="nil"/>
            </w:tcBorders>
            <w:shd w:val="clear" w:color="auto" w:fill="auto"/>
            <w:noWrap/>
            <w:vAlign w:val="center"/>
            <w:hideMark/>
          </w:tcPr>
          <w:p w14:paraId="0047FD5B"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43 (30.9%)</w:t>
            </w:r>
          </w:p>
        </w:tc>
        <w:tc>
          <w:tcPr>
            <w:tcW w:w="992" w:type="dxa"/>
            <w:tcBorders>
              <w:top w:val="nil"/>
              <w:left w:val="nil"/>
              <w:bottom w:val="double" w:sz="6" w:space="0" w:color="auto"/>
              <w:right w:val="nil"/>
            </w:tcBorders>
            <w:shd w:val="clear" w:color="auto" w:fill="auto"/>
            <w:noWrap/>
            <w:vAlign w:val="center"/>
            <w:hideMark/>
          </w:tcPr>
          <w:p w14:paraId="64CF31E5" w14:textId="77777777" w:rsidR="00727819" w:rsidRPr="00834A5C" w:rsidRDefault="00727819">
            <w:pPr>
              <w:jc w:val="center"/>
              <w:rPr>
                <w:rFonts w:ascii="Arial" w:hAnsi="Arial" w:cs="Arial"/>
                <w:b/>
                <w:bCs/>
                <w:color w:val="000000"/>
                <w:sz w:val="18"/>
                <w:szCs w:val="18"/>
              </w:rPr>
            </w:pPr>
            <w:r w:rsidRPr="00834A5C">
              <w:rPr>
                <w:rFonts w:ascii="Arial" w:hAnsi="Arial" w:cs="Arial"/>
                <w:b/>
                <w:bCs/>
                <w:color w:val="000000"/>
                <w:sz w:val="18"/>
                <w:szCs w:val="18"/>
                <w:lang w:val="en-GB"/>
              </w:rPr>
              <w:t>0.003</w:t>
            </w:r>
          </w:p>
        </w:tc>
        <w:tc>
          <w:tcPr>
            <w:tcW w:w="2694" w:type="dxa"/>
            <w:tcBorders>
              <w:top w:val="nil"/>
              <w:left w:val="nil"/>
              <w:bottom w:val="double" w:sz="6" w:space="0" w:color="auto"/>
              <w:right w:val="nil"/>
            </w:tcBorders>
            <w:shd w:val="clear" w:color="auto" w:fill="auto"/>
            <w:noWrap/>
            <w:vAlign w:val="center"/>
            <w:hideMark/>
          </w:tcPr>
          <w:p w14:paraId="7BBA13FA"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lang w:val="en-GB"/>
              </w:rPr>
              <w:t>-</w:t>
            </w:r>
          </w:p>
        </w:tc>
      </w:tr>
      <w:tr w:rsidR="00727819" w:rsidRPr="00727819" w14:paraId="49862404" w14:textId="77777777" w:rsidTr="00727819">
        <w:trPr>
          <w:trHeight w:val="340"/>
        </w:trPr>
        <w:tc>
          <w:tcPr>
            <w:tcW w:w="2552" w:type="dxa"/>
            <w:tcBorders>
              <w:top w:val="nil"/>
              <w:left w:val="nil"/>
              <w:bottom w:val="nil"/>
              <w:right w:val="nil"/>
            </w:tcBorders>
            <w:shd w:val="clear" w:color="auto" w:fill="auto"/>
            <w:noWrap/>
            <w:vAlign w:val="bottom"/>
            <w:hideMark/>
          </w:tcPr>
          <w:p w14:paraId="2BAE639E" w14:textId="77777777" w:rsidR="00727819" w:rsidRPr="00727819" w:rsidRDefault="00727819">
            <w:pPr>
              <w:jc w:val="center"/>
              <w:rPr>
                <w:rFonts w:ascii="Arial" w:hAnsi="Arial" w:cs="Arial"/>
                <w:color w:val="000000"/>
                <w:sz w:val="18"/>
                <w:szCs w:val="18"/>
              </w:rPr>
            </w:pPr>
          </w:p>
        </w:tc>
        <w:tc>
          <w:tcPr>
            <w:tcW w:w="1240" w:type="dxa"/>
            <w:tcBorders>
              <w:top w:val="nil"/>
              <w:left w:val="nil"/>
              <w:bottom w:val="nil"/>
              <w:right w:val="nil"/>
            </w:tcBorders>
            <w:shd w:val="clear" w:color="auto" w:fill="auto"/>
            <w:noWrap/>
            <w:vAlign w:val="bottom"/>
            <w:hideMark/>
          </w:tcPr>
          <w:p w14:paraId="5C307A44" w14:textId="77777777" w:rsidR="00727819" w:rsidRPr="00727819" w:rsidRDefault="00727819">
            <w:pPr>
              <w:rPr>
                <w:rFonts w:ascii="Arial" w:hAnsi="Arial" w:cs="Arial"/>
                <w:sz w:val="18"/>
                <w:szCs w:val="18"/>
              </w:rPr>
            </w:pPr>
          </w:p>
        </w:tc>
        <w:tc>
          <w:tcPr>
            <w:tcW w:w="1240" w:type="dxa"/>
            <w:tcBorders>
              <w:top w:val="nil"/>
              <w:left w:val="nil"/>
              <w:bottom w:val="nil"/>
              <w:right w:val="nil"/>
            </w:tcBorders>
            <w:shd w:val="clear" w:color="auto" w:fill="auto"/>
            <w:noWrap/>
            <w:vAlign w:val="bottom"/>
            <w:hideMark/>
          </w:tcPr>
          <w:p w14:paraId="4ACF62B0" w14:textId="77777777" w:rsidR="00727819" w:rsidRPr="00727819" w:rsidRDefault="00727819">
            <w:pPr>
              <w:rPr>
                <w:rFonts w:ascii="Arial" w:hAnsi="Arial" w:cs="Arial"/>
                <w:sz w:val="18"/>
                <w:szCs w:val="18"/>
              </w:rPr>
            </w:pPr>
          </w:p>
        </w:tc>
        <w:tc>
          <w:tcPr>
            <w:tcW w:w="1348" w:type="dxa"/>
            <w:tcBorders>
              <w:top w:val="nil"/>
              <w:left w:val="nil"/>
              <w:bottom w:val="nil"/>
              <w:right w:val="nil"/>
            </w:tcBorders>
            <w:shd w:val="clear" w:color="auto" w:fill="auto"/>
            <w:noWrap/>
            <w:vAlign w:val="bottom"/>
            <w:hideMark/>
          </w:tcPr>
          <w:p w14:paraId="1109C791" w14:textId="77777777" w:rsidR="00727819" w:rsidRPr="00727819" w:rsidRDefault="00727819">
            <w:pPr>
              <w:rPr>
                <w:rFonts w:ascii="Arial" w:hAnsi="Arial" w:cs="Arial"/>
                <w:sz w:val="18"/>
                <w:szCs w:val="18"/>
              </w:rPr>
            </w:pPr>
          </w:p>
        </w:tc>
        <w:tc>
          <w:tcPr>
            <w:tcW w:w="1417" w:type="dxa"/>
            <w:tcBorders>
              <w:top w:val="nil"/>
              <w:left w:val="nil"/>
              <w:bottom w:val="nil"/>
              <w:right w:val="nil"/>
            </w:tcBorders>
            <w:shd w:val="clear" w:color="auto" w:fill="auto"/>
            <w:noWrap/>
            <w:vAlign w:val="bottom"/>
            <w:hideMark/>
          </w:tcPr>
          <w:p w14:paraId="3F39C00C" w14:textId="77777777" w:rsidR="00727819" w:rsidRPr="00727819" w:rsidRDefault="00727819">
            <w:pPr>
              <w:rPr>
                <w:rFonts w:ascii="Arial" w:hAnsi="Arial" w:cs="Arial"/>
                <w:sz w:val="18"/>
                <w:szCs w:val="18"/>
              </w:rPr>
            </w:pPr>
          </w:p>
        </w:tc>
        <w:tc>
          <w:tcPr>
            <w:tcW w:w="992" w:type="dxa"/>
            <w:tcBorders>
              <w:top w:val="nil"/>
              <w:left w:val="nil"/>
              <w:bottom w:val="nil"/>
              <w:right w:val="nil"/>
            </w:tcBorders>
            <w:shd w:val="clear" w:color="auto" w:fill="auto"/>
            <w:noWrap/>
            <w:vAlign w:val="center"/>
            <w:hideMark/>
          </w:tcPr>
          <w:p w14:paraId="258952F2" w14:textId="77777777" w:rsidR="00727819" w:rsidRPr="00727819" w:rsidRDefault="00727819">
            <w:pPr>
              <w:rPr>
                <w:rFonts w:ascii="Arial" w:hAnsi="Arial" w:cs="Arial"/>
                <w:sz w:val="18"/>
                <w:szCs w:val="18"/>
              </w:rPr>
            </w:pPr>
          </w:p>
        </w:tc>
        <w:tc>
          <w:tcPr>
            <w:tcW w:w="2694" w:type="dxa"/>
            <w:tcBorders>
              <w:top w:val="nil"/>
              <w:left w:val="nil"/>
              <w:bottom w:val="nil"/>
              <w:right w:val="nil"/>
            </w:tcBorders>
            <w:shd w:val="clear" w:color="auto" w:fill="auto"/>
            <w:noWrap/>
            <w:vAlign w:val="bottom"/>
            <w:hideMark/>
          </w:tcPr>
          <w:p w14:paraId="203FC570" w14:textId="77777777" w:rsidR="00727819" w:rsidRPr="00727819" w:rsidRDefault="00727819">
            <w:pPr>
              <w:jc w:val="center"/>
              <w:rPr>
                <w:rFonts w:ascii="Arial" w:hAnsi="Arial" w:cs="Arial"/>
                <w:sz w:val="18"/>
                <w:szCs w:val="18"/>
              </w:rPr>
            </w:pPr>
          </w:p>
        </w:tc>
      </w:tr>
    </w:tbl>
    <w:p w14:paraId="5C9B6235" w14:textId="77777777" w:rsidR="00727819" w:rsidRPr="00292628" w:rsidRDefault="00727819" w:rsidP="00727819">
      <w:pPr>
        <w:rPr>
          <w:rFonts w:ascii="Arial" w:eastAsia="Arial" w:hAnsi="Arial" w:cs="Arial"/>
          <w:sz w:val="20"/>
          <w:szCs w:val="20"/>
          <w:lang w:val="en-GB"/>
        </w:rPr>
      </w:pPr>
      <w:r w:rsidRPr="00517351">
        <w:rPr>
          <w:rFonts w:ascii="Arial" w:eastAsia="Arial" w:hAnsi="Arial" w:cs="Arial"/>
          <w:sz w:val="20"/>
          <w:szCs w:val="20"/>
          <w:u w:val="single"/>
          <w:lang w:val="en-GB"/>
        </w:rPr>
        <w:t>Abbreviations</w:t>
      </w:r>
      <w:r w:rsidRPr="00292628">
        <w:rPr>
          <w:rFonts w:ascii="Arial" w:eastAsia="Arial" w:hAnsi="Arial" w:cs="Arial"/>
          <w:sz w:val="20"/>
          <w:szCs w:val="20"/>
          <w:lang w:val="en-GB"/>
        </w:rPr>
        <w:t xml:space="preserve">: AAO, Age at symptoms onset; GBA, Glucocerebrosidase; LEDD, levodopa-equivalent daily dose; MDS-UPDRS-III, Movement Disorders Society-Unified Parkinson’s Disease Rating Scale pt. III; N, Number; PD, Parkinson's disease; RBDSQ, REM Sleep </w:t>
      </w:r>
      <w:proofErr w:type="spellStart"/>
      <w:r w:rsidRPr="00292628">
        <w:rPr>
          <w:rFonts w:ascii="Arial" w:eastAsia="Arial" w:hAnsi="Arial" w:cs="Arial"/>
          <w:sz w:val="20"/>
          <w:szCs w:val="20"/>
          <w:lang w:val="en-GB"/>
        </w:rPr>
        <w:t>Behavior</w:t>
      </w:r>
      <w:proofErr w:type="spellEnd"/>
      <w:r w:rsidRPr="00292628">
        <w:rPr>
          <w:rFonts w:ascii="Arial" w:eastAsia="Arial" w:hAnsi="Arial" w:cs="Arial"/>
          <w:sz w:val="20"/>
          <w:szCs w:val="20"/>
          <w:lang w:val="en-GB"/>
        </w:rPr>
        <w:t xml:space="preserve"> Disorder Screening Questionnaire; SCOPA-AUT, Scales for Outcomes in PD-Autonomic.</w:t>
      </w:r>
    </w:p>
    <w:p w14:paraId="50138430" w14:textId="34689662" w:rsidR="00727819" w:rsidRPr="00292628" w:rsidRDefault="00727819" w:rsidP="00727819">
      <w:pPr>
        <w:rPr>
          <w:rFonts w:ascii="Arial" w:eastAsia="Arial" w:hAnsi="Arial" w:cs="Arial"/>
          <w:sz w:val="20"/>
          <w:szCs w:val="20"/>
          <w:lang w:val="en-GB"/>
        </w:rPr>
      </w:pPr>
      <w:r w:rsidRPr="00292628">
        <w:rPr>
          <w:rFonts w:ascii="Arial" w:eastAsia="Arial" w:hAnsi="Arial" w:cs="Arial"/>
          <w:sz w:val="20"/>
          <w:szCs w:val="20"/>
          <w:lang w:val="en-GB"/>
        </w:rPr>
        <w:t>Post</w:t>
      </w:r>
      <w:r w:rsidR="004279F2">
        <w:rPr>
          <w:rFonts w:ascii="Arial" w:eastAsia="Arial" w:hAnsi="Arial" w:cs="Arial"/>
          <w:sz w:val="20"/>
          <w:szCs w:val="20"/>
          <w:lang w:val="en-GB"/>
        </w:rPr>
        <w:t>-h</w:t>
      </w:r>
      <w:r w:rsidRPr="00292628">
        <w:rPr>
          <w:rFonts w:ascii="Arial" w:eastAsia="Arial" w:hAnsi="Arial" w:cs="Arial"/>
          <w:sz w:val="20"/>
          <w:szCs w:val="20"/>
          <w:lang w:val="en-GB"/>
        </w:rPr>
        <w:t xml:space="preserve">oc = Significance </w:t>
      </w:r>
      <w:r w:rsidR="004279F2">
        <w:rPr>
          <w:rFonts w:ascii="Arial" w:eastAsia="Arial" w:hAnsi="Arial" w:cs="Arial"/>
          <w:sz w:val="20"/>
          <w:szCs w:val="20"/>
          <w:lang w:val="en-GB"/>
        </w:rPr>
        <w:t>survived</w:t>
      </w:r>
      <w:r w:rsidRPr="00292628">
        <w:rPr>
          <w:rFonts w:ascii="Arial" w:eastAsia="Arial" w:hAnsi="Arial" w:cs="Arial"/>
          <w:sz w:val="20"/>
          <w:szCs w:val="20"/>
          <w:lang w:val="en-GB"/>
        </w:rPr>
        <w:t xml:space="preserve"> Bonferroni correction. </w:t>
      </w:r>
    </w:p>
    <w:p w14:paraId="17C305B9" w14:textId="77777777" w:rsidR="00727819" w:rsidRPr="00292628" w:rsidRDefault="00727819" w:rsidP="00727819">
      <w:pPr>
        <w:rPr>
          <w:rFonts w:ascii="Arial" w:eastAsia="Arial" w:hAnsi="Arial" w:cs="Arial"/>
          <w:b/>
          <w:sz w:val="22"/>
          <w:szCs w:val="22"/>
          <w:lang w:val="en-GB"/>
        </w:rPr>
      </w:pPr>
      <w:r w:rsidRPr="00292628">
        <w:rPr>
          <w:rFonts w:ascii="Arial" w:eastAsia="Arial" w:hAnsi="Arial" w:cs="Arial"/>
          <w:sz w:val="20"/>
          <w:szCs w:val="20"/>
          <w:lang w:val="en-GB"/>
        </w:rPr>
        <w:t>Significant p-values (p &lt; 0.05) are reported in bold.</w:t>
      </w:r>
    </w:p>
    <w:p w14:paraId="2FBF4D58" w14:textId="77777777" w:rsidR="00727819" w:rsidRPr="00292628" w:rsidRDefault="00727819" w:rsidP="00727819">
      <w:pPr>
        <w:rPr>
          <w:rFonts w:ascii="Arial" w:eastAsia="Arial" w:hAnsi="Arial" w:cs="Arial"/>
          <w:sz w:val="22"/>
          <w:szCs w:val="22"/>
          <w:lang w:val="en-GB"/>
        </w:rPr>
      </w:pPr>
    </w:p>
    <w:p w14:paraId="37023209" w14:textId="5906F937" w:rsidR="00727819" w:rsidRDefault="00727819">
      <w:pPr>
        <w:rPr>
          <w:rFonts w:ascii="Arial" w:hAnsi="Arial" w:cs="Arial"/>
          <w:b/>
          <w:sz w:val="22"/>
          <w:szCs w:val="22"/>
          <w:lang w:val="en-US"/>
        </w:rPr>
      </w:pPr>
    </w:p>
    <w:p w14:paraId="518C2810" w14:textId="77777777" w:rsidR="00517351" w:rsidRDefault="00517351">
      <w:pPr>
        <w:rPr>
          <w:rFonts w:ascii="Arial" w:hAnsi="Arial" w:cs="Arial"/>
          <w:b/>
          <w:sz w:val="22"/>
          <w:szCs w:val="22"/>
          <w:lang w:val="en-US"/>
        </w:rPr>
      </w:pPr>
      <w:r>
        <w:rPr>
          <w:rFonts w:ascii="Arial" w:hAnsi="Arial" w:cs="Arial"/>
          <w:b/>
          <w:sz w:val="22"/>
          <w:szCs w:val="22"/>
          <w:lang w:val="en-US"/>
        </w:rPr>
        <w:br w:type="page"/>
      </w:r>
    </w:p>
    <w:p w14:paraId="7D518B90" w14:textId="1641E9D4" w:rsidR="000228EE" w:rsidRPr="00CB4391" w:rsidRDefault="00000000">
      <w:pPr>
        <w:rPr>
          <w:rFonts w:ascii="Arial" w:hAnsi="Arial" w:cs="Arial"/>
          <w:b/>
          <w:sz w:val="22"/>
          <w:szCs w:val="22"/>
          <w:lang w:val="en-US"/>
        </w:rPr>
      </w:pPr>
      <w:r w:rsidRPr="00CB4391">
        <w:rPr>
          <w:rFonts w:ascii="Arial" w:hAnsi="Arial" w:cs="Arial"/>
          <w:b/>
          <w:sz w:val="22"/>
          <w:szCs w:val="22"/>
          <w:lang w:val="en-US"/>
        </w:rPr>
        <w:lastRenderedPageBreak/>
        <w:t xml:space="preserve">Supplementary Table </w:t>
      </w:r>
      <w:r w:rsidR="00517351">
        <w:rPr>
          <w:rFonts w:ascii="Arial" w:hAnsi="Arial" w:cs="Arial"/>
          <w:b/>
          <w:sz w:val="22"/>
          <w:szCs w:val="22"/>
          <w:lang w:val="en-US"/>
        </w:rPr>
        <w:t>3</w:t>
      </w:r>
      <w:r w:rsidRPr="00CB4391">
        <w:rPr>
          <w:rFonts w:ascii="Arial" w:hAnsi="Arial" w:cs="Arial"/>
          <w:b/>
          <w:sz w:val="22"/>
          <w:szCs w:val="22"/>
          <w:lang w:val="en-US"/>
        </w:rPr>
        <w:t xml:space="preserve"> </w:t>
      </w:r>
      <w:r w:rsidRPr="00CB4391">
        <w:rPr>
          <w:rFonts w:ascii="Arial" w:hAnsi="Arial" w:cs="Arial"/>
          <w:sz w:val="22"/>
          <w:szCs w:val="22"/>
          <w:lang w:val="en-US"/>
        </w:rPr>
        <w:t>Comparison of population sizes between the general population and the 3-year subgroup across GBA-PD and nonGBA-PD groups</w:t>
      </w:r>
    </w:p>
    <w:p w14:paraId="3C63FC4A" w14:textId="77777777" w:rsidR="000228EE" w:rsidRPr="00CB4391" w:rsidRDefault="000228EE">
      <w:pPr>
        <w:rPr>
          <w:rFonts w:ascii="Arial" w:hAnsi="Arial" w:cs="Arial"/>
          <w:b/>
          <w:lang w:val="en-US"/>
        </w:rPr>
      </w:pPr>
    </w:p>
    <w:tbl>
      <w:tblPr>
        <w:tblW w:w="5812" w:type="dxa"/>
        <w:tblCellMar>
          <w:left w:w="70" w:type="dxa"/>
          <w:right w:w="70" w:type="dxa"/>
        </w:tblCellMar>
        <w:tblLook w:val="04A0" w:firstRow="1" w:lastRow="0" w:firstColumn="1" w:lastColumn="0" w:noHBand="0" w:noVBand="1"/>
      </w:tblPr>
      <w:tblGrid>
        <w:gridCol w:w="1557"/>
        <w:gridCol w:w="1300"/>
        <w:gridCol w:w="1821"/>
        <w:gridCol w:w="1134"/>
      </w:tblGrid>
      <w:tr w:rsidR="00727819" w:rsidRPr="00727819" w14:paraId="118F9041" w14:textId="77777777" w:rsidTr="00727819">
        <w:trPr>
          <w:trHeight w:val="340"/>
        </w:trPr>
        <w:tc>
          <w:tcPr>
            <w:tcW w:w="1557" w:type="dxa"/>
            <w:tcBorders>
              <w:top w:val="single" w:sz="4" w:space="0" w:color="auto"/>
              <w:left w:val="nil"/>
              <w:bottom w:val="double" w:sz="6" w:space="0" w:color="auto"/>
              <w:right w:val="nil"/>
            </w:tcBorders>
            <w:shd w:val="clear" w:color="auto" w:fill="auto"/>
            <w:noWrap/>
            <w:vAlign w:val="center"/>
            <w:hideMark/>
          </w:tcPr>
          <w:p w14:paraId="5E91C149" w14:textId="77777777" w:rsidR="00727819" w:rsidRPr="00E63A7C" w:rsidRDefault="00727819">
            <w:pPr>
              <w:rPr>
                <w:rFonts w:ascii="Arial" w:hAnsi="Arial" w:cs="Arial"/>
                <w:b/>
                <w:bCs/>
                <w:color w:val="000000"/>
                <w:sz w:val="18"/>
                <w:szCs w:val="18"/>
                <w:lang w:val="en-GB"/>
              </w:rPr>
            </w:pPr>
            <w:r w:rsidRPr="00727819">
              <w:rPr>
                <w:rFonts w:ascii="Arial" w:hAnsi="Arial" w:cs="Arial"/>
                <w:b/>
                <w:bCs/>
                <w:color w:val="000000"/>
                <w:sz w:val="18"/>
                <w:szCs w:val="18"/>
                <w:lang w:val="en-US"/>
              </w:rPr>
              <w:t> </w:t>
            </w:r>
          </w:p>
        </w:tc>
        <w:tc>
          <w:tcPr>
            <w:tcW w:w="1300" w:type="dxa"/>
            <w:tcBorders>
              <w:top w:val="single" w:sz="4" w:space="0" w:color="auto"/>
              <w:left w:val="nil"/>
              <w:bottom w:val="double" w:sz="6" w:space="0" w:color="auto"/>
              <w:right w:val="nil"/>
            </w:tcBorders>
            <w:shd w:val="clear" w:color="auto" w:fill="auto"/>
            <w:noWrap/>
            <w:vAlign w:val="center"/>
            <w:hideMark/>
          </w:tcPr>
          <w:p w14:paraId="18B0F90B" w14:textId="77777777" w:rsidR="00727819" w:rsidRPr="00727819" w:rsidRDefault="00727819">
            <w:pPr>
              <w:jc w:val="center"/>
              <w:rPr>
                <w:rFonts w:ascii="Arial" w:hAnsi="Arial" w:cs="Arial"/>
                <w:b/>
                <w:bCs/>
                <w:color w:val="000000"/>
                <w:sz w:val="18"/>
                <w:szCs w:val="18"/>
              </w:rPr>
            </w:pPr>
            <w:r w:rsidRPr="00727819">
              <w:rPr>
                <w:rFonts w:ascii="Arial" w:hAnsi="Arial" w:cs="Arial"/>
                <w:b/>
                <w:bCs/>
                <w:color w:val="000000"/>
                <w:sz w:val="18"/>
                <w:szCs w:val="18"/>
              </w:rPr>
              <w:t>All subjects</w:t>
            </w:r>
          </w:p>
        </w:tc>
        <w:tc>
          <w:tcPr>
            <w:tcW w:w="1821" w:type="dxa"/>
            <w:tcBorders>
              <w:top w:val="single" w:sz="4" w:space="0" w:color="auto"/>
              <w:left w:val="nil"/>
              <w:bottom w:val="double" w:sz="6" w:space="0" w:color="auto"/>
              <w:right w:val="nil"/>
            </w:tcBorders>
            <w:shd w:val="clear" w:color="auto" w:fill="auto"/>
            <w:noWrap/>
            <w:vAlign w:val="center"/>
            <w:hideMark/>
          </w:tcPr>
          <w:p w14:paraId="584EE792" w14:textId="77777777" w:rsidR="00727819" w:rsidRPr="00727819" w:rsidRDefault="00727819">
            <w:pPr>
              <w:jc w:val="center"/>
              <w:rPr>
                <w:rFonts w:ascii="Arial" w:hAnsi="Arial" w:cs="Arial"/>
                <w:b/>
                <w:bCs/>
                <w:color w:val="000000"/>
                <w:sz w:val="18"/>
                <w:szCs w:val="18"/>
              </w:rPr>
            </w:pPr>
            <w:r w:rsidRPr="00727819">
              <w:rPr>
                <w:rFonts w:ascii="Arial" w:hAnsi="Arial" w:cs="Arial"/>
                <w:b/>
                <w:bCs/>
                <w:color w:val="000000"/>
                <w:sz w:val="18"/>
                <w:szCs w:val="18"/>
              </w:rPr>
              <w:t>Sub-group (3years)</w:t>
            </w:r>
          </w:p>
        </w:tc>
        <w:tc>
          <w:tcPr>
            <w:tcW w:w="1134" w:type="dxa"/>
            <w:tcBorders>
              <w:top w:val="single" w:sz="4" w:space="0" w:color="auto"/>
              <w:left w:val="nil"/>
              <w:bottom w:val="double" w:sz="6" w:space="0" w:color="auto"/>
              <w:right w:val="nil"/>
            </w:tcBorders>
            <w:shd w:val="clear" w:color="auto" w:fill="auto"/>
            <w:noWrap/>
            <w:vAlign w:val="center"/>
            <w:hideMark/>
          </w:tcPr>
          <w:p w14:paraId="6616BE4D" w14:textId="77777777" w:rsidR="00727819" w:rsidRPr="00727819" w:rsidRDefault="00727819">
            <w:pPr>
              <w:jc w:val="center"/>
              <w:rPr>
                <w:rFonts w:ascii="Arial" w:hAnsi="Arial" w:cs="Arial"/>
                <w:b/>
                <w:bCs/>
                <w:color w:val="000000"/>
                <w:sz w:val="18"/>
                <w:szCs w:val="18"/>
              </w:rPr>
            </w:pPr>
            <w:r w:rsidRPr="00727819">
              <w:rPr>
                <w:rFonts w:ascii="Arial" w:hAnsi="Arial" w:cs="Arial"/>
                <w:b/>
                <w:bCs/>
                <w:color w:val="000000"/>
                <w:sz w:val="18"/>
                <w:szCs w:val="18"/>
              </w:rPr>
              <w:t>p-value</w:t>
            </w:r>
          </w:p>
        </w:tc>
      </w:tr>
      <w:tr w:rsidR="00727819" w:rsidRPr="00727819" w14:paraId="41249D71" w14:textId="77777777" w:rsidTr="00727819">
        <w:trPr>
          <w:trHeight w:val="340"/>
        </w:trPr>
        <w:tc>
          <w:tcPr>
            <w:tcW w:w="1557" w:type="dxa"/>
            <w:tcBorders>
              <w:top w:val="nil"/>
              <w:left w:val="nil"/>
              <w:bottom w:val="nil"/>
              <w:right w:val="nil"/>
            </w:tcBorders>
            <w:shd w:val="clear" w:color="auto" w:fill="auto"/>
            <w:noWrap/>
            <w:vAlign w:val="center"/>
            <w:hideMark/>
          </w:tcPr>
          <w:p w14:paraId="4B9DBFE4" w14:textId="77777777" w:rsidR="00727819" w:rsidRPr="00727819" w:rsidRDefault="00727819">
            <w:pPr>
              <w:rPr>
                <w:rFonts w:ascii="Arial" w:hAnsi="Arial" w:cs="Arial"/>
                <w:color w:val="000000"/>
                <w:sz w:val="18"/>
                <w:szCs w:val="18"/>
              </w:rPr>
            </w:pPr>
            <w:r w:rsidRPr="00727819">
              <w:rPr>
                <w:rFonts w:ascii="Arial" w:hAnsi="Arial" w:cs="Arial"/>
                <w:color w:val="000000"/>
                <w:sz w:val="18"/>
                <w:szCs w:val="18"/>
              </w:rPr>
              <w:t>N (tot)</w:t>
            </w:r>
          </w:p>
        </w:tc>
        <w:tc>
          <w:tcPr>
            <w:tcW w:w="1300" w:type="dxa"/>
            <w:tcBorders>
              <w:top w:val="nil"/>
              <w:left w:val="nil"/>
              <w:bottom w:val="nil"/>
              <w:right w:val="nil"/>
            </w:tcBorders>
            <w:shd w:val="clear" w:color="auto" w:fill="auto"/>
            <w:noWrap/>
            <w:vAlign w:val="center"/>
            <w:hideMark/>
          </w:tcPr>
          <w:p w14:paraId="7DD76318"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560</w:t>
            </w:r>
          </w:p>
        </w:tc>
        <w:tc>
          <w:tcPr>
            <w:tcW w:w="1821" w:type="dxa"/>
            <w:tcBorders>
              <w:top w:val="nil"/>
              <w:left w:val="nil"/>
              <w:bottom w:val="nil"/>
              <w:right w:val="nil"/>
            </w:tcBorders>
            <w:shd w:val="clear" w:color="auto" w:fill="auto"/>
            <w:noWrap/>
            <w:vAlign w:val="center"/>
            <w:hideMark/>
          </w:tcPr>
          <w:p w14:paraId="4B0184AE"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440</w:t>
            </w:r>
          </w:p>
        </w:tc>
        <w:tc>
          <w:tcPr>
            <w:tcW w:w="1134" w:type="dxa"/>
            <w:tcBorders>
              <w:top w:val="nil"/>
              <w:left w:val="nil"/>
              <w:bottom w:val="nil"/>
              <w:right w:val="nil"/>
            </w:tcBorders>
            <w:shd w:val="clear" w:color="auto" w:fill="auto"/>
            <w:noWrap/>
            <w:vAlign w:val="center"/>
            <w:hideMark/>
          </w:tcPr>
          <w:p w14:paraId="144BF5E2"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w:t>
            </w:r>
          </w:p>
        </w:tc>
      </w:tr>
      <w:tr w:rsidR="00727819" w:rsidRPr="00727819" w14:paraId="3E603D74" w14:textId="77777777" w:rsidTr="00727819">
        <w:trPr>
          <w:trHeight w:val="320"/>
        </w:trPr>
        <w:tc>
          <w:tcPr>
            <w:tcW w:w="1557" w:type="dxa"/>
            <w:tcBorders>
              <w:top w:val="nil"/>
              <w:left w:val="nil"/>
              <w:bottom w:val="nil"/>
              <w:right w:val="nil"/>
            </w:tcBorders>
            <w:shd w:val="clear" w:color="auto" w:fill="auto"/>
            <w:noWrap/>
            <w:vAlign w:val="center"/>
            <w:hideMark/>
          </w:tcPr>
          <w:p w14:paraId="34B8D6B0" w14:textId="77777777" w:rsidR="00727819" w:rsidRPr="00727819" w:rsidRDefault="00727819">
            <w:pPr>
              <w:rPr>
                <w:rFonts w:ascii="Arial" w:hAnsi="Arial" w:cs="Arial"/>
                <w:color w:val="000000"/>
                <w:sz w:val="18"/>
                <w:szCs w:val="18"/>
              </w:rPr>
            </w:pPr>
            <w:r w:rsidRPr="00727819">
              <w:rPr>
                <w:rFonts w:ascii="Arial" w:hAnsi="Arial" w:cs="Arial"/>
                <w:color w:val="000000"/>
                <w:sz w:val="18"/>
                <w:szCs w:val="18"/>
              </w:rPr>
              <w:t>GBA-PD F</w:t>
            </w:r>
          </w:p>
        </w:tc>
        <w:tc>
          <w:tcPr>
            <w:tcW w:w="1300" w:type="dxa"/>
            <w:tcBorders>
              <w:top w:val="nil"/>
              <w:left w:val="nil"/>
              <w:bottom w:val="nil"/>
              <w:right w:val="nil"/>
            </w:tcBorders>
            <w:shd w:val="clear" w:color="auto" w:fill="auto"/>
            <w:noWrap/>
            <w:vAlign w:val="center"/>
            <w:hideMark/>
          </w:tcPr>
          <w:p w14:paraId="3210E139"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62 (11%)</w:t>
            </w:r>
          </w:p>
        </w:tc>
        <w:tc>
          <w:tcPr>
            <w:tcW w:w="1821" w:type="dxa"/>
            <w:tcBorders>
              <w:top w:val="nil"/>
              <w:left w:val="nil"/>
              <w:bottom w:val="nil"/>
              <w:right w:val="nil"/>
            </w:tcBorders>
            <w:shd w:val="clear" w:color="auto" w:fill="auto"/>
            <w:noWrap/>
            <w:vAlign w:val="center"/>
            <w:hideMark/>
          </w:tcPr>
          <w:p w14:paraId="4C9D25E4"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47 (10.7%)</w:t>
            </w:r>
          </w:p>
        </w:tc>
        <w:tc>
          <w:tcPr>
            <w:tcW w:w="1134" w:type="dxa"/>
            <w:tcBorders>
              <w:top w:val="nil"/>
              <w:left w:val="nil"/>
              <w:bottom w:val="nil"/>
              <w:right w:val="nil"/>
            </w:tcBorders>
            <w:shd w:val="clear" w:color="auto" w:fill="auto"/>
            <w:noWrap/>
            <w:vAlign w:val="center"/>
            <w:hideMark/>
          </w:tcPr>
          <w:p w14:paraId="43C38208"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0.931</w:t>
            </w:r>
          </w:p>
        </w:tc>
      </w:tr>
      <w:tr w:rsidR="00727819" w:rsidRPr="00727819" w14:paraId="53BB4F81" w14:textId="77777777" w:rsidTr="00727819">
        <w:trPr>
          <w:trHeight w:val="320"/>
        </w:trPr>
        <w:tc>
          <w:tcPr>
            <w:tcW w:w="1557" w:type="dxa"/>
            <w:tcBorders>
              <w:top w:val="nil"/>
              <w:left w:val="nil"/>
              <w:bottom w:val="nil"/>
              <w:right w:val="nil"/>
            </w:tcBorders>
            <w:shd w:val="clear" w:color="auto" w:fill="auto"/>
            <w:noWrap/>
            <w:vAlign w:val="center"/>
            <w:hideMark/>
          </w:tcPr>
          <w:p w14:paraId="0D226F19" w14:textId="77777777" w:rsidR="00727819" w:rsidRPr="00727819" w:rsidRDefault="00727819">
            <w:pPr>
              <w:rPr>
                <w:rFonts w:ascii="Arial" w:hAnsi="Arial" w:cs="Arial"/>
                <w:color w:val="000000"/>
                <w:sz w:val="18"/>
                <w:szCs w:val="18"/>
              </w:rPr>
            </w:pPr>
            <w:r w:rsidRPr="00727819">
              <w:rPr>
                <w:rFonts w:ascii="Arial" w:hAnsi="Arial" w:cs="Arial"/>
                <w:color w:val="000000"/>
                <w:sz w:val="18"/>
                <w:szCs w:val="18"/>
              </w:rPr>
              <w:t>GBA-PD M</w:t>
            </w:r>
          </w:p>
        </w:tc>
        <w:tc>
          <w:tcPr>
            <w:tcW w:w="1300" w:type="dxa"/>
            <w:tcBorders>
              <w:top w:val="nil"/>
              <w:left w:val="nil"/>
              <w:bottom w:val="nil"/>
              <w:right w:val="nil"/>
            </w:tcBorders>
            <w:shd w:val="clear" w:color="auto" w:fill="auto"/>
            <w:noWrap/>
            <w:vAlign w:val="center"/>
            <w:hideMark/>
          </w:tcPr>
          <w:p w14:paraId="7D0CD165"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66 (11.8%)</w:t>
            </w:r>
          </w:p>
        </w:tc>
        <w:tc>
          <w:tcPr>
            <w:tcW w:w="1821" w:type="dxa"/>
            <w:tcBorders>
              <w:top w:val="nil"/>
              <w:left w:val="nil"/>
              <w:bottom w:val="nil"/>
              <w:right w:val="nil"/>
            </w:tcBorders>
            <w:shd w:val="clear" w:color="auto" w:fill="auto"/>
            <w:noWrap/>
            <w:vAlign w:val="center"/>
            <w:hideMark/>
          </w:tcPr>
          <w:p w14:paraId="6FC9FC2F"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42 (9.5%)</w:t>
            </w:r>
          </w:p>
        </w:tc>
        <w:tc>
          <w:tcPr>
            <w:tcW w:w="1134" w:type="dxa"/>
            <w:tcBorders>
              <w:top w:val="nil"/>
              <w:left w:val="nil"/>
              <w:bottom w:val="nil"/>
              <w:right w:val="nil"/>
            </w:tcBorders>
            <w:shd w:val="clear" w:color="auto" w:fill="auto"/>
            <w:noWrap/>
            <w:vAlign w:val="center"/>
            <w:hideMark/>
          </w:tcPr>
          <w:p w14:paraId="32DC97E1"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0.618</w:t>
            </w:r>
          </w:p>
        </w:tc>
      </w:tr>
      <w:tr w:rsidR="00727819" w:rsidRPr="00727819" w14:paraId="2B36C253" w14:textId="77777777" w:rsidTr="00727819">
        <w:trPr>
          <w:trHeight w:val="320"/>
        </w:trPr>
        <w:tc>
          <w:tcPr>
            <w:tcW w:w="1557" w:type="dxa"/>
            <w:tcBorders>
              <w:top w:val="nil"/>
              <w:left w:val="nil"/>
              <w:bottom w:val="nil"/>
              <w:right w:val="nil"/>
            </w:tcBorders>
            <w:shd w:val="clear" w:color="auto" w:fill="auto"/>
            <w:noWrap/>
            <w:vAlign w:val="center"/>
            <w:hideMark/>
          </w:tcPr>
          <w:p w14:paraId="53E5ED9D" w14:textId="77777777" w:rsidR="00727819" w:rsidRPr="00727819" w:rsidRDefault="00727819">
            <w:pPr>
              <w:rPr>
                <w:rFonts w:ascii="Arial" w:hAnsi="Arial" w:cs="Arial"/>
                <w:color w:val="000000"/>
                <w:sz w:val="18"/>
                <w:szCs w:val="18"/>
              </w:rPr>
            </w:pPr>
            <w:r w:rsidRPr="00727819">
              <w:rPr>
                <w:rFonts w:ascii="Arial" w:hAnsi="Arial" w:cs="Arial"/>
                <w:color w:val="000000"/>
                <w:sz w:val="18"/>
                <w:szCs w:val="18"/>
              </w:rPr>
              <w:t>nonGBA-PD F</w:t>
            </w:r>
          </w:p>
        </w:tc>
        <w:tc>
          <w:tcPr>
            <w:tcW w:w="1300" w:type="dxa"/>
            <w:tcBorders>
              <w:top w:val="nil"/>
              <w:left w:val="nil"/>
              <w:bottom w:val="nil"/>
              <w:right w:val="nil"/>
            </w:tcBorders>
            <w:shd w:val="clear" w:color="auto" w:fill="auto"/>
            <w:noWrap/>
            <w:vAlign w:val="center"/>
            <w:hideMark/>
          </w:tcPr>
          <w:p w14:paraId="36D99380"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163 (29.2%)</w:t>
            </w:r>
          </w:p>
        </w:tc>
        <w:tc>
          <w:tcPr>
            <w:tcW w:w="1821" w:type="dxa"/>
            <w:tcBorders>
              <w:top w:val="nil"/>
              <w:left w:val="nil"/>
              <w:bottom w:val="nil"/>
              <w:right w:val="nil"/>
            </w:tcBorders>
            <w:shd w:val="clear" w:color="auto" w:fill="auto"/>
            <w:noWrap/>
            <w:vAlign w:val="center"/>
            <w:hideMark/>
          </w:tcPr>
          <w:p w14:paraId="53FC6BD1"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130 (29.5%)</w:t>
            </w:r>
          </w:p>
        </w:tc>
        <w:tc>
          <w:tcPr>
            <w:tcW w:w="1134" w:type="dxa"/>
            <w:tcBorders>
              <w:top w:val="nil"/>
              <w:left w:val="nil"/>
              <w:bottom w:val="nil"/>
              <w:right w:val="nil"/>
            </w:tcBorders>
            <w:shd w:val="clear" w:color="auto" w:fill="auto"/>
            <w:noWrap/>
            <w:vAlign w:val="center"/>
            <w:hideMark/>
          </w:tcPr>
          <w:p w14:paraId="15C1145C"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0.958</w:t>
            </w:r>
          </w:p>
        </w:tc>
      </w:tr>
      <w:tr w:rsidR="00727819" w:rsidRPr="00727819" w14:paraId="76A0694E" w14:textId="77777777" w:rsidTr="00727819">
        <w:trPr>
          <w:trHeight w:val="340"/>
        </w:trPr>
        <w:tc>
          <w:tcPr>
            <w:tcW w:w="1557" w:type="dxa"/>
            <w:tcBorders>
              <w:top w:val="nil"/>
              <w:left w:val="nil"/>
              <w:bottom w:val="double" w:sz="6" w:space="0" w:color="auto"/>
              <w:right w:val="nil"/>
            </w:tcBorders>
            <w:shd w:val="clear" w:color="auto" w:fill="auto"/>
            <w:noWrap/>
            <w:vAlign w:val="center"/>
            <w:hideMark/>
          </w:tcPr>
          <w:p w14:paraId="6EC9A6C4" w14:textId="77777777" w:rsidR="00727819" w:rsidRPr="00727819" w:rsidRDefault="00727819">
            <w:pPr>
              <w:rPr>
                <w:rFonts w:ascii="Arial" w:hAnsi="Arial" w:cs="Arial"/>
                <w:color w:val="000000"/>
                <w:sz w:val="18"/>
                <w:szCs w:val="18"/>
              </w:rPr>
            </w:pPr>
            <w:r w:rsidRPr="00727819">
              <w:rPr>
                <w:rFonts w:ascii="Arial" w:hAnsi="Arial" w:cs="Arial"/>
                <w:color w:val="000000"/>
                <w:sz w:val="18"/>
                <w:szCs w:val="18"/>
              </w:rPr>
              <w:t>nonGBA-PD M</w:t>
            </w:r>
          </w:p>
        </w:tc>
        <w:tc>
          <w:tcPr>
            <w:tcW w:w="1300" w:type="dxa"/>
            <w:tcBorders>
              <w:top w:val="nil"/>
              <w:left w:val="nil"/>
              <w:bottom w:val="double" w:sz="6" w:space="0" w:color="auto"/>
              <w:right w:val="nil"/>
            </w:tcBorders>
            <w:shd w:val="clear" w:color="auto" w:fill="auto"/>
            <w:noWrap/>
            <w:vAlign w:val="center"/>
            <w:hideMark/>
          </w:tcPr>
          <w:p w14:paraId="490FAB62"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269 (48%)</w:t>
            </w:r>
          </w:p>
        </w:tc>
        <w:tc>
          <w:tcPr>
            <w:tcW w:w="1821" w:type="dxa"/>
            <w:tcBorders>
              <w:top w:val="nil"/>
              <w:left w:val="nil"/>
              <w:bottom w:val="double" w:sz="6" w:space="0" w:color="auto"/>
              <w:right w:val="nil"/>
            </w:tcBorders>
            <w:shd w:val="clear" w:color="auto" w:fill="auto"/>
            <w:noWrap/>
            <w:vAlign w:val="center"/>
            <w:hideMark/>
          </w:tcPr>
          <w:p w14:paraId="792EA3F1"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221 (50.2%)</w:t>
            </w:r>
          </w:p>
        </w:tc>
        <w:tc>
          <w:tcPr>
            <w:tcW w:w="1134" w:type="dxa"/>
            <w:tcBorders>
              <w:top w:val="nil"/>
              <w:left w:val="nil"/>
              <w:bottom w:val="double" w:sz="6" w:space="0" w:color="auto"/>
              <w:right w:val="nil"/>
            </w:tcBorders>
            <w:shd w:val="clear" w:color="auto" w:fill="auto"/>
            <w:noWrap/>
            <w:vAlign w:val="center"/>
            <w:hideMark/>
          </w:tcPr>
          <w:p w14:paraId="0D54507C"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0.824</w:t>
            </w:r>
          </w:p>
        </w:tc>
      </w:tr>
    </w:tbl>
    <w:p w14:paraId="32FDEA47" w14:textId="77777777" w:rsidR="000228EE" w:rsidRPr="00CB4391" w:rsidRDefault="000228EE">
      <w:pPr>
        <w:rPr>
          <w:rFonts w:ascii="Arial" w:hAnsi="Arial" w:cs="Arial"/>
        </w:rPr>
      </w:pPr>
    </w:p>
    <w:p w14:paraId="055FCFC2" w14:textId="77777777" w:rsidR="000228EE" w:rsidRPr="00CB4391" w:rsidRDefault="000228EE">
      <w:pPr>
        <w:rPr>
          <w:rFonts w:ascii="Arial" w:hAnsi="Arial" w:cs="Arial"/>
        </w:rPr>
      </w:pPr>
    </w:p>
    <w:p w14:paraId="47B2011F" w14:textId="77777777" w:rsidR="000228EE" w:rsidRPr="00CB4391" w:rsidRDefault="000228EE">
      <w:pPr>
        <w:rPr>
          <w:rFonts w:ascii="Arial" w:hAnsi="Arial" w:cs="Arial"/>
        </w:rPr>
      </w:pPr>
    </w:p>
    <w:p w14:paraId="6B0FE71B" w14:textId="77777777" w:rsidR="00C778BF" w:rsidRDefault="00C778BF">
      <w:pPr>
        <w:rPr>
          <w:rFonts w:ascii="Arial" w:hAnsi="Arial" w:cs="Arial"/>
          <w:b/>
          <w:sz w:val="22"/>
          <w:szCs w:val="22"/>
          <w:lang w:val="en-US"/>
        </w:rPr>
      </w:pPr>
    </w:p>
    <w:p w14:paraId="1D4A88A2" w14:textId="77777777" w:rsidR="00C778BF" w:rsidRDefault="00C778BF">
      <w:pPr>
        <w:rPr>
          <w:rFonts w:ascii="Arial" w:hAnsi="Arial" w:cs="Arial"/>
          <w:b/>
          <w:sz w:val="22"/>
          <w:szCs w:val="22"/>
          <w:lang w:val="en-US"/>
        </w:rPr>
      </w:pPr>
    </w:p>
    <w:p w14:paraId="754B82C2" w14:textId="77777777" w:rsidR="00C778BF" w:rsidRDefault="00C778BF">
      <w:pPr>
        <w:rPr>
          <w:rFonts w:ascii="Arial" w:hAnsi="Arial" w:cs="Arial"/>
          <w:b/>
          <w:sz w:val="22"/>
          <w:szCs w:val="22"/>
          <w:lang w:val="en-US"/>
        </w:rPr>
      </w:pPr>
    </w:p>
    <w:p w14:paraId="0CB4E884" w14:textId="77777777" w:rsidR="00C778BF" w:rsidRDefault="00C778BF">
      <w:pPr>
        <w:rPr>
          <w:rFonts w:ascii="Arial" w:hAnsi="Arial" w:cs="Arial"/>
          <w:b/>
          <w:sz w:val="22"/>
          <w:szCs w:val="22"/>
          <w:lang w:val="en-US"/>
        </w:rPr>
      </w:pPr>
    </w:p>
    <w:p w14:paraId="6B610EE7" w14:textId="77777777" w:rsidR="00C778BF" w:rsidRDefault="00C778BF">
      <w:pPr>
        <w:rPr>
          <w:rFonts w:ascii="Arial" w:hAnsi="Arial" w:cs="Arial"/>
          <w:b/>
          <w:sz w:val="22"/>
          <w:szCs w:val="22"/>
          <w:lang w:val="en-US"/>
        </w:rPr>
      </w:pPr>
    </w:p>
    <w:p w14:paraId="75059EE3" w14:textId="77777777" w:rsidR="00C778BF" w:rsidRDefault="00C778BF">
      <w:pPr>
        <w:rPr>
          <w:rFonts w:ascii="Arial" w:hAnsi="Arial" w:cs="Arial"/>
          <w:b/>
          <w:sz w:val="22"/>
          <w:szCs w:val="22"/>
          <w:lang w:val="en-US"/>
        </w:rPr>
      </w:pPr>
    </w:p>
    <w:p w14:paraId="12E1CC38" w14:textId="1151949E" w:rsidR="000228EE" w:rsidRPr="00CB4391" w:rsidRDefault="00000000">
      <w:pPr>
        <w:rPr>
          <w:rFonts w:ascii="Arial" w:hAnsi="Arial" w:cs="Arial"/>
          <w:b/>
          <w:sz w:val="22"/>
          <w:szCs w:val="22"/>
          <w:lang w:val="en-US"/>
        </w:rPr>
      </w:pPr>
      <w:r w:rsidRPr="00CB4391">
        <w:rPr>
          <w:rFonts w:ascii="Arial" w:hAnsi="Arial" w:cs="Arial"/>
          <w:b/>
          <w:sz w:val="22"/>
          <w:szCs w:val="22"/>
          <w:lang w:val="en-US"/>
        </w:rPr>
        <w:t xml:space="preserve">Supplementary Table </w:t>
      </w:r>
      <w:r w:rsidR="00517351">
        <w:rPr>
          <w:rFonts w:ascii="Arial" w:hAnsi="Arial" w:cs="Arial"/>
          <w:b/>
          <w:sz w:val="22"/>
          <w:szCs w:val="22"/>
          <w:lang w:val="en-US"/>
        </w:rPr>
        <w:t>4</w:t>
      </w:r>
      <w:r w:rsidRPr="00CB4391">
        <w:rPr>
          <w:rFonts w:ascii="Arial" w:hAnsi="Arial" w:cs="Arial"/>
          <w:b/>
          <w:sz w:val="22"/>
          <w:szCs w:val="22"/>
          <w:lang w:val="en-US"/>
        </w:rPr>
        <w:t xml:space="preserve"> </w:t>
      </w:r>
      <w:r w:rsidRPr="00CB4391">
        <w:rPr>
          <w:rFonts w:ascii="Arial" w:hAnsi="Arial" w:cs="Arial"/>
          <w:sz w:val="22"/>
          <w:szCs w:val="22"/>
          <w:lang w:val="en-US"/>
        </w:rPr>
        <w:t>Comparison of genetic variant distribution within the entire GBA-PD cohort between the general population and the 3-year subgroup</w:t>
      </w:r>
    </w:p>
    <w:p w14:paraId="7B643E88" w14:textId="77777777" w:rsidR="000228EE" w:rsidRDefault="000228EE">
      <w:pPr>
        <w:rPr>
          <w:rFonts w:ascii="Arial" w:hAnsi="Arial" w:cs="Arial"/>
          <w:lang w:val="en-US"/>
        </w:rPr>
      </w:pPr>
    </w:p>
    <w:tbl>
      <w:tblPr>
        <w:tblW w:w="11341" w:type="dxa"/>
        <w:tblInd w:w="-709" w:type="dxa"/>
        <w:tblCellMar>
          <w:left w:w="70" w:type="dxa"/>
          <w:right w:w="70" w:type="dxa"/>
        </w:tblCellMar>
        <w:tblLook w:val="04A0" w:firstRow="1" w:lastRow="0" w:firstColumn="1" w:lastColumn="0" w:noHBand="0" w:noVBand="1"/>
      </w:tblPr>
      <w:tblGrid>
        <w:gridCol w:w="891"/>
        <w:gridCol w:w="993"/>
        <w:gridCol w:w="1276"/>
        <w:gridCol w:w="1276"/>
        <w:gridCol w:w="1417"/>
        <w:gridCol w:w="1134"/>
        <w:gridCol w:w="1418"/>
        <w:gridCol w:w="1134"/>
        <w:gridCol w:w="1802"/>
      </w:tblGrid>
      <w:tr w:rsidR="00727819" w:rsidRPr="00727819" w14:paraId="271C7E58" w14:textId="77777777" w:rsidTr="00727819">
        <w:trPr>
          <w:trHeight w:val="340"/>
        </w:trPr>
        <w:tc>
          <w:tcPr>
            <w:tcW w:w="891" w:type="dxa"/>
            <w:tcBorders>
              <w:top w:val="single" w:sz="4" w:space="0" w:color="auto"/>
              <w:left w:val="nil"/>
              <w:bottom w:val="nil"/>
              <w:right w:val="nil"/>
            </w:tcBorders>
            <w:shd w:val="clear" w:color="auto" w:fill="auto"/>
            <w:noWrap/>
            <w:vAlign w:val="center"/>
            <w:hideMark/>
          </w:tcPr>
          <w:p w14:paraId="0A3E0DED" w14:textId="77777777" w:rsidR="00727819" w:rsidRPr="00E63A7C" w:rsidRDefault="00727819">
            <w:pPr>
              <w:rPr>
                <w:rFonts w:ascii="Arial" w:hAnsi="Arial" w:cs="Arial"/>
                <w:b/>
                <w:bCs/>
                <w:color w:val="000000"/>
                <w:sz w:val="18"/>
                <w:szCs w:val="18"/>
                <w:lang w:val="en-GB"/>
              </w:rPr>
            </w:pPr>
            <w:r w:rsidRPr="00727819">
              <w:rPr>
                <w:rFonts w:ascii="Arial" w:hAnsi="Arial" w:cs="Arial"/>
                <w:b/>
                <w:bCs/>
                <w:color w:val="000000"/>
                <w:sz w:val="18"/>
                <w:szCs w:val="18"/>
                <w:lang w:val="en-US"/>
              </w:rPr>
              <w:t> </w:t>
            </w:r>
          </w:p>
        </w:tc>
        <w:tc>
          <w:tcPr>
            <w:tcW w:w="3545" w:type="dxa"/>
            <w:gridSpan w:val="3"/>
            <w:tcBorders>
              <w:top w:val="single" w:sz="4" w:space="0" w:color="auto"/>
              <w:left w:val="nil"/>
              <w:bottom w:val="single" w:sz="8" w:space="0" w:color="auto"/>
              <w:right w:val="nil"/>
            </w:tcBorders>
            <w:shd w:val="clear" w:color="auto" w:fill="auto"/>
            <w:noWrap/>
            <w:vAlign w:val="center"/>
            <w:hideMark/>
          </w:tcPr>
          <w:p w14:paraId="09A8E7A9" w14:textId="77777777" w:rsidR="00727819" w:rsidRPr="00727819" w:rsidRDefault="00727819">
            <w:pPr>
              <w:jc w:val="center"/>
              <w:rPr>
                <w:rFonts w:ascii="Arial" w:hAnsi="Arial" w:cs="Arial"/>
                <w:b/>
                <w:bCs/>
                <w:color w:val="000000"/>
                <w:sz w:val="18"/>
                <w:szCs w:val="18"/>
              </w:rPr>
            </w:pPr>
            <w:r w:rsidRPr="00727819">
              <w:rPr>
                <w:rFonts w:ascii="Arial" w:hAnsi="Arial" w:cs="Arial"/>
                <w:b/>
                <w:bCs/>
                <w:color w:val="000000"/>
                <w:sz w:val="18"/>
                <w:szCs w:val="18"/>
              </w:rPr>
              <w:t>All subjects</w:t>
            </w:r>
          </w:p>
        </w:tc>
        <w:tc>
          <w:tcPr>
            <w:tcW w:w="3969" w:type="dxa"/>
            <w:gridSpan w:val="3"/>
            <w:tcBorders>
              <w:top w:val="single" w:sz="4" w:space="0" w:color="auto"/>
              <w:left w:val="nil"/>
              <w:bottom w:val="single" w:sz="8" w:space="0" w:color="auto"/>
              <w:right w:val="nil"/>
            </w:tcBorders>
            <w:shd w:val="clear" w:color="auto" w:fill="auto"/>
            <w:noWrap/>
            <w:vAlign w:val="center"/>
            <w:hideMark/>
          </w:tcPr>
          <w:p w14:paraId="2FCBF877" w14:textId="77777777" w:rsidR="00727819" w:rsidRPr="00727819" w:rsidRDefault="00727819">
            <w:pPr>
              <w:jc w:val="center"/>
              <w:rPr>
                <w:rFonts w:ascii="Arial" w:hAnsi="Arial" w:cs="Arial"/>
                <w:b/>
                <w:bCs/>
                <w:color w:val="000000"/>
                <w:sz w:val="18"/>
                <w:szCs w:val="18"/>
              </w:rPr>
            </w:pPr>
            <w:r w:rsidRPr="00727819">
              <w:rPr>
                <w:rFonts w:ascii="Arial" w:hAnsi="Arial" w:cs="Arial"/>
                <w:b/>
                <w:bCs/>
                <w:color w:val="000000"/>
                <w:sz w:val="18"/>
                <w:szCs w:val="18"/>
              </w:rPr>
              <w:t>Sub-group (3-year)</w:t>
            </w:r>
          </w:p>
        </w:tc>
        <w:tc>
          <w:tcPr>
            <w:tcW w:w="2936" w:type="dxa"/>
            <w:gridSpan w:val="2"/>
            <w:tcBorders>
              <w:top w:val="single" w:sz="4" w:space="0" w:color="auto"/>
              <w:left w:val="nil"/>
              <w:bottom w:val="single" w:sz="8" w:space="0" w:color="auto"/>
              <w:right w:val="nil"/>
            </w:tcBorders>
            <w:shd w:val="clear" w:color="auto" w:fill="auto"/>
            <w:noWrap/>
            <w:vAlign w:val="center"/>
            <w:hideMark/>
          </w:tcPr>
          <w:p w14:paraId="3F07BE4E" w14:textId="77777777" w:rsidR="00727819" w:rsidRPr="00727819" w:rsidRDefault="00727819">
            <w:pPr>
              <w:jc w:val="center"/>
              <w:rPr>
                <w:rFonts w:ascii="Arial" w:hAnsi="Arial" w:cs="Arial"/>
                <w:b/>
                <w:bCs/>
                <w:color w:val="000000"/>
                <w:sz w:val="18"/>
                <w:szCs w:val="18"/>
              </w:rPr>
            </w:pPr>
            <w:r w:rsidRPr="00727819">
              <w:rPr>
                <w:rFonts w:ascii="Arial" w:hAnsi="Arial" w:cs="Arial"/>
                <w:b/>
                <w:bCs/>
                <w:color w:val="000000"/>
                <w:sz w:val="18"/>
                <w:szCs w:val="18"/>
              </w:rPr>
              <w:t>Comparison across the groups</w:t>
            </w:r>
          </w:p>
        </w:tc>
      </w:tr>
      <w:tr w:rsidR="00727819" w:rsidRPr="00727819" w14:paraId="583064D5" w14:textId="77777777" w:rsidTr="00727819">
        <w:trPr>
          <w:trHeight w:val="360"/>
        </w:trPr>
        <w:tc>
          <w:tcPr>
            <w:tcW w:w="891" w:type="dxa"/>
            <w:tcBorders>
              <w:top w:val="nil"/>
              <w:left w:val="nil"/>
              <w:bottom w:val="double" w:sz="6" w:space="0" w:color="auto"/>
              <w:right w:val="nil"/>
            </w:tcBorders>
            <w:shd w:val="clear" w:color="auto" w:fill="auto"/>
            <w:noWrap/>
            <w:vAlign w:val="center"/>
            <w:hideMark/>
          </w:tcPr>
          <w:p w14:paraId="0B27BECD" w14:textId="77777777" w:rsidR="00727819" w:rsidRPr="00727819" w:rsidRDefault="00727819">
            <w:pPr>
              <w:rPr>
                <w:rFonts w:ascii="Arial" w:hAnsi="Arial" w:cs="Arial"/>
                <w:b/>
                <w:bCs/>
                <w:color w:val="000000"/>
                <w:sz w:val="18"/>
                <w:szCs w:val="18"/>
              </w:rPr>
            </w:pPr>
            <w:r w:rsidRPr="00727819">
              <w:rPr>
                <w:rFonts w:ascii="Arial" w:hAnsi="Arial" w:cs="Arial"/>
                <w:b/>
                <w:bCs/>
                <w:color w:val="000000"/>
                <w:sz w:val="18"/>
                <w:szCs w:val="18"/>
              </w:rPr>
              <w:t> </w:t>
            </w:r>
          </w:p>
        </w:tc>
        <w:tc>
          <w:tcPr>
            <w:tcW w:w="993" w:type="dxa"/>
            <w:tcBorders>
              <w:top w:val="nil"/>
              <w:left w:val="nil"/>
              <w:bottom w:val="double" w:sz="6" w:space="0" w:color="auto"/>
              <w:right w:val="nil"/>
            </w:tcBorders>
            <w:shd w:val="clear" w:color="auto" w:fill="auto"/>
            <w:noWrap/>
            <w:vAlign w:val="center"/>
            <w:hideMark/>
          </w:tcPr>
          <w:p w14:paraId="0ECF873B" w14:textId="77777777" w:rsidR="00727819" w:rsidRPr="00727819" w:rsidRDefault="00727819">
            <w:pPr>
              <w:jc w:val="center"/>
              <w:rPr>
                <w:rFonts w:ascii="Arial" w:hAnsi="Arial" w:cs="Arial"/>
                <w:b/>
                <w:bCs/>
                <w:color w:val="000000"/>
                <w:sz w:val="18"/>
                <w:szCs w:val="18"/>
              </w:rPr>
            </w:pPr>
            <w:r w:rsidRPr="00727819">
              <w:rPr>
                <w:rFonts w:ascii="Arial" w:hAnsi="Arial" w:cs="Arial"/>
                <w:b/>
                <w:bCs/>
                <w:color w:val="000000"/>
                <w:sz w:val="18"/>
                <w:szCs w:val="18"/>
              </w:rPr>
              <w:t>GBA-PD</w:t>
            </w:r>
          </w:p>
        </w:tc>
        <w:tc>
          <w:tcPr>
            <w:tcW w:w="1276" w:type="dxa"/>
            <w:tcBorders>
              <w:top w:val="nil"/>
              <w:left w:val="nil"/>
              <w:bottom w:val="double" w:sz="6" w:space="0" w:color="auto"/>
              <w:right w:val="nil"/>
            </w:tcBorders>
            <w:shd w:val="clear" w:color="auto" w:fill="auto"/>
            <w:noWrap/>
            <w:vAlign w:val="center"/>
            <w:hideMark/>
          </w:tcPr>
          <w:p w14:paraId="4A83A438" w14:textId="77777777" w:rsidR="00727819" w:rsidRPr="00727819" w:rsidRDefault="00727819">
            <w:pPr>
              <w:jc w:val="center"/>
              <w:rPr>
                <w:rFonts w:ascii="Arial" w:hAnsi="Arial" w:cs="Arial"/>
                <w:b/>
                <w:bCs/>
                <w:color w:val="000000"/>
                <w:sz w:val="18"/>
                <w:szCs w:val="18"/>
              </w:rPr>
            </w:pPr>
            <w:r w:rsidRPr="00727819">
              <w:rPr>
                <w:rFonts w:ascii="Arial" w:hAnsi="Arial" w:cs="Arial"/>
                <w:b/>
                <w:bCs/>
                <w:color w:val="000000"/>
                <w:sz w:val="18"/>
                <w:szCs w:val="18"/>
              </w:rPr>
              <w:t>GBA-PD F</w:t>
            </w:r>
          </w:p>
        </w:tc>
        <w:tc>
          <w:tcPr>
            <w:tcW w:w="1276" w:type="dxa"/>
            <w:tcBorders>
              <w:top w:val="nil"/>
              <w:left w:val="nil"/>
              <w:bottom w:val="double" w:sz="6" w:space="0" w:color="auto"/>
              <w:right w:val="single" w:sz="4" w:space="0" w:color="auto"/>
            </w:tcBorders>
            <w:shd w:val="clear" w:color="auto" w:fill="auto"/>
            <w:noWrap/>
            <w:vAlign w:val="center"/>
            <w:hideMark/>
          </w:tcPr>
          <w:p w14:paraId="373FE49E" w14:textId="77777777" w:rsidR="00727819" w:rsidRPr="00727819" w:rsidRDefault="00727819">
            <w:pPr>
              <w:jc w:val="center"/>
              <w:rPr>
                <w:rFonts w:ascii="Arial" w:hAnsi="Arial" w:cs="Arial"/>
                <w:b/>
                <w:bCs/>
                <w:color w:val="000000"/>
                <w:sz w:val="18"/>
                <w:szCs w:val="18"/>
              </w:rPr>
            </w:pPr>
            <w:r w:rsidRPr="00727819">
              <w:rPr>
                <w:rFonts w:ascii="Arial" w:hAnsi="Arial" w:cs="Arial"/>
                <w:b/>
                <w:bCs/>
                <w:color w:val="000000"/>
                <w:sz w:val="18"/>
                <w:szCs w:val="18"/>
              </w:rPr>
              <w:t>GBA-PD M</w:t>
            </w:r>
          </w:p>
        </w:tc>
        <w:tc>
          <w:tcPr>
            <w:tcW w:w="1417" w:type="dxa"/>
            <w:tcBorders>
              <w:top w:val="nil"/>
              <w:left w:val="nil"/>
              <w:bottom w:val="double" w:sz="6" w:space="0" w:color="auto"/>
              <w:right w:val="nil"/>
            </w:tcBorders>
            <w:shd w:val="clear" w:color="auto" w:fill="auto"/>
            <w:noWrap/>
            <w:vAlign w:val="center"/>
            <w:hideMark/>
          </w:tcPr>
          <w:p w14:paraId="293246EF" w14:textId="77777777" w:rsidR="00727819" w:rsidRPr="00727819" w:rsidRDefault="00727819">
            <w:pPr>
              <w:jc w:val="center"/>
              <w:rPr>
                <w:rFonts w:ascii="Arial" w:hAnsi="Arial" w:cs="Arial"/>
                <w:b/>
                <w:bCs/>
                <w:color w:val="000000"/>
                <w:sz w:val="18"/>
                <w:szCs w:val="18"/>
              </w:rPr>
            </w:pPr>
            <w:r w:rsidRPr="00727819">
              <w:rPr>
                <w:rFonts w:ascii="Arial" w:hAnsi="Arial" w:cs="Arial"/>
                <w:b/>
                <w:bCs/>
                <w:color w:val="000000"/>
                <w:sz w:val="18"/>
                <w:szCs w:val="18"/>
              </w:rPr>
              <w:t>GBA-PDs</w:t>
            </w:r>
          </w:p>
        </w:tc>
        <w:tc>
          <w:tcPr>
            <w:tcW w:w="1134" w:type="dxa"/>
            <w:tcBorders>
              <w:top w:val="nil"/>
              <w:left w:val="nil"/>
              <w:bottom w:val="double" w:sz="6" w:space="0" w:color="auto"/>
              <w:right w:val="nil"/>
            </w:tcBorders>
            <w:shd w:val="clear" w:color="auto" w:fill="auto"/>
            <w:noWrap/>
            <w:vAlign w:val="center"/>
            <w:hideMark/>
          </w:tcPr>
          <w:p w14:paraId="08D807E2" w14:textId="77777777" w:rsidR="00727819" w:rsidRPr="00727819" w:rsidRDefault="00727819">
            <w:pPr>
              <w:jc w:val="center"/>
              <w:rPr>
                <w:rFonts w:ascii="Arial" w:hAnsi="Arial" w:cs="Arial"/>
                <w:b/>
                <w:bCs/>
                <w:color w:val="000000"/>
                <w:sz w:val="18"/>
                <w:szCs w:val="18"/>
              </w:rPr>
            </w:pPr>
            <w:r w:rsidRPr="00727819">
              <w:rPr>
                <w:rFonts w:ascii="Arial" w:hAnsi="Arial" w:cs="Arial"/>
                <w:b/>
                <w:bCs/>
                <w:color w:val="000000"/>
                <w:sz w:val="18"/>
                <w:szCs w:val="18"/>
              </w:rPr>
              <w:t>GBA-PD Fs</w:t>
            </w:r>
          </w:p>
        </w:tc>
        <w:tc>
          <w:tcPr>
            <w:tcW w:w="1418" w:type="dxa"/>
            <w:tcBorders>
              <w:top w:val="nil"/>
              <w:left w:val="nil"/>
              <w:bottom w:val="double" w:sz="6" w:space="0" w:color="auto"/>
              <w:right w:val="single" w:sz="4" w:space="0" w:color="auto"/>
            </w:tcBorders>
            <w:shd w:val="clear" w:color="auto" w:fill="auto"/>
            <w:noWrap/>
            <w:vAlign w:val="center"/>
            <w:hideMark/>
          </w:tcPr>
          <w:p w14:paraId="62B32066" w14:textId="77777777" w:rsidR="00727819" w:rsidRPr="00727819" w:rsidRDefault="00727819">
            <w:pPr>
              <w:jc w:val="center"/>
              <w:rPr>
                <w:rFonts w:ascii="Arial" w:hAnsi="Arial" w:cs="Arial"/>
                <w:b/>
                <w:bCs/>
                <w:color w:val="000000"/>
                <w:sz w:val="18"/>
                <w:szCs w:val="18"/>
              </w:rPr>
            </w:pPr>
            <w:r w:rsidRPr="00727819">
              <w:rPr>
                <w:rFonts w:ascii="Arial" w:hAnsi="Arial" w:cs="Arial"/>
                <w:b/>
                <w:bCs/>
                <w:color w:val="000000"/>
                <w:sz w:val="18"/>
                <w:szCs w:val="18"/>
              </w:rPr>
              <w:t>GBA-PD Ms</w:t>
            </w:r>
          </w:p>
        </w:tc>
        <w:tc>
          <w:tcPr>
            <w:tcW w:w="1134" w:type="dxa"/>
            <w:tcBorders>
              <w:top w:val="nil"/>
              <w:left w:val="nil"/>
              <w:bottom w:val="double" w:sz="6" w:space="0" w:color="auto"/>
              <w:right w:val="nil"/>
            </w:tcBorders>
            <w:shd w:val="clear" w:color="auto" w:fill="auto"/>
            <w:noWrap/>
            <w:vAlign w:val="center"/>
            <w:hideMark/>
          </w:tcPr>
          <w:p w14:paraId="0CEEC4D8" w14:textId="77777777" w:rsidR="00727819" w:rsidRPr="00727819" w:rsidRDefault="00727819">
            <w:pPr>
              <w:jc w:val="center"/>
              <w:rPr>
                <w:rFonts w:ascii="Arial" w:hAnsi="Arial" w:cs="Arial"/>
                <w:b/>
                <w:bCs/>
                <w:color w:val="000000"/>
                <w:sz w:val="18"/>
                <w:szCs w:val="18"/>
              </w:rPr>
            </w:pPr>
            <w:r w:rsidRPr="00727819">
              <w:rPr>
                <w:rFonts w:ascii="Arial" w:hAnsi="Arial" w:cs="Arial"/>
                <w:b/>
                <w:bCs/>
                <w:color w:val="000000"/>
                <w:sz w:val="18"/>
                <w:szCs w:val="18"/>
              </w:rPr>
              <w:t>p-value</w:t>
            </w:r>
            <w:r w:rsidRPr="00727819">
              <w:rPr>
                <w:rFonts w:ascii="Arial" w:hAnsi="Arial" w:cs="Arial"/>
                <w:b/>
                <w:bCs/>
                <w:color w:val="000000"/>
                <w:sz w:val="18"/>
                <w:szCs w:val="18"/>
                <w:vertAlign w:val="superscript"/>
              </w:rPr>
              <w:t>a</w:t>
            </w:r>
          </w:p>
        </w:tc>
        <w:tc>
          <w:tcPr>
            <w:tcW w:w="1802" w:type="dxa"/>
            <w:tcBorders>
              <w:top w:val="nil"/>
              <w:left w:val="nil"/>
              <w:bottom w:val="double" w:sz="6" w:space="0" w:color="auto"/>
              <w:right w:val="nil"/>
            </w:tcBorders>
            <w:shd w:val="clear" w:color="auto" w:fill="auto"/>
            <w:noWrap/>
            <w:vAlign w:val="center"/>
            <w:hideMark/>
          </w:tcPr>
          <w:p w14:paraId="3F025980" w14:textId="77777777" w:rsidR="00727819" w:rsidRPr="00727819" w:rsidRDefault="00727819">
            <w:pPr>
              <w:jc w:val="center"/>
              <w:rPr>
                <w:rFonts w:ascii="Arial" w:hAnsi="Arial" w:cs="Arial"/>
                <w:b/>
                <w:bCs/>
                <w:color w:val="000000"/>
                <w:sz w:val="18"/>
                <w:szCs w:val="18"/>
              </w:rPr>
            </w:pPr>
            <w:r w:rsidRPr="00727819">
              <w:rPr>
                <w:rFonts w:ascii="Arial" w:hAnsi="Arial" w:cs="Arial"/>
                <w:b/>
                <w:bCs/>
                <w:color w:val="000000"/>
                <w:sz w:val="18"/>
                <w:szCs w:val="18"/>
              </w:rPr>
              <w:t>p-value</w:t>
            </w:r>
            <w:r w:rsidRPr="00727819">
              <w:rPr>
                <w:rFonts w:ascii="Arial" w:hAnsi="Arial" w:cs="Arial"/>
                <w:b/>
                <w:bCs/>
                <w:color w:val="000000"/>
                <w:sz w:val="18"/>
                <w:szCs w:val="18"/>
                <w:vertAlign w:val="superscript"/>
              </w:rPr>
              <w:t>b</w:t>
            </w:r>
            <w:r w:rsidRPr="00727819">
              <w:rPr>
                <w:rFonts w:ascii="Arial" w:hAnsi="Arial" w:cs="Arial"/>
                <w:b/>
                <w:bCs/>
                <w:color w:val="000000"/>
                <w:sz w:val="18"/>
                <w:szCs w:val="18"/>
              </w:rPr>
              <w:t xml:space="preserve"> </w:t>
            </w:r>
          </w:p>
        </w:tc>
      </w:tr>
      <w:tr w:rsidR="00727819" w:rsidRPr="00727819" w14:paraId="5DCCCD01" w14:textId="77777777" w:rsidTr="00727819">
        <w:trPr>
          <w:trHeight w:val="340"/>
        </w:trPr>
        <w:tc>
          <w:tcPr>
            <w:tcW w:w="891" w:type="dxa"/>
            <w:tcBorders>
              <w:top w:val="nil"/>
              <w:left w:val="nil"/>
              <w:bottom w:val="nil"/>
              <w:right w:val="nil"/>
            </w:tcBorders>
            <w:shd w:val="clear" w:color="auto" w:fill="auto"/>
            <w:noWrap/>
            <w:vAlign w:val="center"/>
            <w:hideMark/>
          </w:tcPr>
          <w:p w14:paraId="53991758" w14:textId="77777777" w:rsidR="00727819" w:rsidRPr="00727819" w:rsidRDefault="00727819">
            <w:pPr>
              <w:rPr>
                <w:rFonts w:ascii="Arial" w:hAnsi="Arial" w:cs="Arial"/>
                <w:color w:val="000000"/>
                <w:sz w:val="18"/>
                <w:szCs w:val="18"/>
              </w:rPr>
            </w:pPr>
            <w:r w:rsidRPr="00727819">
              <w:rPr>
                <w:rFonts w:ascii="Arial" w:hAnsi="Arial" w:cs="Arial"/>
                <w:color w:val="000000"/>
                <w:sz w:val="18"/>
                <w:szCs w:val="18"/>
              </w:rPr>
              <w:t xml:space="preserve">N </w:t>
            </w:r>
          </w:p>
        </w:tc>
        <w:tc>
          <w:tcPr>
            <w:tcW w:w="993" w:type="dxa"/>
            <w:tcBorders>
              <w:top w:val="nil"/>
              <w:left w:val="nil"/>
              <w:bottom w:val="nil"/>
              <w:right w:val="nil"/>
            </w:tcBorders>
            <w:shd w:val="clear" w:color="auto" w:fill="auto"/>
            <w:noWrap/>
            <w:vAlign w:val="center"/>
            <w:hideMark/>
          </w:tcPr>
          <w:p w14:paraId="33216E40"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128</w:t>
            </w:r>
          </w:p>
        </w:tc>
        <w:tc>
          <w:tcPr>
            <w:tcW w:w="1276" w:type="dxa"/>
            <w:tcBorders>
              <w:top w:val="nil"/>
              <w:left w:val="nil"/>
              <w:bottom w:val="nil"/>
              <w:right w:val="nil"/>
            </w:tcBorders>
            <w:shd w:val="clear" w:color="auto" w:fill="auto"/>
            <w:noWrap/>
            <w:vAlign w:val="center"/>
            <w:hideMark/>
          </w:tcPr>
          <w:p w14:paraId="248F5A94"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62 (48.4%)</w:t>
            </w:r>
          </w:p>
        </w:tc>
        <w:tc>
          <w:tcPr>
            <w:tcW w:w="1276" w:type="dxa"/>
            <w:tcBorders>
              <w:top w:val="nil"/>
              <w:left w:val="nil"/>
              <w:bottom w:val="nil"/>
              <w:right w:val="single" w:sz="4" w:space="0" w:color="auto"/>
            </w:tcBorders>
            <w:shd w:val="clear" w:color="auto" w:fill="auto"/>
            <w:noWrap/>
            <w:vAlign w:val="center"/>
            <w:hideMark/>
          </w:tcPr>
          <w:p w14:paraId="2A92A4A0"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66 (51.6%)</w:t>
            </w:r>
          </w:p>
        </w:tc>
        <w:tc>
          <w:tcPr>
            <w:tcW w:w="1417" w:type="dxa"/>
            <w:tcBorders>
              <w:top w:val="nil"/>
              <w:left w:val="nil"/>
              <w:bottom w:val="nil"/>
              <w:right w:val="nil"/>
            </w:tcBorders>
            <w:shd w:val="clear" w:color="auto" w:fill="auto"/>
            <w:noWrap/>
            <w:vAlign w:val="center"/>
            <w:hideMark/>
          </w:tcPr>
          <w:p w14:paraId="56C26531"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88</w:t>
            </w:r>
          </w:p>
        </w:tc>
        <w:tc>
          <w:tcPr>
            <w:tcW w:w="1134" w:type="dxa"/>
            <w:tcBorders>
              <w:top w:val="nil"/>
              <w:left w:val="nil"/>
              <w:bottom w:val="nil"/>
              <w:right w:val="nil"/>
            </w:tcBorders>
            <w:shd w:val="clear" w:color="auto" w:fill="auto"/>
            <w:noWrap/>
            <w:vAlign w:val="center"/>
            <w:hideMark/>
          </w:tcPr>
          <w:p w14:paraId="7AB0E52F"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47 (53.4%)</w:t>
            </w:r>
          </w:p>
        </w:tc>
        <w:tc>
          <w:tcPr>
            <w:tcW w:w="1418" w:type="dxa"/>
            <w:tcBorders>
              <w:top w:val="nil"/>
              <w:left w:val="nil"/>
              <w:bottom w:val="nil"/>
              <w:right w:val="single" w:sz="4" w:space="0" w:color="auto"/>
            </w:tcBorders>
            <w:shd w:val="clear" w:color="auto" w:fill="auto"/>
            <w:noWrap/>
            <w:vAlign w:val="center"/>
            <w:hideMark/>
          </w:tcPr>
          <w:p w14:paraId="6F553ADA"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42 (47.7%)</w:t>
            </w:r>
          </w:p>
        </w:tc>
        <w:tc>
          <w:tcPr>
            <w:tcW w:w="1134" w:type="dxa"/>
            <w:tcBorders>
              <w:top w:val="nil"/>
              <w:left w:val="nil"/>
              <w:bottom w:val="nil"/>
              <w:right w:val="nil"/>
            </w:tcBorders>
            <w:shd w:val="clear" w:color="auto" w:fill="auto"/>
            <w:noWrap/>
            <w:vAlign w:val="center"/>
            <w:hideMark/>
          </w:tcPr>
          <w:p w14:paraId="33BFA3EC" w14:textId="518A10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0.620</w:t>
            </w:r>
          </w:p>
        </w:tc>
        <w:tc>
          <w:tcPr>
            <w:tcW w:w="1802" w:type="dxa"/>
            <w:tcBorders>
              <w:top w:val="nil"/>
              <w:left w:val="nil"/>
              <w:bottom w:val="nil"/>
              <w:right w:val="nil"/>
            </w:tcBorders>
            <w:shd w:val="clear" w:color="auto" w:fill="auto"/>
            <w:noWrap/>
            <w:vAlign w:val="center"/>
            <w:hideMark/>
          </w:tcPr>
          <w:p w14:paraId="5A006FC5"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0.696</w:t>
            </w:r>
          </w:p>
        </w:tc>
      </w:tr>
      <w:tr w:rsidR="00727819" w:rsidRPr="00727819" w14:paraId="3969CAEC" w14:textId="77777777" w:rsidTr="00727819">
        <w:trPr>
          <w:trHeight w:val="320"/>
        </w:trPr>
        <w:tc>
          <w:tcPr>
            <w:tcW w:w="891" w:type="dxa"/>
            <w:tcBorders>
              <w:top w:val="nil"/>
              <w:left w:val="nil"/>
              <w:bottom w:val="nil"/>
              <w:right w:val="nil"/>
            </w:tcBorders>
            <w:shd w:val="clear" w:color="auto" w:fill="auto"/>
            <w:noWrap/>
            <w:vAlign w:val="center"/>
            <w:hideMark/>
          </w:tcPr>
          <w:p w14:paraId="14E1838C" w14:textId="77777777" w:rsidR="00727819" w:rsidRPr="00727819" w:rsidRDefault="00727819">
            <w:pPr>
              <w:rPr>
                <w:rFonts w:ascii="Arial" w:hAnsi="Arial" w:cs="Arial"/>
                <w:color w:val="000000"/>
                <w:sz w:val="18"/>
                <w:szCs w:val="18"/>
              </w:rPr>
            </w:pPr>
            <w:r w:rsidRPr="00727819">
              <w:rPr>
                <w:rFonts w:ascii="Arial" w:hAnsi="Arial" w:cs="Arial"/>
                <w:color w:val="000000"/>
                <w:sz w:val="18"/>
                <w:szCs w:val="18"/>
              </w:rPr>
              <w:t>Risk</w:t>
            </w:r>
          </w:p>
        </w:tc>
        <w:tc>
          <w:tcPr>
            <w:tcW w:w="993" w:type="dxa"/>
            <w:tcBorders>
              <w:top w:val="nil"/>
              <w:left w:val="nil"/>
              <w:bottom w:val="nil"/>
              <w:right w:val="nil"/>
            </w:tcBorders>
            <w:shd w:val="clear" w:color="auto" w:fill="auto"/>
            <w:noWrap/>
            <w:vAlign w:val="center"/>
            <w:hideMark/>
          </w:tcPr>
          <w:p w14:paraId="2A803FB8"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32</w:t>
            </w:r>
          </w:p>
        </w:tc>
        <w:tc>
          <w:tcPr>
            <w:tcW w:w="1276" w:type="dxa"/>
            <w:tcBorders>
              <w:top w:val="nil"/>
              <w:left w:val="nil"/>
              <w:bottom w:val="nil"/>
              <w:right w:val="nil"/>
            </w:tcBorders>
            <w:shd w:val="clear" w:color="auto" w:fill="auto"/>
            <w:noWrap/>
            <w:vAlign w:val="center"/>
            <w:hideMark/>
          </w:tcPr>
          <w:p w14:paraId="15192F9E"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14 (43.7%)</w:t>
            </w:r>
          </w:p>
        </w:tc>
        <w:tc>
          <w:tcPr>
            <w:tcW w:w="1276" w:type="dxa"/>
            <w:tcBorders>
              <w:top w:val="nil"/>
              <w:left w:val="nil"/>
              <w:bottom w:val="nil"/>
              <w:right w:val="single" w:sz="4" w:space="0" w:color="auto"/>
            </w:tcBorders>
            <w:shd w:val="clear" w:color="auto" w:fill="auto"/>
            <w:noWrap/>
            <w:vAlign w:val="center"/>
            <w:hideMark/>
          </w:tcPr>
          <w:p w14:paraId="0244759A"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18 (56.2%)</w:t>
            </w:r>
          </w:p>
        </w:tc>
        <w:tc>
          <w:tcPr>
            <w:tcW w:w="1417" w:type="dxa"/>
            <w:tcBorders>
              <w:top w:val="nil"/>
              <w:left w:val="nil"/>
              <w:bottom w:val="nil"/>
              <w:right w:val="nil"/>
            </w:tcBorders>
            <w:shd w:val="clear" w:color="auto" w:fill="auto"/>
            <w:noWrap/>
            <w:vAlign w:val="center"/>
            <w:hideMark/>
          </w:tcPr>
          <w:p w14:paraId="17604713"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30</w:t>
            </w:r>
          </w:p>
        </w:tc>
        <w:tc>
          <w:tcPr>
            <w:tcW w:w="1134" w:type="dxa"/>
            <w:tcBorders>
              <w:top w:val="nil"/>
              <w:left w:val="nil"/>
              <w:bottom w:val="nil"/>
              <w:right w:val="nil"/>
            </w:tcBorders>
            <w:shd w:val="clear" w:color="auto" w:fill="auto"/>
            <w:noWrap/>
            <w:vAlign w:val="center"/>
            <w:hideMark/>
          </w:tcPr>
          <w:p w14:paraId="63936B3C"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14 (46.6%)</w:t>
            </w:r>
          </w:p>
        </w:tc>
        <w:tc>
          <w:tcPr>
            <w:tcW w:w="1418" w:type="dxa"/>
            <w:tcBorders>
              <w:top w:val="nil"/>
              <w:left w:val="nil"/>
              <w:bottom w:val="nil"/>
              <w:right w:val="single" w:sz="4" w:space="0" w:color="auto"/>
            </w:tcBorders>
            <w:shd w:val="clear" w:color="auto" w:fill="auto"/>
            <w:noWrap/>
            <w:vAlign w:val="center"/>
            <w:hideMark/>
          </w:tcPr>
          <w:p w14:paraId="2985CAA5"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16 (53.3%)</w:t>
            </w:r>
          </w:p>
        </w:tc>
        <w:tc>
          <w:tcPr>
            <w:tcW w:w="1134" w:type="dxa"/>
            <w:tcBorders>
              <w:top w:val="nil"/>
              <w:left w:val="nil"/>
              <w:bottom w:val="nil"/>
              <w:right w:val="nil"/>
            </w:tcBorders>
            <w:shd w:val="clear" w:color="auto" w:fill="auto"/>
            <w:noWrap/>
            <w:vAlign w:val="center"/>
            <w:hideMark/>
          </w:tcPr>
          <w:p w14:paraId="0CBBDA5C" w14:textId="38A6758E"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0.760</w:t>
            </w:r>
          </w:p>
        </w:tc>
        <w:tc>
          <w:tcPr>
            <w:tcW w:w="1802" w:type="dxa"/>
            <w:tcBorders>
              <w:top w:val="nil"/>
              <w:left w:val="nil"/>
              <w:bottom w:val="nil"/>
              <w:right w:val="nil"/>
            </w:tcBorders>
            <w:shd w:val="clear" w:color="auto" w:fill="auto"/>
            <w:noWrap/>
            <w:vAlign w:val="center"/>
            <w:hideMark/>
          </w:tcPr>
          <w:p w14:paraId="1DB4BAAA"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0.782</w:t>
            </w:r>
          </w:p>
        </w:tc>
      </w:tr>
      <w:tr w:rsidR="00727819" w:rsidRPr="00727819" w14:paraId="5AE3E7D6" w14:textId="77777777" w:rsidTr="00727819">
        <w:trPr>
          <w:trHeight w:val="320"/>
        </w:trPr>
        <w:tc>
          <w:tcPr>
            <w:tcW w:w="891" w:type="dxa"/>
            <w:tcBorders>
              <w:top w:val="nil"/>
              <w:left w:val="nil"/>
              <w:bottom w:val="nil"/>
              <w:right w:val="nil"/>
            </w:tcBorders>
            <w:shd w:val="clear" w:color="auto" w:fill="auto"/>
            <w:noWrap/>
            <w:vAlign w:val="center"/>
            <w:hideMark/>
          </w:tcPr>
          <w:p w14:paraId="2A9A9E4C" w14:textId="77777777" w:rsidR="00727819" w:rsidRPr="00727819" w:rsidRDefault="00727819">
            <w:pPr>
              <w:rPr>
                <w:rFonts w:ascii="Arial" w:hAnsi="Arial" w:cs="Arial"/>
                <w:color w:val="000000"/>
                <w:sz w:val="18"/>
                <w:szCs w:val="18"/>
              </w:rPr>
            </w:pPr>
            <w:r w:rsidRPr="00727819">
              <w:rPr>
                <w:rFonts w:ascii="Arial" w:hAnsi="Arial" w:cs="Arial"/>
                <w:color w:val="000000"/>
                <w:sz w:val="18"/>
                <w:szCs w:val="18"/>
              </w:rPr>
              <w:t>Mild</w:t>
            </w:r>
          </w:p>
        </w:tc>
        <w:tc>
          <w:tcPr>
            <w:tcW w:w="993" w:type="dxa"/>
            <w:tcBorders>
              <w:top w:val="nil"/>
              <w:left w:val="nil"/>
              <w:bottom w:val="nil"/>
              <w:right w:val="nil"/>
            </w:tcBorders>
            <w:shd w:val="clear" w:color="auto" w:fill="auto"/>
            <w:noWrap/>
            <w:vAlign w:val="center"/>
            <w:hideMark/>
          </w:tcPr>
          <w:p w14:paraId="08B785EE"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72</w:t>
            </w:r>
          </w:p>
        </w:tc>
        <w:tc>
          <w:tcPr>
            <w:tcW w:w="1276" w:type="dxa"/>
            <w:tcBorders>
              <w:top w:val="nil"/>
              <w:left w:val="nil"/>
              <w:bottom w:val="nil"/>
              <w:right w:val="nil"/>
            </w:tcBorders>
            <w:shd w:val="clear" w:color="auto" w:fill="auto"/>
            <w:noWrap/>
            <w:vAlign w:val="center"/>
            <w:hideMark/>
          </w:tcPr>
          <w:p w14:paraId="0399B768"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37 (51.4%)</w:t>
            </w:r>
          </w:p>
        </w:tc>
        <w:tc>
          <w:tcPr>
            <w:tcW w:w="1276" w:type="dxa"/>
            <w:tcBorders>
              <w:top w:val="nil"/>
              <w:left w:val="nil"/>
              <w:bottom w:val="nil"/>
              <w:right w:val="single" w:sz="4" w:space="0" w:color="auto"/>
            </w:tcBorders>
            <w:shd w:val="clear" w:color="auto" w:fill="auto"/>
            <w:noWrap/>
            <w:vAlign w:val="center"/>
            <w:hideMark/>
          </w:tcPr>
          <w:p w14:paraId="3B1DD03F"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35 (48.6%)</w:t>
            </w:r>
          </w:p>
        </w:tc>
        <w:tc>
          <w:tcPr>
            <w:tcW w:w="1417" w:type="dxa"/>
            <w:tcBorders>
              <w:top w:val="nil"/>
              <w:left w:val="nil"/>
              <w:bottom w:val="nil"/>
              <w:right w:val="nil"/>
            </w:tcBorders>
            <w:shd w:val="clear" w:color="auto" w:fill="auto"/>
            <w:noWrap/>
            <w:vAlign w:val="center"/>
            <w:hideMark/>
          </w:tcPr>
          <w:p w14:paraId="01CAD4F6"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43</w:t>
            </w:r>
          </w:p>
        </w:tc>
        <w:tc>
          <w:tcPr>
            <w:tcW w:w="1134" w:type="dxa"/>
            <w:tcBorders>
              <w:top w:val="nil"/>
              <w:left w:val="nil"/>
              <w:bottom w:val="nil"/>
              <w:right w:val="nil"/>
            </w:tcBorders>
            <w:shd w:val="clear" w:color="auto" w:fill="auto"/>
            <w:noWrap/>
            <w:vAlign w:val="center"/>
            <w:hideMark/>
          </w:tcPr>
          <w:p w14:paraId="5D588D33"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25 (58.1%)</w:t>
            </w:r>
          </w:p>
        </w:tc>
        <w:tc>
          <w:tcPr>
            <w:tcW w:w="1418" w:type="dxa"/>
            <w:tcBorders>
              <w:top w:val="nil"/>
              <w:left w:val="nil"/>
              <w:bottom w:val="nil"/>
              <w:right w:val="single" w:sz="4" w:space="0" w:color="auto"/>
            </w:tcBorders>
            <w:shd w:val="clear" w:color="auto" w:fill="auto"/>
            <w:noWrap/>
            <w:vAlign w:val="center"/>
            <w:hideMark/>
          </w:tcPr>
          <w:p w14:paraId="292DC156"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18 (41.8%)</w:t>
            </w:r>
          </w:p>
        </w:tc>
        <w:tc>
          <w:tcPr>
            <w:tcW w:w="1134" w:type="dxa"/>
            <w:tcBorders>
              <w:top w:val="nil"/>
              <w:left w:val="nil"/>
              <w:bottom w:val="nil"/>
              <w:right w:val="nil"/>
            </w:tcBorders>
            <w:shd w:val="clear" w:color="auto" w:fill="auto"/>
            <w:noWrap/>
            <w:vAlign w:val="center"/>
            <w:hideMark/>
          </w:tcPr>
          <w:p w14:paraId="5B5EC89F"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0.522</w:t>
            </w:r>
          </w:p>
        </w:tc>
        <w:tc>
          <w:tcPr>
            <w:tcW w:w="1802" w:type="dxa"/>
            <w:tcBorders>
              <w:top w:val="nil"/>
              <w:left w:val="nil"/>
              <w:bottom w:val="nil"/>
              <w:right w:val="nil"/>
            </w:tcBorders>
            <w:shd w:val="clear" w:color="auto" w:fill="auto"/>
            <w:noWrap/>
            <w:vAlign w:val="center"/>
            <w:hideMark/>
          </w:tcPr>
          <w:p w14:paraId="5E43676F"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0.474</w:t>
            </w:r>
          </w:p>
        </w:tc>
      </w:tr>
      <w:tr w:rsidR="00727819" w:rsidRPr="00727819" w14:paraId="366773F7" w14:textId="77777777" w:rsidTr="00727819">
        <w:trPr>
          <w:trHeight w:val="340"/>
        </w:trPr>
        <w:tc>
          <w:tcPr>
            <w:tcW w:w="891" w:type="dxa"/>
            <w:tcBorders>
              <w:top w:val="nil"/>
              <w:left w:val="nil"/>
              <w:bottom w:val="nil"/>
              <w:right w:val="nil"/>
            </w:tcBorders>
            <w:shd w:val="clear" w:color="auto" w:fill="auto"/>
            <w:noWrap/>
            <w:vAlign w:val="center"/>
            <w:hideMark/>
          </w:tcPr>
          <w:p w14:paraId="7441E6C3" w14:textId="77777777" w:rsidR="00727819" w:rsidRPr="00727819" w:rsidRDefault="00727819">
            <w:pPr>
              <w:rPr>
                <w:rFonts w:ascii="Arial" w:hAnsi="Arial" w:cs="Arial"/>
                <w:color w:val="000000"/>
                <w:sz w:val="18"/>
                <w:szCs w:val="18"/>
              </w:rPr>
            </w:pPr>
            <w:r w:rsidRPr="00727819">
              <w:rPr>
                <w:rFonts w:ascii="Arial" w:hAnsi="Arial" w:cs="Arial"/>
                <w:color w:val="000000"/>
                <w:sz w:val="18"/>
                <w:szCs w:val="18"/>
              </w:rPr>
              <w:t>Severe</w:t>
            </w:r>
          </w:p>
        </w:tc>
        <w:tc>
          <w:tcPr>
            <w:tcW w:w="993" w:type="dxa"/>
            <w:tcBorders>
              <w:top w:val="nil"/>
              <w:left w:val="nil"/>
              <w:bottom w:val="nil"/>
              <w:right w:val="nil"/>
            </w:tcBorders>
            <w:shd w:val="clear" w:color="auto" w:fill="auto"/>
            <w:noWrap/>
            <w:vAlign w:val="center"/>
            <w:hideMark/>
          </w:tcPr>
          <w:p w14:paraId="1F3EC7DE"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14</w:t>
            </w:r>
          </w:p>
        </w:tc>
        <w:tc>
          <w:tcPr>
            <w:tcW w:w="1276" w:type="dxa"/>
            <w:tcBorders>
              <w:top w:val="nil"/>
              <w:left w:val="nil"/>
              <w:bottom w:val="nil"/>
              <w:right w:val="nil"/>
            </w:tcBorders>
            <w:shd w:val="clear" w:color="auto" w:fill="auto"/>
            <w:noWrap/>
            <w:vAlign w:val="center"/>
            <w:hideMark/>
          </w:tcPr>
          <w:p w14:paraId="46866165"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5 (35.7%)</w:t>
            </w:r>
          </w:p>
        </w:tc>
        <w:tc>
          <w:tcPr>
            <w:tcW w:w="1276" w:type="dxa"/>
            <w:tcBorders>
              <w:top w:val="nil"/>
              <w:left w:val="nil"/>
              <w:bottom w:val="nil"/>
              <w:right w:val="single" w:sz="4" w:space="0" w:color="auto"/>
            </w:tcBorders>
            <w:shd w:val="clear" w:color="auto" w:fill="auto"/>
            <w:noWrap/>
            <w:vAlign w:val="center"/>
            <w:hideMark/>
          </w:tcPr>
          <w:p w14:paraId="2C53400D"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9 (64.3%)</w:t>
            </w:r>
          </w:p>
        </w:tc>
        <w:tc>
          <w:tcPr>
            <w:tcW w:w="1417" w:type="dxa"/>
            <w:tcBorders>
              <w:top w:val="nil"/>
              <w:left w:val="nil"/>
              <w:bottom w:val="nil"/>
              <w:right w:val="nil"/>
            </w:tcBorders>
            <w:shd w:val="clear" w:color="auto" w:fill="auto"/>
            <w:noWrap/>
            <w:vAlign w:val="center"/>
            <w:hideMark/>
          </w:tcPr>
          <w:p w14:paraId="10CCFCD4"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6</w:t>
            </w:r>
          </w:p>
        </w:tc>
        <w:tc>
          <w:tcPr>
            <w:tcW w:w="1134" w:type="dxa"/>
            <w:tcBorders>
              <w:top w:val="nil"/>
              <w:left w:val="nil"/>
              <w:bottom w:val="nil"/>
              <w:right w:val="nil"/>
            </w:tcBorders>
            <w:shd w:val="clear" w:color="auto" w:fill="auto"/>
            <w:noWrap/>
            <w:vAlign w:val="center"/>
            <w:hideMark/>
          </w:tcPr>
          <w:p w14:paraId="230C1D25"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3 (50%)</w:t>
            </w:r>
          </w:p>
        </w:tc>
        <w:tc>
          <w:tcPr>
            <w:tcW w:w="1418" w:type="dxa"/>
            <w:tcBorders>
              <w:top w:val="nil"/>
              <w:left w:val="nil"/>
              <w:bottom w:val="nil"/>
              <w:right w:val="single" w:sz="4" w:space="0" w:color="auto"/>
            </w:tcBorders>
            <w:shd w:val="clear" w:color="auto" w:fill="auto"/>
            <w:noWrap/>
            <w:vAlign w:val="center"/>
            <w:hideMark/>
          </w:tcPr>
          <w:p w14:paraId="22C6DCE6"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 xml:space="preserve"> 3 (50%)</w:t>
            </w:r>
          </w:p>
        </w:tc>
        <w:tc>
          <w:tcPr>
            <w:tcW w:w="1134" w:type="dxa"/>
            <w:tcBorders>
              <w:top w:val="nil"/>
              <w:left w:val="nil"/>
              <w:bottom w:val="nil"/>
              <w:right w:val="nil"/>
            </w:tcBorders>
            <w:shd w:val="clear" w:color="auto" w:fill="auto"/>
            <w:noWrap/>
            <w:vAlign w:val="center"/>
            <w:hideMark/>
          </w:tcPr>
          <w:p w14:paraId="42152FD5"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0.122</w:t>
            </w:r>
          </w:p>
        </w:tc>
        <w:tc>
          <w:tcPr>
            <w:tcW w:w="1802" w:type="dxa"/>
            <w:tcBorders>
              <w:top w:val="nil"/>
              <w:left w:val="nil"/>
              <w:bottom w:val="nil"/>
              <w:right w:val="nil"/>
            </w:tcBorders>
            <w:shd w:val="clear" w:color="auto" w:fill="auto"/>
            <w:noWrap/>
            <w:vAlign w:val="center"/>
            <w:hideMark/>
          </w:tcPr>
          <w:p w14:paraId="41D8D4C5"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0.181</w:t>
            </w:r>
          </w:p>
        </w:tc>
      </w:tr>
      <w:tr w:rsidR="00727819" w:rsidRPr="00727819" w14:paraId="057A9EDB" w14:textId="77777777" w:rsidTr="00727819">
        <w:trPr>
          <w:trHeight w:val="360"/>
        </w:trPr>
        <w:tc>
          <w:tcPr>
            <w:tcW w:w="891" w:type="dxa"/>
            <w:tcBorders>
              <w:top w:val="nil"/>
              <w:left w:val="nil"/>
              <w:bottom w:val="double" w:sz="6" w:space="0" w:color="auto"/>
              <w:right w:val="nil"/>
            </w:tcBorders>
            <w:shd w:val="clear" w:color="auto" w:fill="auto"/>
            <w:noWrap/>
            <w:vAlign w:val="center"/>
            <w:hideMark/>
          </w:tcPr>
          <w:p w14:paraId="39D8A1DF" w14:textId="2A9E7422" w:rsidR="00727819" w:rsidRPr="00727819" w:rsidRDefault="00727819">
            <w:pPr>
              <w:rPr>
                <w:rFonts w:ascii="Arial" w:hAnsi="Arial" w:cs="Arial"/>
                <w:color w:val="000000"/>
                <w:sz w:val="18"/>
                <w:szCs w:val="18"/>
              </w:rPr>
            </w:pPr>
            <w:r w:rsidRPr="00727819">
              <w:rPr>
                <w:rFonts w:ascii="Arial" w:hAnsi="Arial" w:cs="Arial"/>
                <w:color w:val="000000"/>
                <w:sz w:val="18"/>
                <w:szCs w:val="18"/>
              </w:rPr>
              <w:t>Unknown</w:t>
            </w:r>
          </w:p>
        </w:tc>
        <w:tc>
          <w:tcPr>
            <w:tcW w:w="993" w:type="dxa"/>
            <w:tcBorders>
              <w:top w:val="nil"/>
              <w:left w:val="nil"/>
              <w:bottom w:val="double" w:sz="6" w:space="0" w:color="auto"/>
              <w:right w:val="nil"/>
            </w:tcBorders>
            <w:shd w:val="clear" w:color="auto" w:fill="auto"/>
            <w:noWrap/>
            <w:vAlign w:val="center"/>
            <w:hideMark/>
          </w:tcPr>
          <w:p w14:paraId="46C6CB5E"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8</w:t>
            </w:r>
          </w:p>
        </w:tc>
        <w:tc>
          <w:tcPr>
            <w:tcW w:w="1276" w:type="dxa"/>
            <w:tcBorders>
              <w:top w:val="nil"/>
              <w:left w:val="nil"/>
              <w:bottom w:val="double" w:sz="6" w:space="0" w:color="auto"/>
              <w:right w:val="nil"/>
            </w:tcBorders>
            <w:shd w:val="clear" w:color="auto" w:fill="auto"/>
            <w:noWrap/>
            <w:vAlign w:val="center"/>
            <w:hideMark/>
          </w:tcPr>
          <w:p w14:paraId="5374A971"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4 (50%)</w:t>
            </w:r>
          </w:p>
        </w:tc>
        <w:tc>
          <w:tcPr>
            <w:tcW w:w="1276" w:type="dxa"/>
            <w:tcBorders>
              <w:top w:val="nil"/>
              <w:left w:val="nil"/>
              <w:bottom w:val="double" w:sz="6" w:space="0" w:color="auto"/>
              <w:right w:val="single" w:sz="4" w:space="0" w:color="auto"/>
            </w:tcBorders>
            <w:shd w:val="clear" w:color="auto" w:fill="auto"/>
            <w:noWrap/>
            <w:vAlign w:val="center"/>
            <w:hideMark/>
          </w:tcPr>
          <w:p w14:paraId="3D953B27"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4 (50%)</w:t>
            </w:r>
          </w:p>
        </w:tc>
        <w:tc>
          <w:tcPr>
            <w:tcW w:w="1417" w:type="dxa"/>
            <w:tcBorders>
              <w:top w:val="nil"/>
              <w:left w:val="nil"/>
              <w:bottom w:val="double" w:sz="6" w:space="0" w:color="auto"/>
              <w:right w:val="nil"/>
            </w:tcBorders>
            <w:shd w:val="clear" w:color="auto" w:fill="auto"/>
            <w:noWrap/>
            <w:vAlign w:val="center"/>
            <w:hideMark/>
          </w:tcPr>
          <w:p w14:paraId="210B1E9D"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8</w:t>
            </w:r>
          </w:p>
        </w:tc>
        <w:tc>
          <w:tcPr>
            <w:tcW w:w="1134" w:type="dxa"/>
            <w:tcBorders>
              <w:top w:val="nil"/>
              <w:left w:val="nil"/>
              <w:bottom w:val="double" w:sz="6" w:space="0" w:color="auto"/>
              <w:right w:val="nil"/>
            </w:tcBorders>
            <w:shd w:val="clear" w:color="auto" w:fill="auto"/>
            <w:noWrap/>
            <w:vAlign w:val="center"/>
            <w:hideMark/>
          </w:tcPr>
          <w:p w14:paraId="42A21F89"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5 (62.5%)</w:t>
            </w:r>
          </w:p>
        </w:tc>
        <w:tc>
          <w:tcPr>
            <w:tcW w:w="1418" w:type="dxa"/>
            <w:tcBorders>
              <w:top w:val="nil"/>
              <w:left w:val="nil"/>
              <w:bottom w:val="double" w:sz="6" w:space="0" w:color="auto"/>
              <w:right w:val="single" w:sz="4" w:space="0" w:color="auto"/>
            </w:tcBorders>
            <w:shd w:val="clear" w:color="auto" w:fill="auto"/>
            <w:noWrap/>
            <w:vAlign w:val="center"/>
            <w:hideMark/>
          </w:tcPr>
          <w:p w14:paraId="60A0B4F1"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 xml:space="preserve">3 (37.5%) </w:t>
            </w:r>
          </w:p>
        </w:tc>
        <w:tc>
          <w:tcPr>
            <w:tcW w:w="1134" w:type="dxa"/>
            <w:tcBorders>
              <w:top w:val="nil"/>
              <w:left w:val="nil"/>
              <w:bottom w:val="double" w:sz="6" w:space="0" w:color="auto"/>
              <w:right w:val="nil"/>
            </w:tcBorders>
            <w:shd w:val="clear" w:color="auto" w:fill="auto"/>
            <w:noWrap/>
            <w:vAlign w:val="center"/>
            <w:hideMark/>
          </w:tcPr>
          <w:p w14:paraId="104A6A27"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0.239</w:t>
            </w:r>
          </w:p>
        </w:tc>
        <w:tc>
          <w:tcPr>
            <w:tcW w:w="1802" w:type="dxa"/>
            <w:tcBorders>
              <w:top w:val="nil"/>
              <w:left w:val="nil"/>
              <w:bottom w:val="double" w:sz="6" w:space="0" w:color="auto"/>
              <w:right w:val="nil"/>
            </w:tcBorders>
            <w:shd w:val="clear" w:color="auto" w:fill="auto"/>
            <w:noWrap/>
            <w:vAlign w:val="center"/>
            <w:hideMark/>
          </w:tcPr>
          <w:p w14:paraId="11D72387" w14:textId="77777777" w:rsidR="00727819" w:rsidRPr="00727819" w:rsidRDefault="00727819">
            <w:pPr>
              <w:jc w:val="center"/>
              <w:rPr>
                <w:rFonts w:ascii="Arial" w:hAnsi="Arial" w:cs="Arial"/>
                <w:color w:val="000000"/>
                <w:sz w:val="18"/>
                <w:szCs w:val="18"/>
              </w:rPr>
            </w:pPr>
            <w:r w:rsidRPr="00727819">
              <w:rPr>
                <w:rFonts w:ascii="Arial" w:hAnsi="Arial" w:cs="Arial"/>
                <w:color w:val="000000"/>
                <w:sz w:val="18"/>
                <w:szCs w:val="18"/>
              </w:rPr>
              <w:t>0.181</w:t>
            </w:r>
          </w:p>
        </w:tc>
      </w:tr>
    </w:tbl>
    <w:p w14:paraId="1D377899" w14:textId="77777777" w:rsidR="00727819" w:rsidRPr="00CB4391" w:rsidRDefault="00727819">
      <w:pPr>
        <w:rPr>
          <w:rFonts w:ascii="Arial" w:hAnsi="Arial" w:cs="Arial"/>
          <w:lang w:val="en-US"/>
        </w:rPr>
      </w:pPr>
    </w:p>
    <w:p w14:paraId="0599DC20" w14:textId="77777777" w:rsidR="000228EE" w:rsidRPr="00CB4391" w:rsidRDefault="00000000">
      <w:pPr>
        <w:rPr>
          <w:rFonts w:ascii="Arial" w:hAnsi="Arial" w:cs="Arial"/>
          <w:sz w:val="20"/>
          <w:szCs w:val="20"/>
          <w:lang w:val="en-US"/>
        </w:rPr>
      </w:pPr>
      <w:r w:rsidRPr="00CB4391">
        <w:rPr>
          <w:rFonts w:ascii="Arial" w:hAnsi="Arial" w:cs="Arial"/>
          <w:sz w:val="20"/>
          <w:szCs w:val="20"/>
          <w:vertAlign w:val="superscript"/>
          <w:lang w:val="en-US"/>
        </w:rPr>
        <w:t>a</w:t>
      </w:r>
      <w:r w:rsidRPr="00CB4391">
        <w:rPr>
          <w:rFonts w:ascii="Arial" w:hAnsi="Arial" w:cs="Arial"/>
          <w:sz w:val="20"/>
          <w:szCs w:val="20"/>
          <w:lang w:val="en-US"/>
        </w:rPr>
        <w:t>= comparison between GBA-PD F patients in the total population and the 3-year subgroup (GBA-PD F</w:t>
      </w:r>
      <w:r w:rsidRPr="00CB4391">
        <w:rPr>
          <w:rFonts w:ascii="Arial" w:hAnsi="Arial" w:cs="Arial"/>
          <w:sz w:val="20"/>
          <w:szCs w:val="20"/>
          <w:vertAlign w:val="subscript"/>
          <w:lang w:val="en-US"/>
        </w:rPr>
        <w:t>s</w:t>
      </w:r>
      <w:r w:rsidRPr="00CB4391">
        <w:rPr>
          <w:rFonts w:ascii="Arial" w:hAnsi="Arial" w:cs="Arial"/>
          <w:sz w:val="20"/>
          <w:szCs w:val="20"/>
          <w:lang w:val="en-US"/>
        </w:rPr>
        <w:t>).</w:t>
      </w:r>
    </w:p>
    <w:p w14:paraId="7A9E70B8" w14:textId="77777777" w:rsidR="000228EE" w:rsidRPr="00CB4391" w:rsidRDefault="00000000">
      <w:pPr>
        <w:rPr>
          <w:rFonts w:ascii="Arial" w:hAnsi="Arial" w:cs="Arial"/>
          <w:sz w:val="20"/>
          <w:szCs w:val="20"/>
          <w:lang w:val="en-US"/>
        </w:rPr>
      </w:pPr>
      <w:r w:rsidRPr="00CB4391">
        <w:rPr>
          <w:rFonts w:ascii="Arial" w:hAnsi="Arial" w:cs="Arial"/>
          <w:sz w:val="20"/>
          <w:szCs w:val="20"/>
          <w:vertAlign w:val="superscript"/>
          <w:lang w:val="en-US"/>
        </w:rPr>
        <w:t>b</w:t>
      </w:r>
      <w:r w:rsidRPr="00CB4391">
        <w:rPr>
          <w:rFonts w:ascii="Arial" w:hAnsi="Arial" w:cs="Arial"/>
          <w:sz w:val="20"/>
          <w:szCs w:val="20"/>
          <w:lang w:val="en-US"/>
        </w:rPr>
        <w:t xml:space="preserve">= comparison between GBA-PD M patients in the total population and the 3-year subgroup (GBA-PD </w:t>
      </w:r>
      <w:proofErr w:type="spellStart"/>
      <w:r w:rsidRPr="00CB4391">
        <w:rPr>
          <w:rFonts w:ascii="Arial" w:hAnsi="Arial" w:cs="Arial"/>
          <w:sz w:val="20"/>
          <w:szCs w:val="20"/>
          <w:lang w:val="en-US"/>
        </w:rPr>
        <w:t>M</w:t>
      </w:r>
      <w:r w:rsidRPr="00CB4391">
        <w:rPr>
          <w:rFonts w:ascii="Arial" w:hAnsi="Arial" w:cs="Arial"/>
          <w:sz w:val="20"/>
          <w:szCs w:val="20"/>
          <w:vertAlign w:val="subscript"/>
          <w:lang w:val="en-US"/>
        </w:rPr>
        <w:t>s</w:t>
      </w:r>
      <w:proofErr w:type="spellEnd"/>
      <w:r w:rsidRPr="00CB4391">
        <w:rPr>
          <w:rFonts w:ascii="Arial" w:hAnsi="Arial" w:cs="Arial"/>
          <w:sz w:val="20"/>
          <w:szCs w:val="20"/>
          <w:lang w:val="en-US"/>
        </w:rPr>
        <w:t>).</w:t>
      </w:r>
    </w:p>
    <w:p w14:paraId="2B572C6B" w14:textId="77777777" w:rsidR="000228EE" w:rsidRPr="00CB4391" w:rsidRDefault="00000000">
      <w:pPr>
        <w:rPr>
          <w:rFonts w:ascii="Arial" w:hAnsi="Arial" w:cs="Arial"/>
          <w:sz w:val="20"/>
          <w:szCs w:val="20"/>
          <w:lang w:val="en-US"/>
        </w:rPr>
      </w:pPr>
      <w:r w:rsidRPr="00CB4391">
        <w:rPr>
          <w:rFonts w:ascii="Arial" w:hAnsi="Arial" w:cs="Arial"/>
          <w:sz w:val="20"/>
          <w:szCs w:val="20"/>
          <w:lang w:val="en-US"/>
        </w:rPr>
        <w:t>Significant p-values (p &lt; 0.05) are reported in bold.</w:t>
      </w:r>
    </w:p>
    <w:p w14:paraId="4A4FDC2A" w14:textId="77777777" w:rsidR="000228EE" w:rsidRPr="00CB4391" w:rsidRDefault="000228EE">
      <w:pPr>
        <w:rPr>
          <w:rFonts w:ascii="Arial" w:hAnsi="Arial" w:cs="Arial"/>
          <w:lang w:val="en-US"/>
        </w:rPr>
      </w:pPr>
    </w:p>
    <w:p w14:paraId="0F42FA5E" w14:textId="77777777" w:rsidR="00887A30" w:rsidRPr="00CB4391" w:rsidRDefault="00887A30">
      <w:pPr>
        <w:rPr>
          <w:rFonts w:ascii="Arial" w:hAnsi="Arial" w:cs="Arial"/>
          <w:lang w:val="en-US"/>
        </w:rPr>
      </w:pPr>
    </w:p>
    <w:p w14:paraId="6A632F15" w14:textId="77777777" w:rsidR="00981D8D" w:rsidRPr="00CB4391" w:rsidRDefault="00981D8D">
      <w:pPr>
        <w:rPr>
          <w:rFonts w:ascii="Arial" w:hAnsi="Arial" w:cs="Arial"/>
          <w:b/>
          <w:sz w:val="22"/>
          <w:szCs w:val="22"/>
          <w:lang w:val="en-US"/>
        </w:rPr>
      </w:pPr>
    </w:p>
    <w:p w14:paraId="2CA2B9E5" w14:textId="54BC05BE" w:rsidR="000228EE" w:rsidRPr="00CB4391" w:rsidRDefault="00C778BF">
      <w:pPr>
        <w:rPr>
          <w:rFonts w:ascii="Arial" w:hAnsi="Arial" w:cs="Arial"/>
          <w:b/>
          <w:sz w:val="22"/>
          <w:szCs w:val="22"/>
          <w:lang w:val="en-US"/>
        </w:rPr>
      </w:pPr>
      <w:r>
        <w:rPr>
          <w:rFonts w:ascii="Arial" w:hAnsi="Arial" w:cs="Arial"/>
          <w:b/>
          <w:sz w:val="22"/>
          <w:szCs w:val="22"/>
          <w:lang w:val="en-US"/>
        </w:rPr>
        <w:br w:type="page"/>
      </w:r>
      <w:r w:rsidRPr="00CB4391">
        <w:rPr>
          <w:rFonts w:ascii="Arial" w:hAnsi="Arial" w:cs="Arial"/>
          <w:b/>
          <w:sz w:val="22"/>
          <w:szCs w:val="22"/>
          <w:lang w:val="en-US"/>
        </w:rPr>
        <w:lastRenderedPageBreak/>
        <w:t xml:space="preserve">Supplementary Table </w:t>
      </w:r>
      <w:r w:rsidR="00444C2E">
        <w:rPr>
          <w:rFonts w:ascii="Arial" w:hAnsi="Arial" w:cs="Arial"/>
          <w:b/>
          <w:sz w:val="22"/>
          <w:szCs w:val="22"/>
          <w:lang w:val="en-US"/>
        </w:rPr>
        <w:t>5</w:t>
      </w:r>
      <w:r w:rsidRPr="00CB4391">
        <w:rPr>
          <w:rFonts w:ascii="Arial" w:hAnsi="Arial" w:cs="Arial"/>
          <w:b/>
          <w:sz w:val="22"/>
          <w:szCs w:val="22"/>
          <w:lang w:val="en-US"/>
        </w:rPr>
        <w:t xml:space="preserve"> </w:t>
      </w:r>
      <w:r w:rsidRPr="00CB4391">
        <w:rPr>
          <w:rFonts w:ascii="Arial" w:hAnsi="Arial" w:cs="Arial"/>
          <w:sz w:val="22"/>
          <w:szCs w:val="22"/>
          <w:lang w:val="en-US"/>
        </w:rPr>
        <w:t>Comparison of demographic and clinical characteristics of GBA-PD and nonGBA-PD groups vs GBA-PD</w:t>
      </w:r>
      <w:r w:rsidRPr="00CB4391">
        <w:rPr>
          <w:rFonts w:ascii="Arial" w:hAnsi="Arial" w:cs="Arial"/>
          <w:sz w:val="22"/>
          <w:szCs w:val="22"/>
          <w:vertAlign w:val="subscript"/>
          <w:lang w:val="en-US"/>
        </w:rPr>
        <w:t>s</w:t>
      </w:r>
      <w:r w:rsidRPr="00CB4391">
        <w:rPr>
          <w:rFonts w:ascii="Arial" w:hAnsi="Arial" w:cs="Arial"/>
          <w:sz w:val="22"/>
          <w:szCs w:val="22"/>
          <w:lang w:val="en-US"/>
        </w:rPr>
        <w:t xml:space="preserve"> and nonGBA-PD</w:t>
      </w:r>
      <w:r w:rsidRPr="00CB4391">
        <w:rPr>
          <w:rFonts w:ascii="Arial" w:hAnsi="Arial" w:cs="Arial"/>
          <w:sz w:val="22"/>
          <w:szCs w:val="22"/>
          <w:vertAlign w:val="subscript"/>
          <w:lang w:val="en-US"/>
        </w:rPr>
        <w:t>s</w:t>
      </w:r>
      <w:r w:rsidRPr="00CB4391">
        <w:rPr>
          <w:rFonts w:ascii="Arial" w:hAnsi="Arial" w:cs="Arial"/>
          <w:sz w:val="22"/>
          <w:szCs w:val="22"/>
          <w:lang w:val="en-US"/>
        </w:rPr>
        <w:t xml:space="preserve"> sub-groups</w:t>
      </w:r>
      <w:r w:rsidRPr="00CB4391">
        <w:rPr>
          <w:rFonts w:ascii="Arial" w:hAnsi="Arial" w:cs="Arial"/>
          <w:sz w:val="22"/>
          <w:szCs w:val="22"/>
          <w:lang w:val="en-US"/>
        </w:rPr>
        <w:br/>
      </w:r>
    </w:p>
    <w:tbl>
      <w:tblPr>
        <w:tblW w:w="10916" w:type="dxa"/>
        <w:tblInd w:w="-284" w:type="dxa"/>
        <w:tblCellMar>
          <w:left w:w="70" w:type="dxa"/>
          <w:right w:w="70" w:type="dxa"/>
        </w:tblCellMar>
        <w:tblLook w:val="04A0" w:firstRow="1" w:lastRow="0" w:firstColumn="1" w:lastColumn="0" w:noHBand="0" w:noVBand="1"/>
      </w:tblPr>
      <w:tblGrid>
        <w:gridCol w:w="2700"/>
        <w:gridCol w:w="1234"/>
        <w:gridCol w:w="1366"/>
        <w:gridCol w:w="1362"/>
        <w:gridCol w:w="1377"/>
        <w:gridCol w:w="1290"/>
        <w:gridCol w:w="1587"/>
      </w:tblGrid>
      <w:tr w:rsidR="00444C2E" w:rsidRPr="00444C2E" w14:paraId="42ED0341" w14:textId="77777777" w:rsidTr="00444C2E">
        <w:trPr>
          <w:trHeight w:val="340"/>
        </w:trPr>
        <w:tc>
          <w:tcPr>
            <w:tcW w:w="2700" w:type="dxa"/>
            <w:tcBorders>
              <w:top w:val="single" w:sz="4" w:space="0" w:color="auto"/>
              <w:left w:val="nil"/>
              <w:bottom w:val="nil"/>
              <w:right w:val="nil"/>
            </w:tcBorders>
            <w:shd w:val="clear" w:color="auto" w:fill="auto"/>
            <w:noWrap/>
            <w:vAlign w:val="bottom"/>
            <w:hideMark/>
          </w:tcPr>
          <w:p w14:paraId="67C179E7" w14:textId="77777777" w:rsidR="00444C2E" w:rsidRPr="00E63A7C" w:rsidRDefault="00444C2E">
            <w:pPr>
              <w:rPr>
                <w:rFonts w:ascii="Arial" w:hAnsi="Arial" w:cs="Arial"/>
                <w:b/>
                <w:bCs/>
                <w:color w:val="000000"/>
                <w:sz w:val="18"/>
                <w:szCs w:val="18"/>
                <w:lang w:val="en-GB"/>
              </w:rPr>
            </w:pPr>
            <w:r w:rsidRPr="00444C2E">
              <w:rPr>
                <w:rFonts w:ascii="Arial" w:hAnsi="Arial" w:cs="Arial"/>
                <w:b/>
                <w:bCs/>
                <w:color w:val="000000"/>
                <w:sz w:val="18"/>
                <w:szCs w:val="18"/>
                <w:lang w:val="en-US"/>
              </w:rPr>
              <w:t> </w:t>
            </w:r>
          </w:p>
        </w:tc>
        <w:tc>
          <w:tcPr>
            <w:tcW w:w="2600" w:type="dxa"/>
            <w:gridSpan w:val="2"/>
            <w:tcBorders>
              <w:top w:val="single" w:sz="4" w:space="0" w:color="auto"/>
              <w:left w:val="nil"/>
              <w:bottom w:val="single" w:sz="8" w:space="0" w:color="auto"/>
              <w:right w:val="nil"/>
            </w:tcBorders>
            <w:shd w:val="clear" w:color="auto" w:fill="auto"/>
            <w:noWrap/>
            <w:vAlign w:val="center"/>
            <w:hideMark/>
          </w:tcPr>
          <w:p w14:paraId="046E7993" w14:textId="77777777" w:rsidR="00444C2E" w:rsidRPr="00444C2E" w:rsidRDefault="00444C2E">
            <w:pPr>
              <w:jc w:val="center"/>
              <w:rPr>
                <w:rFonts w:ascii="Arial" w:hAnsi="Arial" w:cs="Arial"/>
                <w:b/>
                <w:bCs/>
                <w:color w:val="000000"/>
                <w:sz w:val="18"/>
                <w:szCs w:val="18"/>
              </w:rPr>
            </w:pPr>
            <w:r w:rsidRPr="00444C2E">
              <w:rPr>
                <w:rFonts w:ascii="Arial" w:hAnsi="Arial" w:cs="Arial"/>
                <w:b/>
                <w:bCs/>
                <w:color w:val="000000"/>
                <w:sz w:val="18"/>
                <w:szCs w:val="18"/>
              </w:rPr>
              <w:t>All subjects</w:t>
            </w:r>
          </w:p>
        </w:tc>
        <w:tc>
          <w:tcPr>
            <w:tcW w:w="2739" w:type="dxa"/>
            <w:gridSpan w:val="2"/>
            <w:tcBorders>
              <w:top w:val="single" w:sz="4" w:space="0" w:color="auto"/>
              <w:left w:val="nil"/>
              <w:bottom w:val="single" w:sz="8" w:space="0" w:color="auto"/>
              <w:right w:val="nil"/>
            </w:tcBorders>
            <w:shd w:val="clear" w:color="auto" w:fill="auto"/>
            <w:noWrap/>
            <w:vAlign w:val="center"/>
            <w:hideMark/>
          </w:tcPr>
          <w:p w14:paraId="1D3AAA09" w14:textId="77777777" w:rsidR="00444C2E" w:rsidRPr="00444C2E" w:rsidRDefault="00444C2E">
            <w:pPr>
              <w:jc w:val="center"/>
              <w:rPr>
                <w:rFonts w:ascii="Arial" w:hAnsi="Arial" w:cs="Arial"/>
                <w:b/>
                <w:bCs/>
                <w:color w:val="000000"/>
                <w:sz w:val="18"/>
                <w:szCs w:val="18"/>
              </w:rPr>
            </w:pPr>
            <w:r w:rsidRPr="00444C2E">
              <w:rPr>
                <w:rFonts w:ascii="Arial" w:hAnsi="Arial" w:cs="Arial"/>
                <w:b/>
                <w:bCs/>
                <w:color w:val="000000"/>
                <w:sz w:val="18"/>
                <w:szCs w:val="18"/>
              </w:rPr>
              <w:t>Sub-group (3-years)</w:t>
            </w:r>
          </w:p>
        </w:tc>
        <w:tc>
          <w:tcPr>
            <w:tcW w:w="2877" w:type="dxa"/>
            <w:gridSpan w:val="2"/>
            <w:tcBorders>
              <w:top w:val="single" w:sz="4" w:space="0" w:color="auto"/>
              <w:left w:val="nil"/>
              <w:bottom w:val="single" w:sz="8" w:space="0" w:color="auto"/>
              <w:right w:val="nil"/>
            </w:tcBorders>
            <w:shd w:val="clear" w:color="auto" w:fill="auto"/>
            <w:noWrap/>
            <w:vAlign w:val="center"/>
            <w:hideMark/>
          </w:tcPr>
          <w:p w14:paraId="6E99E67F" w14:textId="77777777" w:rsidR="00444C2E" w:rsidRPr="00444C2E" w:rsidRDefault="00444C2E">
            <w:pPr>
              <w:jc w:val="center"/>
              <w:rPr>
                <w:rFonts w:ascii="Arial" w:hAnsi="Arial" w:cs="Arial"/>
                <w:b/>
                <w:bCs/>
                <w:color w:val="000000"/>
                <w:sz w:val="18"/>
                <w:szCs w:val="18"/>
              </w:rPr>
            </w:pPr>
            <w:r w:rsidRPr="00444C2E">
              <w:rPr>
                <w:rFonts w:ascii="Arial" w:hAnsi="Arial" w:cs="Arial"/>
                <w:b/>
                <w:bCs/>
                <w:color w:val="000000"/>
                <w:sz w:val="18"/>
                <w:szCs w:val="18"/>
              </w:rPr>
              <w:t>Comparison across the groups</w:t>
            </w:r>
          </w:p>
        </w:tc>
      </w:tr>
      <w:tr w:rsidR="00444C2E" w:rsidRPr="00444C2E" w14:paraId="4CC15069" w14:textId="77777777" w:rsidTr="00444C2E">
        <w:trPr>
          <w:trHeight w:val="340"/>
        </w:trPr>
        <w:tc>
          <w:tcPr>
            <w:tcW w:w="2700" w:type="dxa"/>
            <w:tcBorders>
              <w:top w:val="nil"/>
              <w:left w:val="nil"/>
              <w:bottom w:val="double" w:sz="6" w:space="0" w:color="auto"/>
              <w:right w:val="nil"/>
            </w:tcBorders>
            <w:shd w:val="clear" w:color="auto" w:fill="auto"/>
            <w:noWrap/>
            <w:vAlign w:val="bottom"/>
            <w:hideMark/>
          </w:tcPr>
          <w:p w14:paraId="19A2AD7B" w14:textId="77777777" w:rsidR="00444C2E" w:rsidRPr="00444C2E" w:rsidRDefault="00444C2E">
            <w:pPr>
              <w:rPr>
                <w:rFonts w:ascii="Arial" w:hAnsi="Arial" w:cs="Arial"/>
                <w:b/>
                <w:bCs/>
                <w:color w:val="000000"/>
                <w:sz w:val="18"/>
                <w:szCs w:val="18"/>
              </w:rPr>
            </w:pPr>
            <w:r w:rsidRPr="00444C2E">
              <w:rPr>
                <w:rFonts w:ascii="Arial" w:hAnsi="Arial" w:cs="Arial"/>
                <w:b/>
                <w:bCs/>
                <w:color w:val="000000"/>
                <w:sz w:val="18"/>
                <w:szCs w:val="18"/>
              </w:rPr>
              <w:t> </w:t>
            </w:r>
          </w:p>
        </w:tc>
        <w:tc>
          <w:tcPr>
            <w:tcW w:w="1234" w:type="dxa"/>
            <w:tcBorders>
              <w:top w:val="nil"/>
              <w:left w:val="nil"/>
              <w:bottom w:val="double" w:sz="6" w:space="0" w:color="auto"/>
              <w:right w:val="nil"/>
            </w:tcBorders>
            <w:shd w:val="clear" w:color="auto" w:fill="auto"/>
            <w:noWrap/>
            <w:vAlign w:val="center"/>
            <w:hideMark/>
          </w:tcPr>
          <w:p w14:paraId="10E60B7F" w14:textId="77777777" w:rsidR="00444C2E" w:rsidRPr="00444C2E" w:rsidRDefault="00444C2E">
            <w:pPr>
              <w:jc w:val="center"/>
              <w:rPr>
                <w:rFonts w:ascii="Arial" w:hAnsi="Arial" w:cs="Arial"/>
                <w:b/>
                <w:bCs/>
                <w:color w:val="000000"/>
                <w:sz w:val="18"/>
                <w:szCs w:val="18"/>
              </w:rPr>
            </w:pPr>
            <w:r w:rsidRPr="00444C2E">
              <w:rPr>
                <w:rFonts w:ascii="Arial" w:hAnsi="Arial" w:cs="Arial"/>
                <w:b/>
                <w:bCs/>
                <w:color w:val="000000"/>
                <w:sz w:val="18"/>
                <w:szCs w:val="18"/>
              </w:rPr>
              <w:t>GBA-PD</w:t>
            </w:r>
          </w:p>
        </w:tc>
        <w:tc>
          <w:tcPr>
            <w:tcW w:w="1366" w:type="dxa"/>
            <w:tcBorders>
              <w:top w:val="nil"/>
              <w:left w:val="nil"/>
              <w:bottom w:val="double" w:sz="6" w:space="0" w:color="auto"/>
              <w:right w:val="nil"/>
            </w:tcBorders>
            <w:shd w:val="clear" w:color="auto" w:fill="auto"/>
            <w:noWrap/>
            <w:vAlign w:val="center"/>
            <w:hideMark/>
          </w:tcPr>
          <w:p w14:paraId="6453C95F" w14:textId="77777777" w:rsidR="00444C2E" w:rsidRPr="00444C2E" w:rsidRDefault="00444C2E">
            <w:pPr>
              <w:jc w:val="center"/>
              <w:rPr>
                <w:rFonts w:ascii="Arial" w:hAnsi="Arial" w:cs="Arial"/>
                <w:b/>
                <w:bCs/>
                <w:color w:val="000000"/>
                <w:sz w:val="18"/>
                <w:szCs w:val="18"/>
              </w:rPr>
            </w:pPr>
            <w:r w:rsidRPr="00444C2E">
              <w:rPr>
                <w:rFonts w:ascii="Arial" w:hAnsi="Arial" w:cs="Arial"/>
                <w:b/>
                <w:bCs/>
                <w:color w:val="000000"/>
                <w:sz w:val="18"/>
                <w:szCs w:val="18"/>
              </w:rPr>
              <w:t>nonGBA-PD</w:t>
            </w:r>
          </w:p>
        </w:tc>
        <w:tc>
          <w:tcPr>
            <w:tcW w:w="1362" w:type="dxa"/>
            <w:tcBorders>
              <w:top w:val="nil"/>
              <w:left w:val="nil"/>
              <w:bottom w:val="double" w:sz="6" w:space="0" w:color="auto"/>
              <w:right w:val="nil"/>
            </w:tcBorders>
            <w:shd w:val="clear" w:color="auto" w:fill="auto"/>
            <w:noWrap/>
            <w:vAlign w:val="center"/>
            <w:hideMark/>
          </w:tcPr>
          <w:p w14:paraId="7D61313A" w14:textId="77777777" w:rsidR="00444C2E" w:rsidRPr="00444C2E" w:rsidRDefault="00444C2E">
            <w:pPr>
              <w:jc w:val="center"/>
              <w:rPr>
                <w:rFonts w:ascii="Arial" w:hAnsi="Arial" w:cs="Arial"/>
                <w:b/>
                <w:bCs/>
                <w:color w:val="000000"/>
                <w:sz w:val="18"/>
                <w:szCs w:val="18"/>
              </w:rPr>
            </w:pPr>
            <w:r w:rsidRPr="00444C2E">
              <w:rPr>
                <w:rFonts w:ascii="Arial" w:hAnsi="Arial" w:cs="Arial"/>
                <w:b/>
                <w:bCs/>
                <w:color w:val="000000"/>
                <w:sz w:val="18"/>
                <w:szCs w:val="18"/>
              </w:rPr>
              <w:t>GBA-PDs</w:t>
            </w:r>
          </w:p>
        </w:tc>
        <w:tc>
          <w:tcPr>
            <w:tcW w:w="1377" w:type="dxa"/>
            <w:tcBorders>
              <w:top w:val="nil"/>
              <w:left w:val="nil"/>
              <w:bottom w:val="double" w:sz="6" w:space="0" w:color="auto"/>
              <w:right w:val="single" w:sz="4" w:space="0" w:color="auto"/>
            </w:tcBorders>
            <w:shd w:val="clear" w:color="auto" w:fill="auto"/>
            <w:noWrap/>
            <w:vAlign w:val="center"/>
            <w:hideMark/>
          </w:tcPr>
          <w:p w14:paraId="14AA779B" w14:textId="77777777" w:rsidR="00444C2E" w:rsidRPr="00444C2E" w:rsidRDefault="00444C2E">
            <w:pPr>
              <w:jc w:val="center"/>
              <w:rPr>
                <w:rFonts w:ascii="Arial" w:hAnsi="Arial" w:cs="Arial"/>
                <w:b/>
                <w:bCs/>
                <w:color w:val="000000"/>
                <w:sz w:val="18"/>
                <w:szCs w:val="18"/>
              </w:rPr>
            </w:pPr>
            <w:r w:rsidRPr="00444C2E">
              <w:rPr>
                <w:rFonts w:ascii="Arial" w:hAnsi="Arial" w:cs="Arial"/>
                <w:b/>
                <w:bCs/>
                <w:color w:val="000000"/>
                <w:sz w:val="18"/>
                <w:szCs w:val="18"/>
              </w:rPr>
              <w:t>nonGBA-PDs</w:t>
            </w:r>
          </w:p>
        </w:tc>
        <w:tc>
          <w:tcPr>
            <w:tcW w:w="1290" w:type="dxa"/>
            <w:tcBorders>
              <w:top w:val="nil"/>
              <w:left w:val="single" w:sz="4" w:space="0" w:color="auto"/>
              <w:bottom w:val="double" w:sz="6" w:space="0" w:color="auto"/>
              <w:right w:val="nil"/>
            </w:tcBorders>
            <w:shd w:val="clear" w:color="auto" w:fill="auto"/>
            <w:noWrap/>
            <w:vAlign w:val="center"/>
            <w:hideMark/>
          </w:tcPr>
          <w:p w14:paraId="6ABB40C2" w14:textId="77777777" w:rsidR="00444C2E" w:rsidRPr="00444C2E" w:rsidRDefault="00444C2E">
            <w:pPr>
              <w:jc w:val="center"/>
              <w:rPr>
                <w:rFonts w:ascii="Arial" w:hAnsi="Arial" w:cs="Arial"/>
                <w:b/>
                <w:bCs/>
                <w:color w:val="000000"/>
                <w:sz w:val="18"/>
                <w:szCs w:val="18"/>
              </w:rPr>
            </w:pPr>
            <w:r w:rsidRPr="00444C2E">
              <w:rPr>
                <w:rFonts w:ascii="Arial" w:hAnsi="Arial" w:cs="Arial"/>
                <w:b/>
                <w:bCs/>
                <w:color w:val="000000"/>
                <w:sz w:val="18"/>
                <w:szCs w:val="18"/>
              </w:rPr>
              <w:t>p-value</w:t>
            </w:r>
            <w:r w:rsidRPr="00444C2E">
              <w:rPr>
                <w:rFonts w:ascii="Arial" w:hAnsi="Arial" w:cs="Arial"/>
                <w:b/>
                <w:bCs/>
                <w:color w:val="000000"/>
                <w:sz w:val="18"/>
                <w:szCs w:val="18"/>
                <w:vertAlign w:val="superscript"/>
              </w:rPr>
              <w:t>a</w:t>
            </w:r>
          </w:p>
        </w:tc>
        <w:tc>
          <w:tcPr>
            <w:tcW w:w="1587" w:type="dxa"/>
            <w:tcBorders>
              <w:top w:val="nil"/>
              <w:left w:val="nil"/>
              <w:bottom w:val="double" w:sz="6" w:space="0" w:color="auto"/>
              <w:right w:val="nil"/>
            </w:tcBorders>
            <w:shd w:val="clear" w:color="auto" w:fill="auto"/>
            <w:noWrap/>
            <w:vAlign w:val="center"/>
            <w:hideMark/>
          </w:tcPr>
          <w:p w14:paraId="2CB04F4F" w14:textId="77777777" w:rsidR="00444C2E" w:rsidRPr="00444C2E" w:rsidRDefault="00444C2E">
            <w:pPr>
              <w:jc w:val="center"/>
              <w:rPr>
                <w:rFonts w:ascii="Arial" w:hAnsi="Arial" w:cs="Arial"/>
                <w:b/>
                <w:bCs/>
                <w:color w:val="000000"/>
                <w:sz w:val="18"/>
                <w:szCs w:val="18"/>
              </w:rPr>
            </w:pPr>
            <w:r w:rsidRPr="00444C2E">
              <w:rPr>
                <w:rFonts w:ascii="Arial" w:hAnsi="Arial" w:cs="Arial"/>
                <w:b/>
                <w:bCs/>
                <w:color w:val="000000"/>
                <w:sz w:val="18"/>
                <w:szCs w:val="18"/>
              </w:rPr>
              <w:t>p-value</w:t>
            </w:r>
            <w:r w:rsidRPr="00444C2E">
              <w:rPr>
                <w:rFonts w:ascii="Arial" w:hAnsi="Arial" w:cs="Arial"/>
                <w:b/>
                <w:bCs/>
                <w:color w:val="000000"/>
                <w:sz w:val="18"/>
                <w:szCs w:val="18"/>
                <w:vertAlign w:val="superscript"/>
              </w:rPr>
              <w:t>b</w:t>
            </w:r>
          </w:p>
        </w:tc>
      </w:tr>
      <w:tr w:rsidR="00444C2E" w:rsidRPr="00444C2E" w14:paraId="07C4A49E" w14:textId="77777777" w:rsidTr="00444C2E">
        <w:trPr>
          <w:trHeight w:val="340"/>
        </w:trPr>
        <w:tc>
          <w:tcPr>
            <w:tcW w:w="2700" w:type="dxa"/>
            <w:tcBorders>
              <w:top w:val="nil"/>
              <w:left w:val="nil"/>
              <w:bottom w:val="nil"/>
              <w:right w:val="nil"/>
            </w:tcBorders>
            <w:shd w:val="clear" w:color="auto" w:fill="auto"/>
            <w:noWrap/>
            <w:vAlign w:val="center"/>
            <w:hideMark/>
          </w:tcPr>
          <w:p w14:paraId="2F36AFE1" w14:textId="77777777" w:rsidR="00444C2E" w:rsidRPr="00444C2E" w:rsidRDefault="00444C2E">
            <w:pPr>
              <w:rPr>
                <w:rFonts w:ascii="Arial" w:hAnsi="Arial" w:cs="Arial"/>
                <w:color w:val="000000"/>
                <w:sz w:val="18"/>
                <w:szCs w:val="18"/>
              </w:rPr>
            </w:pPr>
            <w:r w:rsidRPr="00444C2E">
              <w:rPr>
                <w:rFonts w:ascii="Arial" w:hAnsi="Arial" w:cs="Arial"/>
                <w:color w:val="000000"/>
                <w:sz w:val="18"/>
                <w:szCs w:val="18"/>
              </w:rPr>
              <w:t>N (%)</w:t>
            </w:r>
          </w:p>
        </w:tc>
        <w:tc>
          <w:tcPr>
            <w:tcW w:w="1234" w:type="dxa"/>
            <w:tcBorders>
              <w:top w:val="nil"/>
              <w:left w:val="nil"/>
              <w:bottom w:val="nil"/>
              <w:right w:val="nil"/>
            </w:tcBorders>
            <w:shd w:val="clear" w:color="auto" w:fill="auto"/>
            <w:noWrap/>
            <w:vAlign w:val="center"/>
            <w:hideMark/>
          </w:tcPr>
          <w:p w14:paraId="60060C26"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128 (22.8%)</w:t>
            </w:r>
          </w:p>
        </w:tc>
        <w:tc>
          <w:tcPr>
            <w:tcW w:w="1366" w:type="dxa"/>
            <w:tcBorders>
              <w:top w:val="nil"/>
              <w:left w:val="nil"/>
              <w:bottom w:val="nil"/>
              <w:right w:val="nil"/>
            </w:tcBorders>
            <w:shd w:val="clear" w:color="auto" w:fill="auto"/>
            <w:noWrap/>
            <w:vAlign w:val="center"/>
            <w:hideMark/>
          </w:tcPr>
          <w:p w14:paraId="630CFD99"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432 (77.2%)</w:t>
            </w:r>
          </w:p>
        </w:tc>
        <w:tc>
          <w:tcPr>
            <w:tcW w:w="1362" w:type="dxa"/>
            <w:tcBorders>
              <w:top w:val="nil"/>
              <w:left w:val="nil"/>
              <w:bottom w:val="nil"/>
              <w:right w:val="nil"/>
            </w:tcBorders>
            <w:shd w:val="clear" w:color="auto" w:fill="auto"/>
            <w:noWrap/>
            <w:vAlign w:val="center"/>
            <w:hideMark/>
          </w:tcPr>
          <w:p w14:paraId="0469B0BA"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89 (20.1%)</w:t>
            </w:r>
          </w:p>
        </w:tc>
        <w:tc>
          <w:tcPr>
            <w:tcW w:w="1377" w:type="dxa"/>
            <w:tcBorders>
              <w:top w:val="nil"/>
              <w:left w:val="nil"/>
              <w:bottom w:val="nil"/>
              <w:right w:val="single" w:sz="4" w:space="0" w:color="auto"/>
            </w:tcBorders>
            <w:shd w:val="clear" w:color="auto" w:fill="auto"/>
            <w:noWrap/>
            <w:vAlign w:val="center"/>
            <w:hideMark/>
          </w:tcPr>
          <w:p w14:paraId="65AD7063"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351 (79.4%)</w:t>
            </w:r>
          </w:p>
        </w:tc>
        <w:tc>
          <w:tcPr>
            <w:tcW w:w="1290" w:type="dxa"/>
            <w:tcBorders>
              <w:top w:val="nil"/>
              <w:left w:val="single" w:sz="4" w:space="0" w:color="auto"/>
              <w:bottom w:val="nil"/>
              <w:right w:val="nil"/>
            </w:tcBorders>
            <w:shd w:val="clear" w:color="auto" w:fill="auto"/>
            <w:noWrap/>
            <w:vAlign w:val="center"/>
            <w:hideMark/>
          </w:tcPr>
          <w:p w14:paraId="49BD753C"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0.680</w:t>
            </w:r>
          </w:p>
        </w:tc>
        <w:tc>
          <w:tcPr>
            <w:tcW w:w="1587" w:type="dxa"/>
            <w:tcBorders>
              <w:top w:val="nil"/>
              <w:left w:val="nil"/>
              <w:bottom w:val="nil"/>
              <w:right w:val="nil"/>
            </w:tcBorders>
            <w:shd w:val="clear" w:color="auto" w:fill="auto"/>
            <w:noWrap/>
            <w:vAlign w:val="center"/>
            <w:hideMark/>
          </w:tcPr>
          <w:p w14:paraId="04474E86"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0.860</w:t>
            </w:r>
          </w:p>
        </w:tc>
      </w:tr>
      <w:tr w:rsidR="00444C2E" w:rsidRPr="00444C2E" w14:paraId="0135305D" w14:textId="77777777" w:rsidTr="00444C2E">
        <w:trPr>
          <w:trHeight w:val="320"/>
        </w:trPr>
        <w:tc>
          <w:tcPr>
            <w:tcW w:w="2700" w:type="dxa"/>
            <w:tcBorders>
              <w:top w:val="nil"/>
              <w:left w:val="nil"/>
              <w:bottom w:val="nil"/>
              <w:right w:val="nil"/>
            </w:tcBorders>
            <w:shd w:val="clear" w:color="auto" w:fill="auto"/>
            <w:noWrap/>
            <w:vAlign w:val="center"/>
            <w:hideMark/>
          </w:tcPr>
          <w:p w14:paraId="1DEC036A" w14:textId="77777777" w:rsidR="00444C2E" w:rsidRPr="00444C2E" w:rsidRDefault="00444C2E">
            <w:pPr>
              <w:rPr>
                <w:rFonts w:ascii="Arial" w:hAnsi="Arial" w:cs="Arial"/>
                <w:color w:val="000000"/>
                <w:sz w:val="18"/>
                <w:szCs w:val="18"/>
              </w:rPr>
            </w:pPr>
            <w:r w:rsidRPr="00444C2E">
              <w:rPr>
                <w:rFonts w:ascii="Arial" w:hAnsi="Arial" w:cs="Arial"/>
                <w:color w:val="000000"/>
                <w:sz w:val="18"/>
                <w:szCs w:val="18"/>
              </w:rPr>
              <w:t>Age at baseline</w:t>
            </w:r>
          </w:p>
        </w:tc>
        <w:tc>
          <w:tcPr>
            <w:tcW w:w="1234" w:type="dxa"/>
            <w:tcBorders>
              <w:top w:val="nil"/>
              <w:left w:val="nil"/>
              <w:bottom w:val="nil"/>
              <w:right w:val="nil"/>
            </w:tcBorders>
            <w:shd w:val="clear" w:color="auto" w:fill="auto"/>
            <w:noWrap/>
            <w:vAlign w:val="center"/>
            <w:hideMark/>
          </w:tcPr>
          <w:p w14:paraId="024BADF6"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59.86±10</w:t>
            </w:r>
          </w:p>
        </w:tc>
        <w:tc>
          <w:tcPr>
            <w:tcW w:w="1366" w:type="dxa"/>
            <w:tcBorders>
              <w:top w:val="nil"/>
              <w:left w:val="nil"/>
              <w:bottom w:val="nil"/>
              <w:right w:val="nil"/>
            </w:tcBorders>
            <w:shd w:val="clear" w:color="auto" w:fill="auto"/>
            <w:noWrap/>
            <w:vAlign w:val="center"/>
            <w:hideMark/>
          </w:tcPr>
          <w:p w14:paraId="2C5D6F8A"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61.30±10.1</w:t>
            </w:r>
          </w:p>
        </w:tc>
        <w:tc>
          <w:tcPr>
            <w:tcW w:w="1362" w:type="dxa"/>
            <w:tcBorders>
              <w:top w:val="nil"/>
              <w:left w:val="nil"/>
              <w:bottom w:val="nil"/>
              <w:right w:val="nil"/>
            </w:tcBorders>
            <w:shd w:val="clear" w:color="auto" w:fill="auto"/>
            <w:noWrap/>
            <w:vAlign w:val="center"/>
            <w:hideMark/>
          </w:tcPr>
          <w:p w14:paraId="178CCB51"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59.11±9.5</w:t>
            </w:r>
          </w:p>
        </w:tc>
        <w:tc>
          <w:tcPr>
            <w:tcW w:w="1377" w:type="dxa"/>
            <w:tcBorders>
              <w:top w:val="nil"/>
              <w:left w:val="nil"/>
              <w:bottom w:val="nil"/>
              <w:right w:val="single" w:sz="4" w:space="0" w:color="auto"/>
            </w:tcBorders>
            <w:shd w:val="clear" w:color="auto" w:fill="auto"/>
            <w:noWrap/>
            <w:vAlign w:val="center"/>
            <w:hideMark/>
          </w:tcPr>
          <w:p w14:paraId="0F60A62A"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61.02±9.9</w:t>
            </w:r>
          </w:p>
        </w:tc>
        <w:tc>
          <w:tcPr>
            <w:tcW w:w="1290" w:type="dxa"/>
            <w:tcBorders>
              <w:top w:val="nil"/>
              <w:left w:val="single" w:sz="4" w:space="0" w:color="auto"/>
              <w:bottom w:val="nil"/>
              <w:right w:val="nil"/>
            </w:tcBorders>
            <w:shd w:val="clear" w:color="auto" w:fill="auto"/>
            <w:noWrap/>
            <w:vAlign w:val="center"/>
            <w:hideMark/>
          </w:tcPr>
          <w:p w14:paraId="09D35488"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0.581</w:t>
            </w:r>
          </w:p>
        </w:tc>
        <w:tc>
          <w:tcPr>
            <w:tcW w:w="1587" w:type="dxa"/>
            <w:tcBorders>
              <w:top w:val="nil"/>
              <w:left w:val="nil"/>
              <w:bottom w:val="nil"/>
              <w:right w:val="nil"/>
            </w:tcBorders>
            <w:shd w:val="clear" w:color="auto" w:fill="auto"/>
            <w:noWrap/>
            <w:vAlign w:val="center"/>
            <w:hideMark/>
          </w:tcPr>
          <w:p w14:paraId="0B5E8C86"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0.704</w:t>
            </w:r>
          </w:p>
        </w:tc>
      </w:tr>
      <w:tr w:rsidR="00444C2E" w:rsidRPr="00444C2E" w14:paraId="17C99ABB" w14:textId="77777777" w:rsidTr="00444C2E">
        <w:trPr>
          <w:trHeight w:val="320"/>
        </w:trPr>
        <w:tc>
          <w:tcPr>
            <w:tcW w:w="2700" w:type="dxa"/>
            <w:tcBorders>
              <w:top w:val="nil"/>
              <w:left w:val="nil"/>
              <w:bottom w:val="nil"/>
              <w:right w:val="nil"/>
            </w:tcBorders>
            <w:shd w:val="clear" w:color="auto" w:fill="auto"/>
            <w:noWrap/>
            <w:vAlign w:val="center"/>
            <w:hideMark/>
          </w:tcPr>
          <w:p w14:paraId="708D168E" w14:textId="77777777" w:rsidR="00444C2E" w:rsidRPr="00444C2E" w:rsidRDefault="00444C2E">
            <w:pPr>
              <w:rPr>
                <w:rFonts w:ascii="Arial" w:hAnsi="Arial" w:cs="Arial"/>
                <w:color w:val="000000"/>
                <w:sz w:val="18"/>
                <w:szCs w:val="18"/>
              </w:rPr>
            </w:pPr>
            <w:r w:rsidRPr="00444C2E">
              <w:rPr>
                <w:rFonts w:ascii="Arial" w:hAnsi="Arial" w:cs="Arial"/>
                <w:color w:val="000000"/>
                <w:sz w:val="18"/>
                <w:szCs w:val="18"/>
              </w:rPr>
              <w:t>Age at onset</w:t>
            </w:r>
          </w:p>
        </w:tc>
        <w:tc>
          <w:tcPr>
            <w:tcW w:w="1234" w:type="dxa"/>
            <w:tcBorders>
              <w:top w:val="nil"/>
              <w:left w:val="nil"/>
              <w:bottom w:val="nil"/>
              <w:right w:val="nil"/>
            </w:tcBorders>
            <w:shd w:val="clear" w:color="auto" w:fill="auto"/>
            <w:noWrap/>
            <w:vAlign w:val="center"/>
            <w:hideMark/>
          </w:tcPr>
          <w:p w14:paraId="6FA73D52"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56.3±10.3</w:t>
            </w:r>
          </w:p>
        </w:tc>
        <w:tc>
          <w:tcPr>
            <w:tcW w:w="1366" w:type="dxa"/>
            <w:tcBorders>
              <w:top w:val="nil"/>
              <w:left w:val="nil"/>
              <w:bottom w:val="nil"/>
              <w:right w:val="nil"/>
            </w:tcBorders>
            <w:shd w:val="clear" w:color="auto" w:fill="auto"/>
            <w:noWrap/>
            <w:vAlign w:val="center"/>
            <w:hideMark/>
          </w:tcPr>
          <w:p w14:paraId="7DE86234"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58.5±10.7</w:t>
            </w:r>
          </w:p>
        </w:tc>
        <w:tc>
          <w:tcPr>
            <w:tcW w:w="1362" w:type="dxa"/>
            <w:tcBorders>
              <w:top w:val="nil"/>
              <w:left w:val="nil"/>
              <w:bottom w:val="nil"/>
              <w:right w:val="nil"/>
            </w:tcBorders>
            <w:shd w:val="clear" w:color="auto" w:fill="auto"/>
            <w:noWrap/>
            <w:vAlign w:val="center"/>
            <w:hideMark/>
          </w:tcPr>
          <w:p w14:paraId="570C68FD"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55.47±9.8</w:t>
            </w:r>
          </w:p>
        </w:tc>
        <w:tc>
          <w:tcPr>
            <w:tcW w:w="1377" w:type="dxa"/>
            <w:tcBorders>
              <w:top w:val="nil"/>
              <w:left w:val="nil"/>
              <w:bottom w:val="nil"/>
              <w:right w:val="single" w:sz="4" w:space="0" w:color="auto"/>
            </w:tcBorders>
            <w:shd w:val="clear" w:color="auto" w:fill="auto"/>
            <w:noWrap/>
            <w:vAlign w:val="center"/>
            <w:hideMark/>
          </w:tcPr>
          <w:p w14:paraId="122494BE"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58.34±10.6</w:t>
            </w:r>
          </w:p>
        </w:tc>
        <w:tc>
          <w:tcPr>
            <w:tcW w:w="1290" w:type="dxa"/>
            <w:tcBorders>
              <w:top w:val="nil"/>
              <w:left w:val="single" w:sz="4" w:space="0" w:color="auto"/>
              <w:bottom w:val="nil"/>
              <w:right w:val="nil"/>
            </w:tcBorders>
            <w:shd w:val="clear" w:color="auto" w:fill="auto"/>
            <w:noWrap/>
            <w:vAlign w:val="center"/>
            <w:hideMark/>
          </w:tcPr>
          <w:p w14:paraId="206B06E8"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0.552</w:t>
            </w:r>
          </w:p>
        </w:tc>
        <w:tc>
          <w:tcPr>
            <w:tcW w:w="1587" w:type="dxa"/>
            <w:tcBorders>
              <w:top w:val="nil"/>
              <w:left w:val="nil"/>
              <w:bottom w:val="nil"/>
              <w:right w:val="nil"/>
            </w:tcBorders>
            <w:shd w:val="clear" w:color="auto" w:fill="auto"/>
            <w:noWrap/>
            <w:vAlign w:val="center"/>
            <w:hideMark/>
          </w:tcPr>
          <w:p w14:paraId="44F4A981"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0.834</w:t>
            </w:r>
          </w:p>
        </w:tc>
      </w:tr>
      <w:tr w:rsidR="00444C2E" w:rsidRPr="00444C2E" w14:paraId="65B598F5" w14:textId="77777777" w:rsidTr="00444C2E">
        <w:trPr>
          <w:trHeight w:val="320"/>
        </w:trPr>
        <w:tc>
          <w:tcPr>
            <w:tcW w:w="2700" w:type="dxa"/>
            <w:tcBorders>
              <w:top w:val="nil"/>
              <w:left w:val="nil"/>
              <w:bottom w:val="nil"/>
              <w:right w:val="nil"/>
            </w:tcBorders>
            <w:shd w:val="clear" w:color="auto" w:fill="auto"/>
            <w:noWrap/>
            <w:vAlign w:val="center"/>
            <w:hideMark/>
          </w:tcPr>
          <w:p w14:paraId="2C41B29B" w14:textId="77777777" w:rsidR="00444C2E" w:rsidRPr="00444C2E" w:rsidRDefault="00444C2E">
            <w:pPr>
              <w:rPr>
                <w:rFonts w:ascii="Arial" w:hAnsi="Arial" w:cs="Arial"/>
                <w:color w:val="000000"/>
                <w:sz w:val="18"/>
                <w:szCs w:val="18"/>
              </w:rPr>
            </w:pPr>
            <w:r w:rsidRPr="00444C2E">
              <w:rPr>
                <w:rFonts w:ascii="Arial" w:hAnsi="Arial" w:cs="Arial"/>
                <w:color w:val="000000"/>
                <w:sz w:val="18"/>
                <w:szCs w:val="18"/>
              </w:rPr>
              <w:t>Sex (% of males)</w:t>
            </w:r>
          </w:p>
        </w:tc>
        <w:tc>
          <w:tcPr>
            <w:tcW w:w="1234" w:type="dxa"/>
            <w:tcBorders>
              <w:top w:val="nil"/>
              <w:left w:val="nil"/>
              <w:bottom w:val="nil"/>
              <w:right w:val="nil"/>
            </w:tcBorders>
            <w:shd w:val="clear" w:color="auto" w:fill="auto"/>
            <w:noWrap/>
            <w:vAlign w:val="center"/>
            <w:hideMark/>
          </w:tcPr>
          <w:p w14:paraId="6F6DA066"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66 (51 %)</w:t>
            </w:r>
          </w:p>
        </w:tc>
        <w:tc>
          <w:tcPr>
            <w:tcW w:w="1366" w:type="dxa"/>
            <w:tcBorders>
              <w:top w:val="nil"/>
              <w:left w:val="nil"/>
              <w:bottom w:val="nil"/>
              <w:right w:val="nil"/>
            </w:tcBorders>
            <w:shd w:val="clear" w:color="auto" w:fill="auto"/>
            <w:noWrap/>
            <w:vAlign w:val="center"/>
            <w:hideMark/>
          </w:tcPr>
          <w:p w14:paraId="5BAF5CD1"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269 (62.3%)</w:t>
            </w:r>
          </w:p>
        </w:tc>
        <w:tc>
          <w:tcPr>
            <w:tcW w:w="1362" w:type="dxa"/>
            <w:tcBorders>
              <w:top w:val="nil"/>
              <w:left w:val="nil"/>
              <w:bottom w:val="nil"/>
              <w:right w:val="nil"/>
            </w:tcBorders>
            <w:shd w:val="clear" w:color="auto" w:fill="auto"/>
            <w:noWrap/>
            <w:vAlign w:val="center"/>
            <w:hideMark/>
          </w:tcPr>
          <w:p w14:paraId="7188B030"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42 (47.2%)</w:t>
            </w:r>
          </w:p>
        </w:tc>
        <w:tc>
          <w:tcPr>
            <w:tcW w:w="1377" w:type="dxa"/>
            <w:tcBorders>
              <w:top w:val="nil"/>
              <w:left w:val="nil"/>
              <w:bottom w:val="nil"/>
              <w:right w:val="single" w:sz="4" w:space="0" w:color="auto"/>
            </w:tcBorders>
            <w:shd w:val="clear" w:color="auto" w:fill="auto"/>
            <w:noWrap/>
            <w:vAlign w:val="center"/>
            <w:hideMark/>
          </w:tcPr>
          <w:p w14:paraId="23DC21B7"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221 (63%)</w:t>
            </w:r>
          </w:p>
        </w:tc>
        <w:tc>
          <w:tcPr>
            <w:tcW w:w="1290" w:type="dxa"/>
            <w:tcBorders>
              <w:top w:val="nil"/>
              <w:left w:val="single" w:sz="4" w:space="0" w:color="auto"/>
              <w:bottom w:val="nil"/>
              <w:right w:val="nil"/>
            </w:tcBorders>
            <w:shd w:val="clear" w:color="auto" w:fill="auto"/>
            <w:noWrap/>
            <w:vAlign w:val="center"/>
            <w:hideMark/>
          </w:tcPr>
          <w:p w14:paraId="4F06421F"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0.701</w:t>
            </w:r>
          </w:p>
        </w:tc>
        <w:tc>
          <w:tcPr>
            <w:tcW w:w="1587" w:type="dxa"/>
            <w:tcBorders>
              <w:top w:val="nil"/>
              <w:left w:val="nil"/>
              <w:bottom w:val="nil"/>
              <w:right w:val="nil"/>
            </w:tcBorders>
            <w:shd w:val="clear" w:color="auto" w:fill="auto"/>
            <w:noWrap/>
            <w:vAlign w:val="center"/>
            <w:hideMark/>
          </w:tcPr>
          <w:p w14:paraId="3E237488"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0.950</w:t>
            </w:r>
          </w:p>
        </w:tc>
      </w:tr>
      <w:tr w:rsidR="00444C2E" w:rsidRPr="00444C2E" w14:paraId="26F13E09" w14:textId="77777777" w:rsidTr="00444C2E">
        <w:trPr>
          <w:trHeight w:val="320"/>
        </w:trPr>
        <w:tc>
          <w:tcPr>
            <w:tcW w:w="2700" w:type="dxa"/>
            <w:tcBorders>
              <w:top w:val="nil"/>
              <w:left w:val="nil"/>
              <w:bottom w:val="nil"/>
              <w:right w:val="nil"/>
            </w:tcBorders>
            <w:shd w:val="clear" w:color="auto" w:fill="auto"/>
            <w:noWrap/>
            <w:vAlign w:val="center"/>
            <w:hideMark/>
          </w:tcPr>
          <w:p w14:paraId="02B9CCBE" w14:textId="77777777" w:rsidR="00444C2E" w:rsidRPr="00444C2E" w:rsidRDefault="00444C2E">
            <w:pPr>
              <w:rPr>
                <w:rFonts w:ascii="Arial" w:hAnsi="Arial" w:cs="Arial"/>
                <w:color w:val="000000"/>
                <w:sz w:val="18"/>
                <w:szCs w:val="18"/>
              </w:rPr>
            </w:pPr>
            <w:r w:rsidRPr="00444C2E">
              <w:rPr>
                <w:rFonts w:ascii="Arial" w:hAnsi="Arial" w:cs="Arial"/>
                <w:color w:val="000000"/>
                <w:sz w:val="18"/>
                <w:szCs w:val="18"/>
              </w:rPr>
              <w:t>Education (years)</w:t>
            </w:r>
          </w:p>
        </w:tc>
        <w:tc>
          <w:tcPr>
            <w:tcW w:w="1234" w:type="dxa"/>
            <w:tcBorders>
              <w:top w:val="nil"/>
              <w:left w:val="nil"/>
              <w:bottom w:val="nil"/>
              <w:right w:val="nil"/>
            </w:tcBorders>
            <w:shd w:val="clear" w:color="auto" w:fill="auto"/>
            <w:noWrap/>
            <w:vAlign w:val="center"/>
            <w:hideMark/>
          </w:tcPr>
          <w:p w14:paraId="2CF0516B"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16.05±3.3</w:t>
            </w:r>
          </w:p>
        </w:tc>
        <w:tc>
          <w:tcPr>
            <w:tcW w:w="1366" w:type="dxa"/>
            <w:tcBorders>
              <w:top w:val="nil"/>
              <w:left w:val="nil"/>
              <w:bottom w:val="nil"/>
              <w:right w:val="nil"/>
            </w:tcBorders>
            <w:shd w:val="clear" w:color="auto" w:fill="auto"/>
            <w:noWrap/>
            <w:vAlign w:val="center"/>
            <w:hideMark/>
          </w:tcPr>
          <w:p w14:paraId="1A7038C9"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15.51±3.6</w:t>
            </w:r>
          </w:p>
        </w:tc>
        <w:tc>
          <w:tcPr>
            <w:tcW w:w="1362" w:type="dxa"/>
            <w:tcBorders>
              <w:top w:val="nil"/>
              <w:left w:val="nil"/>
              <w:bottom w:val="nil"/>
              <w:right w:val="nil"/>
            </w:tcBorders>
            <w:shd w:val="clear" w:color="auto" w:fill="auto"/>
            <w:noWrap/>
            <w:vAlign w:val="center"/>
            <w:hideMark/>
          </w:tcPr>
          <w:p w14:paraId="5E3F495D"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15.90±3.4</w:t>
            </w:r>
          </w:p>
        </w:tc>
        <w:tc>
          <w:tcPr>
            <w:tcW w:w="1377" w:type="dxa"/>
            <w:tcBorders>
              <w:top w:val="nil"/>
              <w:left w:val="nil"/>
              <w:bottom w:val="nil"/>
              <w:right w:val="single" w:sz="4" w:space="0" w:color="auto"/>
            </w:tcBorders>
            <w:shd w:val="clear" w:color="auto" w:fill="auto"/>
            <w:noWrap/>
            <w:vAlign w:val="center"/>
            <w:hideMark/>
          </w:tcPr>
          <w:p w14:paraId="3CEE6687"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15.70±3.5</w:t>
            </w:r>
          </w:p>
        </w:tc>
        <w:tc>
          <w:tcPr>
            <w:tcW w:w="1290" w:type="dxa"/>
            <w:tcBorders>
              <w:top w:val="nil"/>
              <w:left w:val="single" w:sz="4" w:space="0" w:color="auto"/>
              <w:bottom w:val="nil"/>
              <w:right w:val="nil"/>
            </w:tcBorders>
            <w:shd w:val="clear" w:color="auto" w:fill="auto"/>
            <w:noWrap/>
            <w:vAlign w:val="center"/>
            <w:hideMark/>
          </w:tcPr>
          <w:p w14:paraId="20E0188B"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0.738</w:t>
            </w:r>
          </w:p>
        </w:tc>
        <w:tc>
          <w:tcPr>
            <w:tcW w:w="1587" w:type="dxa"/>
            <w:tcBorders>
              <w:top w:val="nil"/>
              <w:left w:val="nil"/>
              <w:bottom w:val="nil"/>
              <w:right w:val="nil"/>
            </w:tcBorders>
            <w:shd w:val="clear" w:color="auto" w:fill="auto"/>
            <w:noWrap/>
            <w:vAlign w:val="center"/>
            <w:hideMark/>
          </w:tcPr>
          <w:p w14:paraId="501A5B9F"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0.469</w:t>
            </w:r>
          </w:p>
        </w:tc>
      </w:tr>
      <w:tr w:rsidR="00444C2E" w:rsidRPr="00444C2E" w14:paraId="36ECB651" w14:textId="77777777" w:rsidTr="00444C2E">
        <w:trPr>
          <w:trHeight w:val="320"/>
        </w:trPr>
        <w:tc>
          <w:tcPr>
            <w:tcW w:w="2700" w:type="dxa"/>
            <w:tcBorders>
              <w:top w:val="nil"/>
              <w:left w:val="nil"/>
              <w:bottom w:val="nil"/>
              <w:right w:val="nil"/>
            </w:tcBorders>
            <w:shd w:val="clear" w:color="auto" w:fill="auto"/>
            <w:noWrap/>
            <w:vAlign w:val="center"/>
            <w:hideMark/>
          </w:tcPr>
          <w:p w14:paraId="0FE59E4A" w14:textId="77777777" w:rsidR="00444C2E" w:rsidRPr="00444C2E" w:rsidRDefault="00444C2E">
            <w:pPr>
              <w:rPr>
                <w:rFonts w:ascii="Arial" w:hAnsi="Arial" w:cs="Arial"/>
                <w:color w:val="000000"/>
                <w:sz w:val="18"/>
                <w:szCs w:val="18"/>
              </w:rPr>
            </w:pPr>
            <w:r w:rsidRPr="00444C2E">
              <w:rPr>
                <w:rFonts w:ascii="Arial" w:hAnsi="Arial" w:cs="Arial"/>
                <w:color w:val="000000"/>
                <w:sz w:val="18"/>
                <w:szCs w:val="18"/>
              </w:rPr>
              <w:t>Disease Duration (years)</w:t>
            </w:r>
          </w:p>
        </w:tc>
        <w:tc>
          <w:tcPr>
            <w:tcW w:w="1234" w:type="dxa"/>
            <w:tcBorders>
              <w:top w:val="nil"/>
              <w:left w:val="nil"/>
              <w:bottom w:val="nil"/>
              <w:right w:val="nil"/>
            </w:tcBorders>
            <w:shd w:val="clear" w:color="auto" w:fill="auto"/>
            <w:noWrap/>
            <w:vAlign w:val="center"/>
            <w:hideMark/>
          </w:tcPr>
          <w:p w14:paraId="76F62724"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1.73±2.1</w:t>
            </w:r>
          </w:p>
        </w:tc>
        <w:tc>
          <w:tcPr>
            <w:tcW w:w="1366" w:type="dxa"/>
            <w:tcBorders>
              <w:top w:val="nil"/>
              <w:left w:val="nil"/>
              <w:bottom w:val="nil"/>
              <w:right w:val="nil"/>
            </w:tcBorders>
            <w:shd w:val="clear" w:color="auto" w:fill="auto"/>
            <w:noWrap/>
            <w:vAlign w:val="center"/>
            <w:hideMark/>
          </w:tcPr>
          <w:p w14:paraId="5C487B00"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0.88±1.6</w:t>
            </w:r>
          </w:p>
        </w:tc>
        <w:tc>
          <w:tcPr>
            <w:tcW w:w="1362" w:type="dxa"/>
            <w:tcBorders>
              <w:top w:val="nil"/>
              <w:left w:val="nil"/>
              <w:bottom w:val="nil"/>
              <w:right w:val="nil"/>
            </w:tcBorders>
            <w:shd w:val="clear" w:color="auto" w:fill="auto"/>
            <w:noWrap/>
            <w:vAlign w:val="center"/>
            <w:hideMark/>
          </w:tcPr>
          <w:p w14:paraId="63A390A1"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1.48±2.2</w:t>
            </w:r>
          </w:p>
        </w:tc>
        <w:tc>
          <w:tcPr>
            <w:tcW w:w="1377" w:type="dxa"/>
            <w:tcBorders>
              <w:top w:val="nil"/>
              <w:left w:val="nil"/>
              <w:bottom w:val="nil"/>
              <w:right w:val="single" w:sz="4" w:space="0" w:color="auto"/>
            </w:tcBorders>
            <w:shd w:val="clear" w:color="auto" w:fill="auto"/>
            <w:noWrap/>
            <w:vAlign w:val="center"/>
            <w:hideMark/>
          </w:tcPr>
          <w:p w14:paraId="14F06455"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1.43±2</w:t>
            </w:r>
          </w:p>
        </w:tc>
        <w:tc>
          <w:tcPr>
            <w:tcW w:w="1290" w:type="dxa"/>
            <w:tcBorders>
              <w:top w:val="nil"/>
              <w:left w:val="single" w:sz="4" w:space="0" w:color="auto"/>
              <w:bottom w:val="nil"/>
              <w:right w:val="nil"/>
            </w:tcBorders>
            <w:shd w:val="clear" w:color="auto" w:fill="auto"/>
            <w:noWrap/>
            <w:vAlign w:val="center"/>
            <w:hideMark/>
          </w:tcPr>
          <w:p w14:paraId="6545BD4F"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0.367</w:t>
            </w:r>
          </w:p>
        </w:tc>
        <w:tc>
          <w:tcPr>
            <w:tcW w:w="1587" w:type="dxa"/>
            <w:tcBorders>
              <w:top w:val="nil"/>
              <w:left w:val="nil"/>
              <w:bottom w:val="nil"/>
              <w:right w:val="nil"/>
            </w:tcBorders>
            <w:shd w:val="clear" w:color="auto" w:fill="auto"/>
            <w:noWrap/>
            <w:vAlign w:val="center"/>
            <w:hideMark/>
          </w:tcPr>
          <w:p w14:paraId="3F7C74E3" w14:textId="77777777" w:rsidR="00444C2E" w:rsidRPr="00444C2E" w:rsidRDefault="00444C2E">
            <w:pPr>
              <w:jc w:val="center"/>
              <w:rPr>
                <w:rFonts w:ascii="Arial" w:hAnsi="Arial" w:cs="Arial"/>
                <w:b/>
                <w:bCs/>
                <w:color w:val="000000"/>
                <w:sz w:val="18"/>
                <w:szCs w:val="18"/>
              </w:rPr>
            </w:pPr>
            <w:r w:rsidRPr="00444C2E">
              <w:rPr>
                <w:rFonts w:ascii="Arial" w:hAnsi="Arial" w:cs="Arial"/>
                <w:b/>
                <w:bCs/>
                <w:color w:val="000000"/>
                <w:sz w:val="18"/>
                <w:szCs w:val="18"/>
              </w:rPr>
              <w:t>0.000</w:t>
            </w:r>
          </w:p>
        </w:tc>
      </w:tr>
      <w:tr w:rsidR="00444C2E" w:rsidRPr="00444C2E" w14:paraId="475C9319" w14:textId="77777777" w:rsidTr="00444C2E">
        <w:trPr>
          <w:trHeight w:val="340"/>
        </w:trPr>
        <w:tc>
          <w:tcPr>
            <w:tcW w:w="2700" w:type="dxa"/>
            <w:tcBorders>
              <w:top w:val="nil"/>
              <w:left w:val="nil"/>
              <w:bottom w:val="single" w:sz="4" w:space="0" w:color="auto"/>
              <w:right w:val="nil"/>
            </w:tcBorders>
            <w:shd w:val="clear" w:color="auto" w:fill="auto"/>
            <w:noWrap/>
            <w:vAlign w:val="center"/>
            <w:hideMark/>
          </w:tcPr>
          <w:p w14:paraId="321B254E" w14:textId="77777777" w:rsidR="00444C2E" w:rsidRPr="00444C2E" w:rsidRDefault="00444C2E">
            <w:pPr>
              <w:rPr>
                <w:rFonts w:ascii="Arial" w:hAnsi="Arial" w:cs="Arial"/>
                <w:color w:val="000000"/>
                <w:sz w:val="18"/>
                <w:szCs w:val="18"/>
              </w:rPr>
            </w:pPr>
            <w:r w:rsidRPr="00444C2E">
              <w:rPr>
                <w:rFonts w:ascii="Arial" w:hAnsi="Arial" w:cs="Arial"/>
                <w:color w:val="000000"/>
                <w:sz w:val="18"/>
                <w:szCs w:val="18"/>
              </w:rPr>
              <w:t>LEDD</w:t>
            </w:r>
          </w:p>
        </w:tc>
        <w:tc>
          <w:tcPr>
            <w:tcW w:w="1234" w:type="dxa"/>
            <w:tcBorders>
              <w:top w:val="nil"/>
              <w:left w:val="nil"/>
              <w:bottom w:val="single" w:sz="4" w:space="0" w:color="auto"/>
              <w:right w:val="nil"/>
            </w:tcBorders>
            <w:shd w:val="clear" w:color="auto" w:fill="auto"/>
            <w:noWrap/>
            <w:vAlign w:val="center"/>
            <w:hideMark/>
          </w:tcPr>
          <w:p w14:paraId="5673000B"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320.13±315</w:t>
            </w:r>
          </w:p>
        </w:tc>
        <w:tc>
          <w:tcPr>
            <w:tcW w:w="1366" w:type="dxa"/>
            <w:tcBorders>
              <w:top w:val="nil"/>
              <w:left w:val="nil"/>
              <w:bottom w:val="single" w:sz="4" w:space="0" w:color="auto"/>
              <w:right w:val="nil"/>
            </w:tcBorders>
            <w:shd w:val="clear" w:color="auto" w:fill="auto"/>
            <w:noWrap/>
            <w:vAlign w:val="center"/>
            <w:hideMark/>
          </w:tcPr>
          <w:p w14:paraId="14D5969E"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301.55±332.9</w:t>
            </w:r>
          </w:p>
        </w:tc>
        <w:tc>
          <w:tcPr>
            <w:tcW w:w="1362" w:type="dxa"/>
            <w:tcBorders>
              <w:top w:val="nil"/>
              <w:left w:val="nil"/>
              <w:bottom w:val="single" w:sz="4" w:space="0" w:color="auto"/>
              <w:right w:val="nil"/>
            </w:tcBorders>
            <w:shd w:val="clear" w:color="auto" w:fill="auto"/>
            <w:noWrap/>
            <w:vAlign w:val="center"/>
            <w:hideMark/>
          </w:tcPr>
          <w:p w14:paraId="60FFDF19"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314.16±311.1</w:t>
            </w:r>
          </w:p>
        </w:tc>
        <w:tc>
          <w:tcPr>
            <w:tcW w:w="1377" w:type="dxa"/>
            <w:tcBorders>
              <w:top w:val="nil"/>
              <w:left w:val="nil"/>
              <w:bottom w:val="single" w:sz="4" w:space="0" w:color="auto"/>
              <w:right w:val="single" w:sz="4" w:space="0" w:color="auto"/>
            </w:tcBorders>
            <w:shd w:val="clear" w:color="auto" w:fill="auto"/>
            <w:noWrap/>
            <w:vAlign w:val="center"/>
            <w:hideMark/>
          </w:tcPr>
          <w:p w14:paraId="531EA8A8"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291.86±275</w:t>
            </w:r>
          </w:p>
        </w:tc>
        <w:tc>
          <w:tcPr>
            <w:tcW w:w="1290" w:type="dxa"/>
            <w:tcBorders>
              <w:top w:val="nil"/>
              <w:left w:val="single" w:sz="4" w:space="0" w:color="auto"/>
              <w:bottom w:val="single" w:sz="4" w:space="0" w:color="auto"/>
              <w:right w:val="nil"/>
            </w:tcBorders>
            <w:shd w:val="clear" w:color="auto" w:fill="auto"/>
            <w:noWrap/>
            <w:vAlign w:val="center"/>
            <w:hideMark/>
          </w:tcPr>
          <w:p w14:paraId="5A39286B"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0.890</w:t>
            </w:r>
          </w:p>
        </w:tc>
        <w:tc>
          <w:tcPr>
            <w:tcW w:w="1587" w:type="dxa"/>
            <w:tcBorders>
              <w:top w:val="nil"/>
              <w:left w:val="nil"/>
              <w:bottom w:val="single" w:sz="4" w:space="0" w:color="auto"/>
              <w:right w:val="nil"/>
            </w:tcBorders>
            <w:shd w:val="clear" w:color="auto" w:fill="auto"/>
            <w:noWrap/>
            <w:vAlign w:val="center"/>
            <w:hideMark/>
          </w:tcPr>
          <w:p w14:paraId="5DD08695"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0.781</w:t>
            </w:r>
          </w:p>
        </w:tc>
      </w:tr>
      <w:tr w:rsidR="00444C2E" w:rsidRPr="00444C2E" w14:paraId="37F9A0B2" w14:textId="77777777" w:rsidTr="00444C2E">
        <w:trPr>
          <w:trHeight w:val="360"/>
        </w:trPr>
        <w:tc>
          <w:tcPr>
            <w:tcW w:w="10916" w:type="dxa"/>
            <w:gridSpan w:val="7"/>
            <w:tcBorders>
              <w:top w:val="single" w:sz="4" w:space="0" w:color="auto"/>
              <w:left w:val="nil"/>
              <w:bottom w:val="single" w:sz="4" w:space="0" w:color="auto"/>
            </w:tcBorders>
            <w:shd w:val="clear" w:color="000000" w:fill="E8E8E8"/>
            <w:noWrap/>
            <w:vAlign w:val="center"/>
            <w:hideMark/>
          </w:tcPr>
          <w:p w14:paraId="45840C95" w14:textId="77777777" w:rsidR="00444C2E" w:rsidRPr="00444C2E" w:rsidRDefault="00444C2E">
            <w:pPr>
              <w:rPr>
                <w:rFonts w:ascii="Arial" w:hAnsi="Arial" w:cs="Arial"/>
                <w:i/>
                <w:iCs/>
                <w:color w:val="000000"/>
                <w:sz w:val="18"/>
                <w:szCs w:val="18"/>
              </w:rPr>
            </w:pPr>
            <w:r w:rsidRPr="00444C2E">
              <w:rPr>
                <w:rFonts w:ascii="Arial" w:hAnsi="Arial" w:cs="Arial"/>
                <w:i/>
                <w:iCs/>
                <w:color w:val="000000"/>
                <w:sz w:val="18"/>
                <w:szCs w:val="18"/>
              </w:rPr>
              <w:t xml:space="preserve">Cognitive assessment - at baseline </w:t>
            </w:r>
          </w:p>
        </w:tc>
      </w:tr>
      <w:tr w:rsidR="00444C2E" w:rsidRPr="00444C2E" w14:paraId="06C11DBC" w14:textId="77777777" w:rsidTr="00444C2E">
        <w:trPr>
          <w:trHeight w:val="340"/>
        </w:trPr>
        <w:tc>
          <w:tcPr>
            <w:tcW w:w="2700" w:type="dxa"/>
            <w:tcBorders>
              <w:top w:val="single" w:sz="4" w:space="0" w:color="auto"/>
              <w:left w:val="nil"/>
              <w:bottom w:val="nil"/>
              <w:right w:val="nil"/>
            </w:tcBorders>
            <w:shd w:val="clear" w:color="auto" w:fill="auto"/>
            <w:noWrap/>
            <w:vAlign w:val="center"/>
            <w:hideMark/>
          </w:tcPr>
          <w:p w14:paraId="7E968DA0" w14:textId="77777777" w:rsidR="00444C2E" w:rsidRPr="00444C2E" w:rsidRDefault="00444C2E">
            <w:pPr>
              <w:rPr>
                <w:rFonts w:ascii="Arial" w:hAnsi="Arial" w:cs="Arial"/>
                <w:color w:val="000000"/>
                <w:sz w:val="18"/>
                <w:szCs w:val="18"/>
              </w:rPr>
            </w:pPr>
            <w:r w:rsidRPr="00444C2E">
              <w:rPr>
                <w:rFonts w:ascii="Arial" w:hAnsi="Arial" w:cs="Arial"/>
                <w:color w:val="000000"/>
                <w:sz w:val="18"/>
                <w:szCs w:val="18"/>
              </w:rPr>
              <w:t xml:space="preserve">MoCA </w:t>
            </w:r>
          </w:p>
        </w:tc>
        <w:tc>
          <w:tcPr>
            <w:tcW w:w="1234" w:type="dxa"/>
            <w:tcBorders>
              <w:top w:val="single" w:sz="4" w:space="0" w:color="auto"/>
              <w:left w:val="nil"/>
              <w:bottom w:val="nil"/>
              <w:right w:val="nil"/>
            </w:tcBorders>
            <w:shd w:val="clear" w:color="auto" w:fill="auto"/>
            <w:noWrap/>
            <w:vAlign w:val="center"/>
            <w:hideMark/>
          </w:tcPr>
          <w:p w14:paraId="70C41F78"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26.62±2.4</w:t>
            </w:r>
          </w:p>
        </w:tc>
        <w:tc>
          <w:tcPr>
            <w:tcW w:w="1366" w:type="dxa"/>
            <w:tcBorders>
              <w:top w:val="single" w:sz="4" w:space="0" w:color="auto"/>
              <w:left w:val="nil"/>
              <w:bottom w:val="nil"/>
              <w:right w:val="nil"/>
            </w:tcBorders>
            <w:shd w:val="clear" w:color="auto" w:fill="auto"/>
            <w:noWrap/>
            <w:vAlign w:val="center"/>
            <w:hideMark/>
          </w:tcPr>
          <w:p w14:paraId="2EF8319C"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26.86±2.7</w:t>
            </w:r>
          </w:p>
        </w:tc>
        <w:tc>
          <w:tcPr>
            <w:tcW w:w="1362" w:type="dxa"/>
            <w:tcBorders>
              <w:top w:val="single" w:sz="4" w:space="0" w:color="auto"/>
              <w:left w:val="nil"/>
              <w:bottom w:val="nil"/>
              <w:right w:val="nil"/>
            </w:tcBorders>
            <w:shd w:val="clear" w:color="auto" w:fill="auto"/>
            <w:noWrap/>
            <w:vAlign w:val="center"/>
            <w:hideMark/>
          </w:tcPr>
          <w:p w14:paraId="0294009F"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26.90±2.3</w:t>
            </w:r>
          </w:p>
        </w:tc>
        <w:tc>
          <w:tcPr>
            <w:tcW w:w="1377" w:type="dxa"/>
            <w:tcBorders>
              <w:top w:val="single" w:sz="4" w:space="0" w:color="auto"/>
              <w:left w:val="nil"/>
              <w:bottom w:val="nil"/>
              <w:right w:val="single" w:sz="4" w:space="0" w:color="auto"/>
            </w:tcBorders>
            <w:shd w:val="clear" w:color="auto" w:fill="auto"/>
            <w:noWrap/>
            <w:vAlign w:val="center"/>
            <w:hideMark/>
          </w:tcPr>
          <w:p w14:paraId="02E88A2A"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27.07±2.6</w:t>
            </w:r>
          </w:p>
        </w:tc>
        <w:tc>
          <w:tcPr>
            <w:tcW w:w="1290" w:type="dxa"/>
            <w:tcBorders>
              <w:top w:val="single" w:sz="4" w:space="0" w:color="auto"/>
              <w:left w:val="single" w:sz="4" w:space="0" w:color="auto"/>
              <w:bottom w:val="nil"/>
              <w:right w:val="nil"/>
            </w:tcBorders>
            <w:shd w:val="clear" w:color="auto" w:fill="auto"/>
            <w:noWrap/>
            <w:vAlign w:val="center"/>
            <w:hideMark/>
          </w:tcPr>
          <w:p w14:paraId="2E091BCB"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0.390</w:t>
            </w:r>
          </w:p>
        </w:tc>
        <w:tc>
          <w:tcPr>
            <w:tcW w:w="1587" w:type="dxa"/>
            <w:tcBorders>
              <w:top w:val="single" w:sz="4" w:space="0" w:color="auto"/>
              <w:left w:val="nil"/>
              <w:bottom w:val="nil"/>
              <w:right w:val="nil"/>
            </w:tcBorders>
            <w:shd w:val="clear" w:color="auto" w:fill="auto"/>
            <w:noWrap/>
            <w:vAlign w:val="center"/>
            <w:hideMark/>
          </w:tcPr>
          <w:p w14:paraId="2E7BFD81"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0.277</w:t>
            </w:r>
          </w:p>
        </w:tc>
      </w:tr>
      <w:tr w:rsidR="00444C2E" w:rsidRPr="00444C2E" w14:paraId="00393F8C" w14:textId="77777777" w:rsidTr="00444C2E">
        <w:trPr>
          <w:trHeight w:val="320"/>
        </w:trPr>
        <w:tc>
          <w:tcPr>
            <w:tcW w:w="2700" w:type="dxa"/>
            <w:tcBorders>
              <w:top w:val="nil"/>
              <w:left w:val="nil"/>
              <w:bottom w:val="nil"/>
              <w:right w:val="nil"/>
            </w:tcBorders>
            <w:shd w:val="clear" w:color="auto" w:fill="auto"/>
            <w:noWrap/>
            <w:vAlign w:val="center"/>
            <w:hideMark/>
          </w:tcPr>
          <w:p w14:paraId="399E5B36" w14:textId="77777777" w:rsidR="00444C2E" w:rsidRPr="00444C2E" w:rsidRDefault="00444C2E">
            <w:pPr>
              <w:rPr>
                <w:rFonts w:ascii="Arial" w:hAnsi="Arial" w:cs="Arial"/>
                <w:color w:val="000000"/>
                <w:sz w:val="18"/>
                <w:szCs w:val="18"/>
              </w:rPr>
            </w:pPr>
            <w:r w:rsidRPr="00444C2E">
              <w:rPr>
                <w:rFonts w:ascii="Arial" w:hAnsi="Arial" w:cs="Arial"/>
                <w:color w:val="000000"/>
                <w:sz w:val="18"/>
                <w:szCs w:val="18"/>
              </w:rPr>
              <w:t>BJLO</w:t>
            </w:r>
          </w:p>
        </w:tc>
        <w:tc>
          <w:tcPr>
            <w:tcW w:w="1234" w:type="dxa"/>
            <w:tcBorders>
              <w:top w:val="nil"/>
              <w:left w:val="nil"/>
              <w:bottom w:val="nil"/>
              <w:right w:val="nil"/>
            </w:tcBorders>
            <w:shd w:val="clear" w:color="auto" w:fill="auto"/>
            <w:noWrap/>
            <w:vAlign w:val="center"/>
            <w:hideMark/>
          </w:tcPr>
          <w:p w14:paraId="0B1DFD03"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11.23±3.1</w:t>
            </w:r>
          </w:p>
        </w:tc>
        <w:tc>
          <w:tcPr>
            <w:tcW w:w="1366" w:type="dxa"/>
            <w:tcBorders>
              <w:top w:val="nil"/>
              <w:left w:val="nil"/>
              <w:bottom w:val="nil"/>
              <w:right w:val="nil"/>
            </w:tcBorders>
            <w:shd w:val="clear" w:color="auto" w:fill="auto"/>
            <w:noWrap/>
            <w:vAlign w:val="center"/>
            <w:hideMark/>
          </w:tcPr>
          <w:p w14:paraId="18802021"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11.95±2.9</w:t>
            </w:r>
          </w:p>
        </w:tc>
        <w:tc>
          <w:tcPr>
            <w:tcW w:w="1362" w:type="dxa"/>
            <w:tcBorders>
              <w:top w:val="nil"/>
              <w:left w:val="nil"/>
              <w:bottom w:val="nil"/>
              <w:right w:val="nil"/>
            </w:tcBorders>
            <w:shd w:val="clear" w:color="auto" w:fill="auto"/>
            <w:noWrap/>
            <w:vAlign w:val="center"/>
            <w:hideMark/>
          </w:tcPr>
          <w:p w14:paraId="065D42C5"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11.30±2.9</w:t>
            </w:r>
          </w:p>
        </w:tc>
        <w:tc>
          <w:tcPr>
            <w:tcW w:w="1377" w:type="dxa"/>
            <w:tcBorders>
              <w:top w:val="nil"/>
              <w:left w:val="nil"/>
              <w:bottom w:val="nil"/>
              <w:right w:val="single" w:sz="4" w:space="0" w:color="auto"/>
            </w:tcBorders>
            <w:shd w:val="clear" w:color="auto" w:fill="auto"/>
            <w:noWrap/>
            <w:vAlign w:val="center"/>
            <w:hideMark/>
          </w:tcPr>
          <w:p w14:paraId="42D73C8F"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12.1±2.9</w:t>
            </w:r>
          </w:p>
        </w:tc>
        <w:tc>
          <w:tcPr>
            <w:tcW w:w="1290" w:type="dxa"/>
            <w:tcBorders>
              <w:top w:val="nil"/>
              <w:left w:val="single" w:sz="4" w:space="0" w:color="auto"/>
              <w:bottom w:val="nil"/>
              <w:right w:val="nil"/>
            </w:tcBorders>
            <w:shd w:val="clear" w:color="auto" w:fill="auto"/>
            <w:noWrap/>
            <w:vAlign w:val="center"/>
            <w:hideMark/>
          </w:tcPr>
          <w:p w14:paraId="563B0E3E"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0.873</w:t>
            </w:r>
          </w:p>
        </w:tc>
        <w:tc>
          <w:tcPr>
            <w:tcW w:w="1587" w:type="dxa"/>
            <w:tcBorders>
              <w:top w:val="nil"/>
              <w:left w:val="nil"/>
              <w:bottom w:val="nil"/>
              <w:right w:val="nil"/>
            </w:tcBorders>
            <w:shd w:val="clear" w:color="auto" w:fill="auto"/>
            <w:noWrap/>
            <w:vAlign w:val="center"/>
            <w:hideMark/>
          </w:tcPr>
          <w:p w14:paraId="329E47A0"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0.528</w:t>
            </w:r>
          </w:p>
        </w:tc>
      </w:tr>
      <w:tr w:rsidR="00444C2E" w:rsidRPr="00444C2E" w14:paraId="032DBC34" w14:textId="77777777" w:rsidTr="00444C2E">
        <w:trPr>
          <w:trHeight w:val="320"/>
        </w:trPr>
        <w:tc>
          <w:tcPr>
            <w:tcW w:w="2700" w:type="dxa"/>
            <w:tcBorders>
              <w:top w:val="nil"/>
              <w:left w:val="nil"/>
              <w:bottom w:val="nil"/>
              <w:right w:val="nil"/>
            </w:tcBorders>
            <w:shd w:val="clear" w:color="auto" w:fill="auto"/>
            <w:noWrap/>
            <w:vAlign w:val="center"/>
            <w:hideMark/>
          </w:tcPr>
          <w:p w14:paraId="2F477B75" w14:textId="77777777" w:rsidR="00444C2E" w:rsidRPr="00444C2E" w:rsidRDefault="00444C2E">
            <w:pPr>
              <w:rPr>
                <w:rFonts w:ascii="Arial" w:hAnsi="Arial" w:cs="Arial"/>
                <w:color w:val="000000"/>
                <w:sz w:val="18"/>
                <w:szCs w:val="18"/>
              </w:rPr>
            </w:pPr>
            <w:r w:rsidRPr="00444C2E">
              <w:rPr>
                <w:rFonts w:ascii="Arial" w:hAnsi="Arial" w:cs="Arial"/>
                <w:color w:val="000000"/>
                <w:sz w:val="18"/>
                <w:szCs w:val="18"/>
              </w:rPr>
              <w:t>LNS</w:t>
            </w:r>
          </w:p>
        </w:tc>
        <w:tc>
          <w:tcPr>
            <w:tcW w:w="1234" w:type="dxa"/>
            <w:tcBorders>
              <w:top w:val="nil"/>
              <w:left w:val="nil"/>
              <w:bottom w:val="nil"/>
              <w:right w:val="nil"/>
            </w:tcBorders>
            <w:shd w:val="clear" w:color="auto" w:fill="auto"/>
            <w:noWrap/>
            <w:vAlign w:val="center"/>
            <w:hideMark/>
          </w:tcPr>
          <w:p w14:paraId="645807AD"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11.61±2.8</w:t>
            </w:r>
          </w:p>
        </w:tc>
        <w:tc>
          <w:tcPr>
            <w:tcW w:w="1366" w:type="dxa"/>
            <w:tcBorders>
              <w:top w:val="nil"/>
              <w:left w:val="nil"/>
              <w:bottom w:val="nil"/>
              <w:right w:val="nil"/>
            </w:tcBorders>
            <w:shd w:val="clear" w:color="auto" w:fill="auto"/>
            <w:noWrap/>
            <w:vAlign w:val="center"/>
            <w:hideMark/>
          </w:tcPr>
          <w:p w14:paraId="202B6DB6"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11.36±2.7</w:t>
            </w:r>
          </w:p>
        </w:tc>
        <w:tc>
          <w:tcPr>
            <w:tcW w:w="1362" w:type="dxa"/>
            <w:tcBorders>
              <w:top w:val="nil"/>
              <w:left w:val="nil"/>
              <w:bottom w:val="nil"/>
              <w:right w:val="nil"/>
            </w:tcBorders>
            <w:shd w:val="clear" w:color="auto" w:fill="auto"/>
            <w:noWrap/>
            <w:vAlign w:val="center"/>
            <w:hideMark/>
          </w:tcPr>
          <w:p w14:paraId="3D1CAE3E"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11.48±2.9</w:t>
            </w:r>
          </w:p>
        </w:tc>
        <w:tc>
          <w:tcPr>
            <w:tcW w:w="1377" w:type="dxa"/>
            <w:tcBorders>
              <w:top w:val="nil"/>
              <w:left w:val="nil"/>
              <w:bottom w:val="nil"/>
              <w:right w:val="single" w:sz="4" w:space="0" w:color="auto"/>
            </w:tcBorders>
            <w:shd w:val="clear" w:color="auto" w:fill="auto"/>
            <w:noWrap/>
            <w:vAlign w:val="center"/>
            <w:hideMark/>
          </w:tcPr>
          <w:p w14:paraId="1055532C"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11.49±2.7</w:t>
            </w:r>
          </w:p>
        </w:tc>
        <w:tc>
          <w:tcPr>
            <w:tcW w:w="1290" w:type="dxa"/>
            <w:tcBorders>
              <w:top w:val="nil"/>
              <w:left w:val="single" w:sz="4" w:space="0" w:color="auto"/>
              <w:bottom w:val="nil"/>
              <w:right w:val="nil"/>
            </w:tcBorders>
            <w:shd w:val="clear" w:color="auto" w:fill="auto"/>
            <w:noWrap/>
            <w:vAlign w:val="center"/>
            <w:hideMark/>
          </w:tcPr>
          <w:p w14:paraId="34647FE0"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0.748</w:t>
            </w:r>
          </w:p>
        </w:tc>
        <w:tc>
          <w:tcPr>
            <w:tcW w:w="1587" w:type="dxa"/>
            <w:tcBorders>
              <w:top w:val="nil"/>
              <w:left w:val="nil"/>
              <w:bottom w:val="nil"/>
              <w:right w:val="nil"/>
            </w:tcBorders>
            <w:shd w:val="clear" w:color="auto" w:fill="auto"/>
            <w:noWrap/>
            <w:vAlign w:val="center"/>
            <w:hideMark/>
          </w:tcPr>
          <w:p w14:paraId="0E8A7365"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0.519</w:t>
            </w:r>
          </w:p>
        </w:tc>
      </w:tr>
      <w:tr w:rsidR="00444C2E" w:rsidRPr="00444C2E" w14:paraId="6B4486B4" w14:textId="77777777" w:rsidTr="00444C2E">
        <w:trPr>
          <w:trHeight w:val="320"/>
        </w:trPr>
        <w:tc>
          <w:tcPr>
            <w:tcW w:w="2700" w:type="dxa"/>
            <w:tcBorders>
              <w:top w:val="nil"/>
              <w:left w:val="nil"/>
              <w:bottom w:val="nil"/>
              <w:right w:val="nil"/>
            </w:tcBorders>
            <w:shd w:val="clear" w:color="auto" w:fill="auto"/>
            <w:noWrap/>
            <w:vAlign w:val="center"/>
            <w:hideMark/>
          </w:tcPr>
          <w:p w14:paraId="0C99D22A" w14:textId="77777777" w:rsidR="00444C2E" w:rsidRPr="00444C2E" w:rsidRDefault="00444C2E">
            <w:pPr>
              <w:rPr>
                <w:rFonts w:ascii="Arial" w:hAnsi="Arial" w:cs="Arial"/>
                <w:color w:val="000000"/>
                <w:sz w:val="18"/>
                <w:szCs w:val="18"/>
              </w:rPr>
            </w:pPr>
            <w:r w:rsidRPr="00444C2E">
              <w:rPr>
                <w:rFonts w:ascii="Arial" w:hAnsi="Arial" w:cs="Arial"/>
                <w:color w:val="000000"/>
                <w:sz w:val="18"/>
                <w:szCs w:val="18"/>
              </w:rPr>
              <w:t>Semantic fluency</w:t>
            </w:r>
          </w:p>
        </w:tc>
        <w:tc>
          <w:tcPr>
            <w:tcW w:w="1234" w:type="dxa"/>
            <w:tcBorders>
              <w:top w:val="nil"/>
              <w:left w:val="nil"/>
              <w:bottom w:val="nil"/>
              <w:right w:val="nil"/>
            </w:tcBorders>
            <w:shd w:val="clear" w:color="auto" w:fill="auto"/>
            <w:noWrap/>
            <w:vAlign w:val="center"/>
            <w:hideMark/>
          </w:tcPr>
          <w:p w14:paraId="04203C60"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50.28±11.4</w:t>
            </w:r>
          </w:p>
        </w:tc>
        <w:tc>
          <w:tcPr>
            <w:tcW w:w="1366" w:type="dxa"/>
            <w:tcBorders>
              <w:top w:val="nil"/>
              <w:left w:val="nil"/>
              <w:bottom w:val="nil"/>
              <w:right w:val="nil"/>
            </w:tcBorders>
            <w:shd w:val="clear" w:color="auto" w:fill="auto"/>
            <w:noWrap/>
            <w:vAlign w:val="center"/>
            <w:hideMark/>
          </w:tcPr>
          <w:p w14:paraId="63B8F24D"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50.99±10.5</w:t>
            </w:r>
          </w:p>
        </w:tc>
        <w:tc>
          <w:tcPr>
            <w:tcW w:w="1362" w:type="dxa"/>
            <w:tcBorders>
              <w:top w:val="nil"/>
              <w:left w:val="nil"/>
              <w:bottom w:val="nil"/>
              <w:right w:val="nil"/>
            </w:tcBorders>
            <w:shd w:val="clear" w:color="auto" w:fill="auto"/>
            <w:noWrap/>
            <w:vAlign w:val="center"/>
            <w:hideMark/>
          </w:tcPr>
          <w:p w14:paraId="493450D6"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49.29±11</w:t>
            </w:r>
          </w:p>
        </w:tc>
        <w:tc>
          <w:tcPr>
            <w:tcW w:w="1377" w:type="dxa"/>
            <w:tcBorders>
              <w:top w:val="nil"/>
              <w:left w:val="nil"/>
              <w:bottom w:val="nil"/>
              <w:right w:val="single" w:sz="4" w:space="0" w:color="auto"/>
            </w:tcBorders>
            <w:shd w:val="clear" w:color="auto" w:fill="auto"/>
            <w:noWrap/>
            <w:vAlign w:val="center"/>
            <w:hideMark/>
          </w:tcPr>
          <w:p w14:paraId="770E0505"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51±10.3</w:t>
            </w:r>
          </w:p>
        </w:tc>
        <w:tc>
          <w:tcPr>
            <w:tcW w:w="1290" w:type="dxa"/>
            <w:tcBorders>
              <w:top w:val="nil"/>
              <w:left w:val="single" w:sz="4" w:space="0" w:color="auto"/>
              <w:bottom w:val="nil"/>
              <w:right w:val="nil"/>
            </w:tcBorders>
            <w:shd w:val="clear" w:color="auto" w:fill="auto"/>
            <w:noWrap/>
            <w:vAlign w:val="center"/>
            <w:hideMark/>
          </w:tcPr>
          <w:p w14:paraId="6FE38481"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0.525</w:t>
            </w:r>
          </w:p>
        </w:tc>
        <w:tc>
          <w:tcPr>
            <w:tcW w:w="1587" w:type="dxa"/>
            <w:tcBorders>
              <w:top w:val="nil"/>
              <w:left w:val="nil"/>
              <w:bottom w:val="nil"/>
              <w:right w:val="nil"/>
            </w:tcBorders>
            <w:shd w:val="clear" w:color="auto" w:fill="auto"/>
            <w:noWrap/>
            <w:vAlign w:val="center"/>
            <w:hideMark/>
          </w:tcPr>
          <w:p w14:paraId="065F3417"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0.985</w:t>
            </w:r>
          </w:p>
        </w:tc>
      </w:tr>
      <w:tr w:rsidR="00444C2E" w:rsidRPr="00444C2E" w14:paraId="6B22F4A9" w14:textId="77777777" w:rsidTr="00444C2E">
        <w:trPr>
          <w:trHeight w:val="320"/>
        </w:trPr>
        <w:tc>
          <w:tcPr>
            <w:tcW w:w="2700" w:type="dxa"/>
            <w:tcBorders>
              <w:top w:val="nil"/>
              <w:left w:val="nil"/>
              <w:bottom w:val="nil"/>
              <w:right w:val="nil"/>
            </w:tcBorders>
            <w:shd w:val="clear" w:color="auto" w:fill="auto"/>
            <w:noWrap/>
            <w:vAlign w:val="center"/>
            <w:hideMark/>
          </w:tcPr>
          <w:p w14:paraId="3EF0A20C" w14:textId="77777777" w:rsidR="00444C2E" w:rsidRPr="00444C2E" w:rsidRDefault="00444C2E">
            <w:pPr>
              <w:rPr>
                <w:rFonts w:ascii="Arial" w:hAnsi="Arial" w:cs="Arial"/>
                <w:color w:val="000000"/>
                <w:sz w:val="18"/>
                <w:szCs w:val="18"/>
              </w:rPr>
            </w:pPr>
            <w:r w:rsidRPr="00444C2E">
              <w:rPr>
                <w:rFonts w:ascii="Arial" w:hAnsi="Arial" w:cs="Arial"/>
                <w:color w:val="000000"/>
                <w:sz w:val="18"/>
                <w:szCs w:val="18"/>
              </w:rPr>
              <w:t>HVLT, immediate recall</w:t>
            </w:r>
          </w:p>
        </w:tc>
        <w:tc>
          <w:tcPr>
            <w:tcW w:w="1234" w:type="dxa"/>
            <w:tcBorders>
              <w:top w:val="nil"/>
              <w:left w:val="nil"/>
              <w:bottom w:val="nil"/>
              <w:right w:val="nil"/>
            </w:tcBorders>
            <w:shd w:val="clear" w:color="auto" w:fill="auto"/>
            <w:noWrap/>
            <w:vAlign w:val="center"/>
            <w:hideMark/>
          </w:tcPr>
          <w:p w14:paraId="30858D89"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46.22±10.5</w:t>
            </w:r>
          </w:p>
        </w:tc>
        <w:tc>
          <w:tcPr>
            <w:tcW w:w="1366" w:type="dxa"/>
            <w:tcBorders>
              <w:top w:val="nil"/>
              <w:left w:val="nil"/>
              <w:bottom w:val="nil"/>
              <w:right w:val="nil"/>
            </w:tcBorders>
            <w:shd w:val="clear" w:color="auto" w:fill="auto"/>
            <w:noWrap/>
            <w:vAlign w:val="center"/>
            <w:hideMark/>
          </w:tcPr>
          <w:p w14:paraId="0E939F2F"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45.99±10.7</w:t>
            </w:r>
          </w:p>
        </w:tc>
        <w:tc>
          <w:tcPr>
            <w:tcW w:w="1362" w:type="dxa"/>
            <w:tcBorders>
              <w:top w:val="nil"/>
              <w:left w:val="nil"/>
              <w:bottom w:val="nil"/>
              <w:right w:val="nil"/>
            </w:tcBorders>
            <w:shd w:val="clear" w:color="auto" w:fill="auto"/>
            <w:noWrap/>
            <w:vAlign w:val="center"/>
            <w:hideMark/>
          </w:tcPr>
          <w:p w14:paraId="504E7C74"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45.33±10.6</w:t>
            </w:r>
          </w:p>
        </w:tc>
        <w:tc>
          <w:tcPr>
            <w:tcW w:w="1377" w:type="dxa"/>
            <w:tcBorders>
              <w:top w:val="nil"/>
              <w:left w:val="nil"/>
              <w:bottom w:val="nil"/>
              <w:right w:val="single" w:sz="4" w:space="0" w:color="auto"/>
            </w:tcBorders>
            <w:shd w:val="clear" w:color="auto" w:fill="auto"/>
            <w:noWrap/>
            <w:vAlign w:val="center"/>
            <w:hideMark/>
          </w:tcPr>
          <w:p w14:paraId="6E0958B0"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46.32±10.4</w:t>
            </w:r>
          </w:p>
        </w:tc>
        <w:tc>
          <w:tcPr>
            <w:tcW w:w="1290" w:type="dxa"/>
            <w:tcBorders>
              <w:top w:val="nil"/>
              <w:left w:val="single" w:sz="4" w:space="0" w:color="auto"/>
              <w:bottom w:val="nil"/>
              <w:right w:val="nil"/>
            </w:tcBorders>
            <w:shd w:val="clear" w:color="auto" w:fill="auto"/>
            <w:noWrap/>
            <w:vAlign w:val="center"/>
            <w:hideMark/>
          </w:tcPr>
          <w:p w14:paraId="779C3D03"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0.544</w:t>
            </w:r>
          </w:p>
        </w:tc>
        <w:tc>
          <w:tcPr>
            <w:tcW w:w="1587" w:type="dxa"/>
            <w:tcBorders>
              <w:top w:val="nil"/>
              <w:left w:val="nil"/>
              <w:bottom w:val="nil"/>
              <w:right w:val="nil"/>
            </w:tcBorders>
            <w:shd w:val="clear" w:color="auto" w:fill="auto"/>
            <w:noWrap/>
            <w:vAlign w:val="center"/>
            <w:hideMark/>
          </w:tcPr>
          <w:p w14:paraId="3FDD9DA4"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0.671</w:t>
            </w:r>
          </w:p>
        </w:tc>
      </w:tr>
      <w:tr w:rsidR="00444C2E" w:rsidRPr="00444C2E" w14:paraId="5B5488E7" w14:textId="77777777" w:rsidTr="00444C2E">
        <w:trPr>
          <w:trHeight w:val="320"/>
        </w:trPr>
        <w:tc>
          <w:tcPr>
            <w:tcW w:w="2700" w:type="dxa"/>
            <w:tcBorders>
              <w:top w:val="nil"/>
              <w:left w:val="nil"/>
              <w:bottom w:val="nil"/>
              <w:right w:val="nil"/>
            </w:tcBorders>
            <w:shd w:val="clear" w:color="auto" w:fill="auto"/>
            <w:noWrap/>
            <w:vAlign w:val="center"/>
            <w:hideMark/>
          </w:tcPr>
          <w:p w14:paraId="3710EE9B" w14:textId="77777777" w:rsidR="00444C2E" w:rsidRPr="00444C2E" w:rsidRDefault="00444C2E">
            <w:pPr>
              <w:rPr>
                <w:rFonts w:ascii="Arial" w:hAnsi="Arial" w:cs="Arial"/>
                <w:color w:val="000000"/>
                <w:sz w:val="18"/>
                <w:szCs w:val="18"/>
              </w:rPr>
            </w:pPr>
            <w:r w:rsidRPr="00444C2E">
              <w:rPr>
                <w:rFonts w:ascii="Arial" w:hAnsi="Arial" w:cs="Arial"/>
                <w:color w:val="000000"/>
                <w:sz w:val="18"/>
                <w:szCs w:val="18"/>
              </w:rPr>
              <w:t>HVLT, delayed recall</w:t>
            </w:r>
          </w:p>
        </w:tc>
        <w:tc>
          <w:tcPr>
            <w:tcW w:w="1234" w:type="dxa"/>
            <w:tcBorders>
              <w:top w:val="nil"/>
              <w:left w:val="nil"/>
              <w:bottom w:val="nil"/>
              <w:right w:val="nil"/>
            </w:tcBorders>
            <w:shd w:val="clear" w:color="auto" w:fill="auto"/>
            <w:noWrap/>
            <w:vAlign w:val="center"/>
            <w:hideMark/>
          </w:tcPr>
          <w:p w14:paraId="1F9E89DA"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46.45±10.3</w:t>
            </w:r>
          </w:p>
        </w:tc>
        <w:tc>
          <w:tcPr>
            <w:tcW w:w="1366" w:type="dxa"/>
            <w:tcBorders>
              <w:top w:val="nil"/>
              <w:left w:val="nil"/>
              <w:bottom w:val="nil"/>
              <w:right w:val="nil"/>
            </w:tcBorders>
            <w:shd w:val="clear" w:color="auto" w:fill="auto"/>
            <w:noWrap/>
            <w:vAlign w:val="center"/>
            <w:hideMark/>
          </w:tcPr>
          <w:p w14:paraId="201B25FF"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45.14±11.4</w:t>
            </w:r>
          </w:p>
        </w:tc>
        <w:tc>
          <w:tcPr>
            <w:tcW w:w="1362" w:type="dxa"/>
            <w:tcBorders>
              <w:top w:val="nil"/>
              <w:left w:val="nil"/>
              <w:bottom w:val="nil"/>
              <w:right w:val="nil"/>
            </w:tcBorders>
            <w:shd w:val="clear" w:color="auto" w:fill="auto"/>
            <w:noWrap/>
            <w:vAlign w:val="center"/>
            <w:hideMark/>
          </w:tcPr>
          <w:p w14:paraId="4C8D6B26"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45.96±11</w:t>
            </w:r>
          </w:p>
        </w:tc>
        <w:tc>
          <w:tcPr>
            <w:tcW w:w="1377" w:type="dxa"/>
            <w:tcBorders>
              <w:top w:val="nil"/>
              <w:left w:val="nil"/>
              <w:bottom w:val="nil"/>
              <w:right w:val="single" w:sz="4" w:space="0" w:color="auto"/>
            </w:tcBorders>
            <w:shd w:val="clear" w:color="auto" w:fill="auto"/>
            <w:noWrap/>
            <w:vAlign w:val="center"/>
            <w:hideMark/>
          </w:tcPr>
          <w:p w14:paraId="68545D87"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45.80±11.2</w:t>
            </w:r>
          </w:p>
        </w:tc>
        <w:tc>
          <w:tcPr>
            <w:tcW w:w="1290" w:type="dxa"/>
            <w:tcBorders>
              <w:top w:val="nil"/>
              <w:left w:val="single" w:sz="4" w:space="0" w:color="auto"/>
              <w:bottom w:val="nil"/>
              <w:right w:val="nil"/>
            </w:tcBorders>
            <w:shd w:val="clear" w:color="auto" w:fill="auto"/>
            <w:noWrap/>
            <w:vAlign w:val="center"/>
            <w:hideMark/>
          </w:tcPr>
          <w:p w14:paraId="07950440"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0.727</w:t>
            </w:r>
          </w:p>
        </w:tc>
        <w:tc>
          <w:tcPr>
            <w:tcW w:w="1587" w:type="dxa"/>
            <w:tcBorders>
              <w:top w:val="nil"/>
              <w:left w:val="nil"/>
              <w:bottom w:val="nil"/>
              <w:right w:val="nil"/>
            </w:tcBorders>
            <w:shd w:val="clear" w:color="auto" w:fill="auto"/>
            <w:noWrap/>
            <w:vAlign w:val="center"/>
            <w:hideMark/>
          </w:tcPr>
          <w:p w14:paraId="7AD0B68E"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0.418</w:t>
            </w:r>
          </w:p>
        </w:tc>
      </w:tr>
      <w:tr w:rsidR="00444C2E" w:rsidRPr="00444C2E" w14:paraId="04BB7F21" w14:textId="77777777" w:rsidTr="00444C2E">
        <w:trPr>
          <w:trHeight w:val="320"/>
        </w:trPr>
        <w:tc>
          <w:tcPr>
            <w:tcW w:w="2700" w:type="dxa"/>
            <w:tcBorders>
              <w:top w:val="nil"/>
              <w:left w:val="nil"/>
              <w:bottom w:val="nil"/>
              <w:right w:val="nil"/>
            </w:tcBorders>
            <w:shd w:val="clear" w:color="auto" w:fill="auto"/>
            <w:noWrap/>
            <w:vAlign w:val="center"/>
            <w:hideMark/>
          </w:tcPr>
          <w:p w14:paraId="5514FF00" w14:textId="77777777" w:rsidR="00444C2E" w:rsidRPr="00444C2E" w:rsidRDefault="00444C2E">
            <w:pPr>
              <w:rPr>
                <w:rFonts w:ascii="Arial" w:hAnsi="Arial" w:cs="Arial"/>
                <w:color w:val="000000"/>
                <w:sz w:val="18"/>
                <w:szCs w:val="18"/>
              </w:rPr>
            </w:pPr>
            <w:r w:rsidRPr="00444C2E">
              <w:rPr>
                <w:rFonts w:ascii="Arial" w:hAnsi="Arial" w:cs="Arial"/>
                <w:color w:val="000000"/>
                <w:sz w:val="18"/>
                <w:szCs w:val="18"/>
              </w:rPr>
              <w:t>HVLT, retention</w:t>
            </w:r>
          </w:p>
        </w:tc>
        <w:tc>
          <w:tcPr>
            <w:tcW w:w="1234" w:type="dxa"/>
            <w:tcBorders>
              <w:top w:val="nil"/>
              <w:left w:val="nil"/>
              <w:bottom w:val="nil"/>
              <w:right w:val="nil"/>
            </w:tcBorders>
            <w:shd w:val="clear" w:color="auto" w:fill="auto"/>
            <w:noWrap/>
            <w:vAlign w:val="center"/>
            <w:hideMark/>
          </w:tcPr>
          <w:p w14:paraId="21879139"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48.59±10.5</w:t>
            </w:r>
          </w:p>
        </w:tc>
        <w:tc>
          <w:tcPr>
            <w:tcW w:w="1366" w:type="dxa"/>
            <w:tcBorders>
              <w:top w:val="nil"/>
              <w:left w:val="nil"/>
              <w:bottom w:val="nil"/>
              <w:right w:val="nil"/>
            </w:tcBorders>
            <w:shd w:val="clear" w:color="auto" w:fill="auto"/>
            <w:noWrap/>
            <w:vAlign w:val="center"/>
            <w:hideMark/>
          </w:tcPr>
          <w:p w14:paraId="68DAF299"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46.90±11.7</w:t>
            </w:r>
          </w:p>
        </w:tc>
        <w:tc>
          <w:tcPr>
            <w:tcW w:w="1362" w:type="dxa"/>
            <w:tcBorders>
              <w:top w:val="nil"/>
              <w:left w:val="nil"/>
              <w:bottom w:val="nil"/>
              <w:right w:val="nil"/>
            </w:tcBorders>
            <w:shd w:val="clear" w:color="auto" w:fill="auto"/>
            <w:noWrap/>
            <w:vAlign w:val="center"/>
            <w:hideMark/>
          </w:tcPr>
          <w:p w14:paraId="3299CEF2"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48.56±9.9</w:t>
            </w:r>
          </w:p>
        </w:tc>
        <w:tc>
          <w:tcPr>
            <w:tcW w:w="1377" w:type="dxa"/>
            <w:tcBorders>
              <w:top w:val="nil"/>
              <w:left w:val="nil"/>
              <w:bottom w:val="nil"/>
              <w:right w:val="single" w:sz="4" w:space="0" w:color="auto"/>
            </w:tcBorders>
            <w:shd w:val="clear" w:color="auto" w:fill="auto"/>
            <w:noWrap/>
            <w:vAlign w:val="center"/>
            <w:hideMark/>
          </w:tcPr>
          <w:p w14:paraId="51A4DAF3"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47.66±11.6</w:t>
            </w:r>
          </w:p>
        </w:tc>
        <w:tc>
          <w:tcPr>
            <w:tcW w:w="1290" w:type="dxa"/>
            <w:tcBorders>
              <w:top w:val="nil"/>
              <w:left w:val="single" w:sz="4" w:space="0" w:color="auto"/>
              <w:bottom w:val="nil"/>
              <w:right w:val="nil"/>
            </w:tcBorders>
            <w:shd w:val="clear" w:color="auto" w:fill="auto"/>
            <w:noWrap/>
            <w:vAlign w:val="center"/>
            <w:hideMark/>
          </w:tcPr>
          <w:p w14:paraId="3C708F98"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0.982</w:t>
            </w:r>
          </w:p>
        </w:tc>
        <w:tc>
          <w:tcPr>
            <w:tcW w:w="1587" w:type="dxa"/>
            <w:tcBorders>
              <w:top w:val="nil"/>
              <w:left w:val="nil"/>
              <w:bottom w:val="nil"/>
              <w:right w:val="nil"/>
            </w:tcBorders>
            <w:shd w:val="clear" w:color="auto" w:fill="auto"/>
            <w:noWrap/>
            <w:vAlign w:val="center"/>
            <w:hideMark/>
          </w:tcPr>
          <w:p w14:paraId="45418299"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0.370</w:t>
            </w:r>
          </w:p>
        </w:tc>
      </w:tr>
      <w:tr w:rsidR="00444C2E" w:rsidRPr="00444C2E" w14:paraId="75DC6680" w14:textId="77777777" w:rsidTr="00444C2E">
        <w:trPr>
          <w:trHeight w:val="320"/>
        </w:trPr>
        <w:tc>
          <w:tcPr>
            <w:tcW w:w="2700" w:type="dxa"/>
            <w:tcBorders>
              <w:top w:val="nil"/>
              <w:left w:val="nil"/>
              <w:bottom w:val="nil"/>
              <w:right w:val="nil"/>
            </w:tcBorders>
            <w:shd w:val="clear" w:color="auto" w:fill="auto"/>
            <w:noWrap/>
            <w:vAlign w:val="center"/>
            <w:hideMark/>
          </w:tcPr>
          <w:p w14:paraId="2808D8A6" w14:textId="77777777" w:rsidR="00444C2E" w:rsidRPr="00444C2E" w:rsidRDefault="00444C2E">
            <w:pPr>
              <w:rPr>
                <w:rFonts w:ascii="Arial" w:hAnsi="Arial" w:cs="Arial"/>
                <w:color w:val="000000"/>
                <w:sz w:val="18"/>
                <w:szCs w:val="18"/>
              </w:rPr>
            </w:pPr>
            <w:r w:rsidRPr="00444C2E">
              <w:rPr>
                <w:rFonts w:ascii="Arial" w:hAnsi="Arial" w:cs="Arial"/>
                <w:color w:val="000000"/>
                <w:sz w:val="18"/>
                <w:szCs w:val="18"/>
              </w:rPr>
              <w:t>HVLT, recognition </w:t>
            </w:r>
          </w:p>
        </w:tc>
        <w:tc>
          <w:tcPr>
            <w:tcW w:w="1234" w:type="dxa"/>
            <w:tcBorders>
              <w:top w:val="nil"/>
              <w:left w:val="nil"/>
              <w:bottom w:val="nil"/>
              <w:right w:val="nil"/>
            </w:tcBorders>
            <w:shd w:val="clear" w:color="auto" w:fill="auto"/>
            <w:noWrap/>
            <w:vAlign w:val="center"/>
            <w:hideMark/>
          </w:tcPr>
          <w:p w14:paraId="766C32F7"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46.74±11.4</w:t>
            </w:r>
          </w:p>
        </w:tc>
        <w:tc>
          <w:tcPr>
            <w:tcW w:w="1366" w:type="dxa"/>
            <w:tcBorders>
              <w:top w:val="nil"/>
              <w:left w:val="nil"/>
              <w:bottom w:val="nil"/>
              <w:right w:val="nil"/>
            </w:tcBorders>
            <w:shd w:val="clear" w:color="auto" w:fill="auto"/>
            <w:noWrap/>
            <w:vAlign w:val="center"/>
            <w:hideMark/>
          </w:tcPr>
          <w:p w14:paraId="2FEC25B1"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45.96±10.9</w:t>
            </w:r>
          </w:p>
        </w:tc>
        <w:tc>
          <w:tcPr>
            <w:tcW w:w="1362" w:type="dxa"/>
            <w:tcBorders>
              <w:top w:val="nil"/>
              <w:left w:val="nil"/>
              <w:bottom w:val="nil"/>
              <w:right w:val="nil"/>
            </w:tcBorders>
            <w:shd w:val="clear" w:color="auto" w:fill="auto"/>
            <w:noWrap/>
            <w:vAlign w:val="center"/>
            <w:hideMark/>
          </w:tcPr>
          <w:p w14:paraId="116EC9CD"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46.30±11.9</w:t>
            </w:r>
          </w:p>
        </w:tc>
        <w:tc>
          <w:tcPr>
            <w:tcW w:w="1377" w:type="dxa"/>
            <w:tcBorders>
              <w:top w:val="nil"/>
              <w:left w:val="nil"/>
              <w:bottom w:val="nil"/>
              <w:right w:val="single" w:sz="4" w:space="0" w:color="auto"/>
            </w:tcBorders>
            <w:shd w:val="clear" w:color="auto" w:fill="auto"/>
            <w:noWrap/>
            <w:vAlign w:val="center"/>
            <w:hideMark/>
          </w:tcPr>
          <w:p w14:paraId="6240706C"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45.97±10.7</w:t>
            </w:r>
          </w:p>
        </w:tc>
        <w:tc>
          <w:tcPr>
            <w:tcW w:w="1290" w:type="dxa"/>
            <w:tcBorders>
              <w:top w:val="nil"/>
              <w:left w:val="single" w:sz="4" w:space="0" w:color="auto"/>
              <w:bottom w:val="nil"/>
              <w:right w:val="nil"/>
            </w:tcBorders>
            <w:shd w:val="clear" w:color="auto" w:fill="auto"/>
            <w:noWrap/>
            <w:vAlign w:val="center"/>
            <w:hideMark/>
          </w:tcPr>
          <w:p w14:paraId="5D25CCDA"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0.785</w:t>
            </w:r>
          </w:p>
        </w:tc>
        <w:tc>
          <w:tcPr>
            <w:tcW w:w="1587" w:type="dxa"/>
            <w:tcBorders>
              <w:top w:val="nil"/>
              <w:left w:val="nil"/>
              <w:bottom w:val="nil"/>
              <w:right w:val="nil"/>
            </w:tcBorders>
            <w:shd w:val="clear" w:color="auto" w:fill="auto"/>
            <w:noWrap/>
            <w:vAlign w:val="center"/>
            <w:hideMark/>
          </w:tcPr>
          <w:p w14:paraId="0E30BD6F"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0.753</w:t>
            </w:r>
          </w:p>
        </w:tc>
      </w:tr>
      <w:tr w:rsidR="00444C2E" w:rsidRPr="00444C2E" w14:paraId="73BD04D1" w14:textId="77777777" w:rsidTr="00444C2E">
        <w:trPr>
          <w:trHeight w:val="320"/>
        </w:trPr>
        <w:tc>
          <w:tcPr>
            <w:tcW w:w="2700" w:type="dxa"/>
            <w:tcBorders>
              <w:top w:val="nil"/>
              <w:left w:val="nil"/>
              <w:bottom w:val="single" w:sz="4" w:space="0" w:color="auto"/>
              <w:right w:val="nil"/>
            </w:tcBorders>
            <w:shd w:val="clear" w:color="auto" w:fill="auto"/>
            <w:noWrap/>
            <w:vAlign w:val="center"/>
            <w:hideMark/>
          </w:tcPr>
          <w:p w14:paraId="235525A0" w14:textId="77777777" w:rsidR="00444C2E" w:rsidRPr="00444C2E" w:rsidRDefault="00444C2E">
            <w:pPr>
              <w:rPr>
                <w:rFonts w:ascii="Arial" w:hAnsi="Arial" w:cs="Arial"/>
                <w:color w:val="000000"/>
                <w:sz w:val="18"/>
                <w:szCs w:val="18"/>
              </w:rPr>
            </w:pPr>
            <w:r w:rsidRPr="00444C2E">
              <w:rPr>
                <w:rFonts w:ascii="Arial" w:hAnsi="Arial" w:cs="Arial"/>
                <w:color w:val="000000"/>
                <w:sz w:val="18"/>
                <w:szCs w:val="18"/>
              </w:rPr>
              <w:t>SDM</w:t>
            </w:r>
          </w:p>
        </w:tc>
        <w:tc>
          <w:tcPr>
            <w:tcW w:w="1234" w:type="dxa"/>
            <w:tcBorders>
              <w:top w:val="nil"/>
              <w:left w:val="nil"/>
              <w:bottom w:val="single" w:sz="4" w:space="0" w:color="auto"/>
              <w:right w:val="nil"/>
            </w:tcBorders>
            <w:shd w:val="clear" w:color="auto" w:fill="auto"/>
            <w:noWrap/>
            <w:vAlign w:val="center"/>
            <w:hideMark/>
          </w:tcPr>
          <w:p w14:paraId="14913EF9"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44±11.1</w:t>
            </w:r>
          </w:p>
        </w:tc>
        <w:tc>
          <w:tcPr>
            <w:tcW w:w="1366" w:type="dxa"/>
            <w:tcBorders>
              <w:top w:val="nil"/>
              <w:left w:val="nil"/>
              <w:bottom w:val="single" w:sz="4" w:space="0" w:color="auto"/>
              <w:right w:val="nil"/>
            </w:tcBorders>
            <w:shd w:val="clear" w:color="auto" w:fill="auto"/>
            <w:noWrap/>
            <w:vAlign w:val="center"/>
            <w:hideMark/>
          </w:tcPr>
          <w:p w14:paraId="232993C0"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44.75±9.2</w:t>
            </w:r>
          </w:p>
        </w:tc>
        <w:tc>
          <w:tcPr>
            <w:tcW w:w="1362" w:type="dxa"/>
            <w:tcBorders>
              <w:top w:val="nil"/>
              <w:left w:val="nil"/>
              <w:bottom w:val="single" w:sz="4" w:space="0" w:color="auto"/>
              <w:right w:val="nil"/>
            </w:tcBorders>
            <w:shd w:val="clear" w:color="auto" w:fill="auto"/>
            <w:noWrap/>
            <w:vAlign w:val="center"/>
            <w:hideMark/>
          </w:tcPr>
          <w:p w14:paraId="0D15F68F"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44.44±11.1</w:t>
            </w:r>
          </w:p>
        </w:tc>
        <w:tc>
          <w:tcPr>
            <w:tcW w:w="1377" w:type="dxa"/>
            <w:tcBorders>
              <w:top w:val="nil"/>
              <w:left w:val="nil"/>
              <w:bottom w:val="single" w:sz="4" w:space="0" w:color="auto"/>
              <w:right w:val="single" w:sz="4" w:space="0" w:color="auto"/>
            </w:tcBorders>
            <w:shd w:val="clear" w:color="auto" w:fill="auto"/>
            <w:noWrap/>
            <w:vAlign w:val="center"/>
            <w:hideMark/>
          </w:tcPr>
          <w:p w14:paraId="1EA07C35"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45.11±9</w:t>
            </w:r>
          </w:p>
        </w:tc>
        <w:tc>
          <w:tcPr>
            <w:tcW w:w="1290" w:type="dxa"/>
            <w:tcBorders>
              <w:top w:val="nil"/>
              <w:left w:val="single" w:sz="4" w:space="0" w:color="auto"/>
              <w:bottom w:val="single" w:sz="4" w:space="0" w:color="auto"/>
              <w:right w:val="nil"/>
            </w:tcBorders>
            <w:shd w:val="clear" w:color="auto" w:fill="auto"/>
            <w:noWrap/>
            <w:vAlign w:val="center"/>
            <w:hideMark/>
          </w:tcPr>
          <w:p w14:paraId="0DC9AFD5"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0.789</w:t>
            </w:r>
          </w:p>
        </w:tc>
        <w:tc>
          <w:tcPr>
            <w:tcW w:w="1587" w:type="dxa"/>
            <w:tcBorders>
              <w:top w:val="nil"/>
              <w:left w:val="nil"/>
              <w:bottom w:val="single" w:sz="4" w:space="0" w:color="auto"/>
              <w:right w:val="nil"/>
            </w:tcBorders>
            <w:shd w:val="clear" w:color="auto" w:fill="auto"/>
            <w:noWrap/>
            <w:vAlign w:val="center"/>
            <w:hideMark/>
          </w:tcPr>
          <w:p w14:paraId="0D6B4929"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0.587</w:t>
            </w:r>
          </w:p>
        </w:tc>
      </w:tr>
      <w:tr w:rsidR="00444C2E" w:rsidRPr="00497CAC" w14:paraId="744E1886" w14:textId="77777777" w:rsidTr="00444C2E">
        <w:trPr>
          <w:trHeight w:val="340"/>
        </w:trPr>
        <w:tc>
          <w:tcPr>
            <w:tcW w:w="10916" w:type="dxa"/>
            <w:gridSpan w:val="7"/>
            <w:tcBorders>
              <w:top w:val="single" w:sz="4" w:space="0" w:color="auto"/>
              <w:left w:val="nil"/>
              <w:bottom w:val="single" w:sz="4" w:space="0" w:color="auto"/>
            </w:tcBorders>
            <w:shd w:val="clear" w:color="000000" w:fill="E8E8E8"/>
            <w:noWrap/>
            <w:vAlign w:val="center"/>
            <w:hideMark/>
          </w:tcPr>
          <w:p w14:paraId="356EBBF0" w14:textId="77777777" w:rsidR="00444C2E" w:rsidRPr="00E63A7C" w:rsidRDefault="00444C2E">
            <w:pPr>
              <w:rPr>
                <w:rFonts w:ascii="Arial" w:hAnsi="Arial" w:cs="Arial"/>
                <w:i/>
                <w:iCs/>
                <w:color w:val="000000"/>
                <w:sz w:val="18"/>
                <w:szCs w:val="18"/>
                <w:lang w:val="en-GB"/>
              </w:rPr>
            </w:pPr>
            <w:r w:rsidRPr="00444C2E">
              <w:rPr>
                <w:rFonts w:ascii="Arial" w:hAnsi="Arial" w:cs="Arial"/>
                <w:i/>
                <w:iCs/>
                <w:color w:val="000000"/>
                <w:sz w:val="18"/>
                <w:szCs w:val="18"/>
                <w:lang w:val="en-US"/>
              </w:rPr>
              <w:t>Cognitive assessment - at follow-up</w:t>
            </w:r>
          </w:p>
        </w:tc>
      </w:tr>
      <w:tr w:rsidR="00444C2E" w:rsidRPr="00444C2E" w14:paraId="396A87DB" w14:textId="77777777" w:rsidTr="00444C2E">
        <w:trPr>
          <w:trHeight w:val="320"/>
        </w:trPr>
        <w:tc>
          <w:tcPr>
            <w:tcW w:w="2700" w:type="dxa"/>
            <w:tcBorders>
              <w:top w:val="single" w:sz="4" w:space="0" w:color="auto"/>
              <w:left w:val="nil"/>
              <w:bottom w:val="nil"/>
              <w:right w:val="nil"/>
            </w:tcBorders>
            <w:shd w:val="clear" w:color="auto" w:fill="auto"/>
            <w:noWrap/>
            <w:vAlign w:val="center"/>
            <w:hideMark/>
          </w:tcPr>
          <w:p w14:paraId="730FB0B5" w14:textId="77777777" w:rsidR="00444C2E" w:rsidRPr="00444C2E" w:rsidRDefault="00444C2E">
            <w:pPr>
              <w:rPr>
                <w:rFonts w:ascii="Arial" w:hAnsi="Arial" w:cs="Arial"/>
                <w:color w:val="000000"/>
                <w:sz w:val="18"/>
                <w:szCs w:val="18"/>
              </w:rPr>
            </w:pPr>
            <w:r w:rsidRPr="00444C2E">
              <w:rPr>
                <w:rFonts w:ascii="Arial" w:hAnsi="Arial" w:cs="Arial"/>
                <w:color w:val="000000"/>
                <w:sz w:val="18"/>
                <w:szCs w:val="18"/>
              </w:rPr>
              <w:t>Follow-up Time</w:t>
            </w:r>
          </w:p>
        </w:tc>
        <w:tc>
          <w:tcPr>
            <w:tcW w:w="1234" w:type="dxa"/>
            <w:tcBorders>
              <w:top w:val="single" w:sz="4" w:space="0" w:color="auto"/>
              <w:left w:val="nil"/>
              <w:bottom w:val="nil"/>
              <w:right w:val="nil"/>
            </w:tcBorders>
            <w:shd w:val="clear" w:color="auto" w:fill="auto"/>
            <w:noWrap/>
            <w:vAlign w:val="center"/>
            <w:hideMark/>
          </w:tcPr>
          <w:p w14:paraId="3BFAFC7A"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5.85±2.8</w:t>
            </w:r>
          </w:p>
        </w:tc>
        <w:tc>
          <w:tcPr>
            <w:tcW w:w="1366" w:type="dxa"/>
            <w:tcBorders>
              <w:top w:val="single" w:sz="4" w:space="0" w:color="auto"/>
              <w:left w:val="nil"/>
              <w:bottom w:val="nil"/>
              <w:right w:val="nil"/>
            </w:tcBorders>
            <w:shd w:val="clear" w:color="auto" w:fill="auto"/>
            <w:noWrap/>
            <w:vAlign w:val="center"/>
            <w:hideMark/>
          </w:tcPr>
          <w:p w14:paraId="26B49D61"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7.1±3.3</w:t>
            </w:r>
          </w:p>
        </w:tc>
        <w:tc>
          <w:tcPr>
            <w:tcW w:w="1362" w:type="dxa"/>
            <w:tcBorders>
              <w:top w:val="single" w:sz="4" w:space="0" w:color="auto"/>
              <w:left w:val="nil"/>
              <w:bottom w:val="nil"/>
              <w:right w:val="nil"/>
            </w:tcBorders>
            <w:shd w:val="clear" w:color="auto" w:fill="auto"/>
            <w:noWrap/>
            <w:vAlign w:val="center"/>
            <w:hideMark/>
          </w:tcPr>
          <w:p w14:paraId="7A064988"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3±0</w:t>
            </w:r>
          </w:p>
        </w:tc>
        <w:tc>
          <w:tcPr>
            <w:tcW w:w="1377" w:type="dxa"/>
            <w:tcBorders>
              <w:top w:val="single" w:sz="4" w:space="0" w:color="auto"/>
              <w:left w:val="nil"/>
              <w:bottom w:val="nil"/>
              <w:right w:val="single" w:sz="4" w:space="0" w:color="auto"/>
            </w:tcBorders>
            <w:shd w:val="clear" w:color="auto" w:fill="auto"/>
            <w:noWrap/>
            <w:vAlign w:val="center"/>
            <w:hideMark/>
          </w:tcPr>
          <w:p w14:paraId="5E3FE88E"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3±0</w:t>
            </w:r>
          </w:p>
        </w:tc>
        <w:tc>
          <w:tcPr>
            <w:tcW w:w="1290" w:type="dxa"/>
            <w:tcBorders>
              <w:top w:val="single" w:sz="4" w:space="0" w:color="auto"/>
              <w:left w:val="single" w:sz="4" w:space="0" w:color="auto"/>
              <w:bottom w:val="nil"/>
              <w:right w:val="nil"/>
            </w:tcBorders>
            <w:shd w:val="clear" w:color="auto" w:fill="auto"/>
            <w:noWrap/>
            <w:vAlign w:val="center"/>
            <w:hideMark/>
          </w:tcPr>
          <w:p w14:paraId="54C97D0E" w14:textId="77777777" w:rsidR="00444C2E" w:rsidRPr="00444C2E" w:rsidRDefault="00444C2E">
            <w:pPr>
              <w:jc w:val="center"/>
              <w:rPr>
                <w:rFonts w:ascii="Arial" w:hAnsi="Arial" w:cs="Arial"/>
                <w:b/>
                <w:bCs/>
                <w:color w:val="000000"/>
                <w:sz w:val="18"/>
                <w:szCs w:val="18"/>
              </w:rPr>
            </w:pPr>
            <w:r w:rsidRPr="00444C2E">
              <w:rPr>
                <w:rFonts w:ascii="Arial" w:hAnsi="Arial" w:cs="Arial"/>
                <w:b/>
                <w:bCs/>
                <w:color w:val="000000"/>
                <w:sz w:val="18"/>
                <w:szCs w:val="18"/>
              </w:rPr>
              <w:t>0.000</w:t>
            </w:r>
          </w:p>
        </w:tc>
        <w:tc>
          <w:tcPr>
            <w:tcW w:w="1587" w:type="dxa"/>
            <w:tcBorders>
              <w:top w:val="single" w:sz="4" w:space="0" w:color="auto"/>
              <w:left w:val="nil"/>
              <w:bottom w:val="nil"/>
              <w:right w:val="nil"/>
            </w:tcBorders>
            <w:shd w:val="clear" w:color="auto" w:fill="auto"/>
            <w:noWrap/>
            <w:vAlign w:val="center"/>
            <w:hideMark/>
          </w:tcPr>
          <w:p w14:paraId="50CF6A63" w14:textId="77777777" w:rsidR="00444C2E" w:rsidRPr="00444C2E" w:rsidRDefault="00444C2E">
            <w:pPr>
              <w:jc w:val="center"/>
              <w:rPr>
                <w:rFonts w:ascii="Arial" w:hAnsi="Arial" w:cs="Arial"/>
                <w:b/>
                <w:bCs/>
                <w:color w:val="000000"/>
                <w:sz w:val="18"/>
                <w:szCs w:val="18"/>
              </w:rPr>
            </w:pPr>
            <w:r w:rsidRPr="00444C2E">
              <w:rPr>
                <w:rFonts w:ascii="Arial" w:hAnsi="Arial" w:cs="Arial"/>
                <w:b/>
                <w:bCs/>
                <w:color w:val="000000"/>
                <w:sz w:val="18"/>
                <w:szCs w:val="18"/>
              </w:rPr>
              <w:t>0.000</w:t>
            </w:r>
          </w:p>
        </w:tc>
      </w:tr>
      <w:tr w:rsidR="00444C2E" w:rsidRPr="00444C2E" w14:paraId="68EE2BEE" w14:textId="77777777" w:rsidTr="00444C2E">
        <w:trPr>
          <w:trHeight w:val="320"/>
        </w:trPr>
        <w:tc>
          <w:tcPr>
            <w:tcW w:w="2700" w:type="dxa"/>
            <w:tcBorders>
              <w:top w:val="nil"/>
              <w:left w:val="nil"/>
              <w:bottom w:val="nil"/>
              <w:right w:val="nil"/>
            </w:tcBorders>
            <w:shd w:val="clear" w:color="auto" w:fill="auto"/>
            <w:noWrap/>
            <w:vAlign w:val="center"/>
            <w:hideMark/>
          </w:tcPr>
          <w:p w14:paraId="46EAA65D" w14:textId="77777777" w:rsidR="00444C2E" w:rsidRPr="00444C2E" w:rsidRDefault="00444C2E">
            <w:pPr>
              <w:rPr>
                <w:rFonts w:ascii="Arial" w:hAnsi="Arial" w:cs="Arial"/>
                <w:color w:val="000000"/>
                <w:sz w:val="18"/>
                <w:szCs w:val="18"/>
              </w:rPr>
            </w:pPr>
            <w:r w:rsidRPr="00444C2E">
              <w:rPr>
                <w:rFonts w:ascii="Arial" w:hAnsi="Arial" w:cs="Arial"/>
                <w:color w:val="000000"/>
                <w:sz w:val="18"/>
                <w:szCs w:val="18"/>
              </w:rPr>
              <w:t>MoCA deflection</w:t>
            </w:r>
          </w:p>
        </w:tc>
        <w:tc>
          <w:tcPr>
            <w:tcW w:w="1234" w:type="dxa"/>
            <w:tcBorders>
              <w:top w:val="nil"/>
              <w:left w:val="nil"/>
              <w:bottom w:val="nil"/>
              <w:right w:val="nil"/>
            </w:tcBorders>
            <w:shd w:val="clear" w:color="auto" w:fill="auto"/>
            <w:noWrap/>
            <w:vAlign w:val="center"/>
            <w:hideMark/>
          </w:tcPr>
          <w:p w14:paraId="32FD1467"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-0.68±1.5</w:t>
            </w:r>
          </w:p>
        </w:tc>
        <w:tc>
          <w:tcPr>
            <w:tcW w:w="1366" w:type="dxa"/>
            <w:tcBorders>
              <w:top w:val="nil"/>
              <w:left w:val="nil"/>
              <w:bottom w:val="nil"/>
              <w:right w:val="nil"/>
            </w:tcBorders>
            <w:shd w:val="clear" w:color="auto" w:fill="auto"/>
            <w:noWrap/>
            <w:vAlign w:val="center"/>
            <w:hideMark/>
          </w:tcPr>
          <w:p w14:paraId="32048C5C"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-0.27±1</w:t>
            </w:r>
          </w:p>
        </w:tc>
        <w:tc>
          <w:tcPr>
            <w:tcW w:w="1362" w:type="dxa"/>
            <w:tcBorders>
              <w:top w:val="nil"/>
              <w:left w:val="nil"/>
              <w:bottom w:val="nil"/>
              <w:right w:val="nil"/>
            </w:tcBorders>
            <w:shd w:val="clear" w:color="auto" w:fill="auto"/>
            <w:noWrap/>
            <w:vAlign w:val="center"/>
            <w:hideMark/>
          </w:tcPr>
          <w:p w14:paraId="73897033"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-0.72±1.3</w:t>
            </w:r>
          </w:p>
        </w:tc>
        <w:tc>
          <w:tcPr>
            <w:tcW w:w="1377" w:type="dxa"/>
            <w:tcBorders>
              <w:top w:val="nil"/>
              <w:left w:val="nil"/>
              <w:bottom w:val="nil"/>
              <w:right w:val="single" w:sz="4" w:space="0" w:color="auto"/>
            </w:tcBorders>
            <w:shd w:val="clear" w:color="auto" w:fill="auto"/>
            <w:noWrap/>
            <w:vAlign w:val="center"/>
            <w:hideMark/>
          </w:tcPr>
          <w:p w14:paraId="7AA23901"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-0.27±0.7</w:t>
            </w:r>
          </w:p>
        </w:tc>
        <w:tc>
          <w:tcPr>
            <w:tcW w:w="1290" w:type="dxa"/>
            <w:tcBorders>
              <w:top w:val="nil"/>
              <w:left w:val="single" w:sz="4" w:space="0" w:color="auto"/>
              <w:bottom w:val="nil"/>
              <w:right w:val="nil"/>
            </w:tcBorders>
            <w:shd w:val="clear" w:color="auto" w:fill="auto"/>
            <w:noWrap/>
            <w:vAlign w:val="center"/>
            <w:hideMark/>
          </w:tcPr>
          <w:p w14:paraId="3C71CB88"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0.824</w:t>
            </w:r>
          </w:p>
        </w:tc>
        <w:tc>
          <w:tcPr>
            <w:tcW w:w="1587" w:type="dxa"/>
            <w:tcBorders>
              <w:top w:val="nil"/>
              <w:left w:val="nil"/>
              <w:bottom w:val="nil"/>
              <w:right w:val="nil"/>
            </w:tcBorders>
            <w:shd w:val="clear" w:color="auto" w:fill="auto"/>
            <w:noWrap/>
            <w:vAlign w:val="center"/>
            <w:hideMark/>
          </w:tcPr>
          <w:p w14:paraId="7499F718"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0.898</w:t>
            </w:r>
          </w:p>
        </w:tc>
      </w:tr>
      <w:tr w:rsidR="00444C2E" w:rsidRPr="00444C2E" w14:paraId="051EE423" w14:textId="77777777" w:rsidTr="00444C2E">
        <w:trPr>
          <w:trHeight w:val="340"/>
        </w:trPr>
        <w:tc>
          <w:tcPr>
            <w:tcW w:w="2700" w:type="dxa"/>
            <w:tcBorders>
              <w:top w:val="nil"/>
              <w:left w:val="nil"/>
              <w:bottom w:val="double" w:sz="6" w:space="0" w:color="auto"/>
              <w:right w:val="nil"/>
            </w:tcBorders>
            <w:shd w:val="clear" w:color="auto" w:fill="auto"/>
            <w:noWrap/>
            <w:vAlign w:val="center"/>
            <w:hideMark/>
          </w:tcPr>
          <w:p w14:paraId="14182E51" w14:textId="77777777" w:rsidR="00444C2E" w:rsidRPr="00444C2E" w:rsidRDefault="00444C2E">
            <w:pPr>
              <w:rPr>
                <w:rFonts w:ascii="Arial" w:hAnsi="Arial" w:cs="Arial"/>
                <w:color w:val="000000"/>
                <w:sz w:val="18"/>
                <w:szCs w:val="18"/>
              </w:rPr>
            </w:pPr>
            <w:r w:rsidRPr="00444C2E">
              <w:rPr>
                <w:rFonts w:ascii="Arial" w:hAnsi="Arial" w:cs="Arial"/>
                <w:color w:val="000000"/>
                <w:sz w:val="18"/>
                <w:szCs w:val="18"/>
              </w:rPr>
              <w:t xml:space="preserve">Cognitive Impairment </w:t>
            </w:r>
          </w:p>
        </w:tc>
        <w:tc>
          <w:tcPr>
            <w:tcW w:w="1234" w:type="dxa"/>
            <w:tcBorders>
              <w:top w:val="nil"/>
              <w:left w:val="nil"/>
              <w:bottom w:val="double" w:sz="6" w:space="0" w:color="auto"/>
              <w:right w:val="nil"/>
            </w:tcBorders>
            <w:shd w:val="clear" w:color="auto" w:fill="auto"/>
            <w:noWrap/>
            <w:vAlign w:val="center"/>
            <w:hideMark/>
          </w:tcPr>
          <w:p w14:paraId="7EB59FA1"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62 (48.4%)</w:t>
            </w:r>
          </w:p>
        </w:tc>
        <w:tc>
          <w:tcPr>
            <w:tcW w:w="1366" w:type="dxa"/>
            <w:tcBorders>
              <w:top w:val="nil"/>
              <w:left w:val="nil"/>
              <w:bottom w:val="double" w:sz="6" w:space="0" w:color="auto"/>
              <w:right w:val="nil"/>
            </w:tcBorders>
            <w:shd w:val="clear" w:color="auto" w:fill="auto"/>
            <w:noWrap/>
            <w:vAlign w:val="center"/>
            <w:hideMark/>
          </w:tcPr>
          <w:p w14:paraId="18B9EB43"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166 (38.4%)</w:t>
            </w:r>
          </w:p>
        </w:tc>
        <w:tc>
          <w:tcPr>
            <w:tcW w:w="1362" w:type="dxa"/>
            <w:tcBorders>
              <w:top w:val="nil"/>
              <w:left w:val="nil"/>
              <w:bottom w:val="double" w:sz="6" w:space="0" w:color="auto"/>
              <w:right w:val="nil"/>
            </w:tcBorders>
            <w:shd w:val="clear" w:color="auto" w:fill="auto"/>
            <w:noWrap/>
            <w:vAlign w:val="center"/>
            <w:hideMark/>
          </w:tcPr>
          <w:p w14:paraId="2F8321E9"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43 (48.3%)</w:t>
            </w:r>
          </w:p>
        </w:tc>
        <w:tc>
          <w:tcPr>
            <w:tcW w:w="1377" w:type="dxa"/>
            <w:tcBorders>
              <w:top w:val="nil"/>
              <w:left w:val="nil"/>
              <w:bottom w:val="double" w:sz="6" w:space="0" w:color="auto"/>
              <w:right w:val="single" w:sz="4" w:space="0" w:color="auto"/>
            </w:tcBorders>
            <w:shd w:val="clear" w:color="auto" w:fill="auto"/>
            <w:noWrap/>
            <w:vAlign w:val="center"/>
            <w:hideMark/>
          </w:tcPr>
          <w:p w14:paraId="54B8C6CD"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129 (36.7%)</w:t>
            </w:r>
          </w:p>
        </w:tc>
        <w:tc>
          <w:tcPr>
            <w:tcW w:w="1290" w:type="dxa"/>
            <w:tcBorders>
              <w:top w:val="nil"/>
              <w:left w:val="single" w:sz="4" w:space="0" w:color="auto"/>
              <w:bottom w:val="double" w:sz="6" w:space="0" w:color="auto"/>
              <w:right w:val="nil"/>
            </w:tcBorders>
            <w:shd w:val="clear" w:color="auto" w:fill="auto"/>
            <w:noWrap/>
            <w:vAlign w:val="center"/>
            <w:hideMark/>
          </w:tcPr>
          <w:p w14:paraId="4FAF9A89"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0.992</w:t>
            </w:r>
          </w:p>
        </w:tc>
        <w:tc>
          <w:tcPr>
            <w:tcW w:w="1587" w:type="dxa"/>
            <w:tcBorders>
              <w:top w:val="nil"/>
              <w:left w:val="nil"/>
              <w:bottom w:val="double" w:sz="6" w:space="0" w:color="auto"/>
              <w:right w:val="nil"/>
            </w:tcBorders>
            <w:shd w:val="clear" w:color="auto" w:fill="auto"/>
            <w:noWrap/>
            <w:vAlign w:val="center"/>
            <w:hideMark/>
          </w:tcPr>
          <w:p w14:paraId="1EC86179" w14:textId="77777777" w:rsidR="00444C2E" w:rsidRPr="00444C2E" w:rsidRDefault="00444C2E">
            <w:pPr>
              <w:jc w:val="center"/>
              <w:rPr>
                <w:rFonts w:ascii="Arial" w:hAnsi="Arial" w:cs="Arial"/>
                <w:color w:val="000000"/>
                <w:sz w:val="18"/>
                <w:szCs w:val="18"/>
              </w:rPr>
            </w:pPr>
            <w:r w:rsidRPr="00444C2E">
              <w:rPr>
                <w:rFonts w:ascii="Arial" w:hAnsi="Arial" w:cs="Arial"/>
                <w:color w:val="000000"/>
                <w:sz w:val="18"/>
                <w:szCs w:val="18"/>
              </w:rPr>
              <w:t>0.844</w:t>
            </w:r>
          </w:p>
        </w:tc>
      </w:tr>
    </w:tbl>
    <w:p w14:paraId="1223346B" w14:textId="77777777" w:rsidR="000228EE" w:rsidRPr="00CB4391" w:rsidRDefault="000228EE">
      <w:pPr>
        <w:rPr>
          <w:rFonts w:ascii="Arial" w:hAnsi="Arial" w:cs="Arial"/>
        </w:rPr>
      </w:pPr>
    </w:p>
    <w:p w14:paraId="6B9EA225" w14:textId="77777777" w:rsidR="000228EE" w:rsidRPr="00CB4391" w:rsidRDefault="00000000">
      <w:pPr>
        <w:rPr>
          <w:rFonts w:ascii="Arial" w:hAnsi="Arial" w:cs="Arial"/>
          <w:sz w:val="20"/>
          <w:szCs w:val="20"/>
          <w:lang w:val="en-US"/>
        </w:rPr>
      </w:pPr>
      <w:r w:rsidRPr="00CB4391">
        <w:rPr>
          <w:rFonts w:ascii="Arial" w:hAnsi="Arial" w:cs="Arial"/>
          <w:sz w:val="20"/>
          <w:szCs w:val="20"/>
          <w:vertAlign w:val="superscript"/>
          <w:lang w:val="en-US"/>
        </w:rPr>
        <w:t>a</w:t>
      </w:r>
      <w:r w:rsidRPr="00CB4391">
        <w:rPr>
          <w:rFonts w:ascii="Arial" w:hAnsi="Arial" w:cs="Arial"/>
          <w:sz w:val="20"/>
          <w:szCs w:val="20"/>
          <w:lang w:val="en-US"/>
        </w:rPr>
        <w:t>= comparison between GBA-PD patients in the total population and the 3-year subgroup (GBA-PD</w:t>
      </w:r>
      <w:r w:rsidRPr="00CB4391">
        <w:rPr>
          <w:rFonts w:ascii="Arial" w:hAnsi="Arial" w:cs="Arial"/>
          <w:sz w:val="20"/>
          <w:szCs w:val="20"/>
          <w:vertAlign w:val="subscript"/>
          <w:lang w:val="en-US"/>
        </w:rPr>
        <w:t>s</w:t>
      </w:r>
      <w:r w:rsidRPr="00CB4391">
        <w:rPr>
          <w:rFonts w:ascii="Arial" w:hAnsi="Arial" w:cs="Arial"/>
          <w:sz w:val="20"/>
          <w:szCs w:val="20"/>
          <w:lang w:val="en-US"/>
        </w:rPr>
        <w:t>).</w:t>
      </w:r>
    </w:p>
    <w:p w14:paraId="3FBF44E7" w14:textId="77777777" w:rsidR="000228EE" w:rsidRPr="00CB4391" w:rsidRDefault="00000000">
      <w:pPr>
        <w:rPr>
          <w:rFonts w:ascii="Arial" w:hAnsi="Arial" w:cs="Arial"/>
          <w:sz w:val="20"/>
          <w:szCs w:val="20"/>
          <w:lang w:val="en-US"/>
        </w:rPr>
      </w:pPr>
      <w:r w:rsidRPr="00CB4391">
        <w:rPr>
          <w:rFonts w:ascii="Arial" w:hAnsi="Arial" w:cs="Arial"/>
          <w:sz w:val="20"/>
          <w:szCs w:val="20"/>
          <w:vertAlign w:val="superscript"/>
          <w:lang w:val="en-US"/>
        </w:rPr>
        <w:t>b</w:t>
      </w:r>
      <w:r w:rsidRPr="00CB4391">
        <w:rPr>
          <w:rFonts w:ascii="Arial" w:hAnsi="Arial" w:cs="Arial"/>
          <w:sz w:val="20"/>
          <w:szCs w:val="20"/>
          <w:lang w:val="en-US"/>
        </w:rPr>
        <w:t>= comparison between nonGBA-PD patients in the total population and the 3-year subgroup (nonGBA-PD</w:t>
      </w:r>
      <w:r w:rsidRPr="00CB4391">
        <w:rPr>
          <w:rFonts w:ascii="Arial" w:hAnsi="Arial" w:cs="Arial"/>
          <w:sz w:val="20"/>
          <w:szCs w:val="20"/>
          <w:vertAlign w:val="subscript"/>
          <w:lang w:val="en-US"/>
        </w:rPr>
        <w:t>s</w:t>
      </w:r>
      <w:r w:rsidRPr="00CB4391">
        <w:rPr>
          <w:rFonts w:ascii="Arial" w:hAnsi="Arial" w:cs="Arial"/>
          <w:sz w:val="20"/>
          <w:szCs w:val="20"/>
          <w:lang w:val="en-US"/>
        </w:rPr>
        <w:t>).</w:t>
      </w:r>
    </w:p>
    <w:p w14:paraId="27C31548" w14:textId="77777777" w:rsidR="000228EE" w:rsidRPr="00CB4391" w:rsidRDefault="00000000">
      <w:pPr>
        <w:rPr>
          <w:rFonts w:ascii="Arial" w:hAnsi="Arial" w:cs="Arial"/>
          <w:sz w:val="20"/>
          <w:szCs w:val="20"/>
          <w:lang w:val="en-US"/>
        </w:rPr>
      </w:pPr>
      <w:r w:rsidRPr="00CB4391">
        <w:rPr>
          <w:rFonts w:ascii="Arial" w:hAnsi="Arial" w:cs="Arial"/>
          <w:sz w:val="20"/>
          <w:szCs w:val="20"/>
          <w:lang w:val="en-US"/>
        </w:rPr>
        <w:t>Significant p-values (p &lt; 0.05) are reported in bold.</w:t>
      </w:r>
    </w:p>
    <w:p w14:paraId="021429F3" w14:textId="77777777" w:rsidR="000228EE" w:rsidRPr="00CB4391" w:rsidRDefault="000228EE">
      <w:pPr>
        <w:rPr>
          <w:rFonts w:ascii="Arial" w:hAnsi="Arial" w:cs="Arial"/>
          <w:lang w:val="en-US"/>
        </w:rPr>
      </w:pPr>
    </w:p>
    <w:p w14:paraId="5A9A0AFE" w14:textId="77777777" w:rsidR="000228EE" w:rsidRPr="00CB4391" w:rsidRDefault="000228EE">
      <w:pPr>
        <w:rPr>
          <w:rFonts w:ascii="Arial" w:hAnsi="Arial" w:cs="Arial"/>
          <w:lang w:val="en-US"/>
        </w:rPr>
      </w:pPr>
    </w:p>
    <w:p w14:paraId="62A4A98F" w14:textId="77777777" w:rsidR="000228EE" w:rsidRPr="00CB4391" w:rsidRDefault="000228EE">
      <w:pPr>
        <w:rPr>
          <w:rFonts w:ascii="Arial" w:hAnsi="Arial" w:cs="Arial"/>
          <w:lang w:val="en-US"/>
        </w:rPr>
      </w:pPr>
    </w:p>
    <w:p w14:paraId="6209CA62" w14:textId="77777777" w:rsidR="000228EE" w:rsidRPr="00CB4391" w:rsidRDefault="000228EE">
      <w:pPr>
        <w:rPr>
          <w:rFonts w:ascii="Arial" w:hAnsi="Arial" w:cs="Arial"/>
          <w:lang w:val="en-US"/>
        </w:rPr>
      </w:pPr>
    </w:p>
    <w:p w14:paraId="582A098A" w14:textId="77777777" w:rsidR="00C778BF" w:rsidRDefault="00C778BF">
      <w:pPr>
        <w:rPr>
          <w:rFonts w:ascii="Arial" w:hAnsi="Arial" w:cs="Arial"/>
          <w:b/>
          <w:sz w:val="22"/>
          <w:szCs w:val="22"/>
          <w:lang w:val="en-US"/>
        </w:rPr>
      </w:pPr>
      <w:r>
        <w:rPr>
          <w:rFonts w:ascii="Arial" w:hAnsi="Arial" w:cs="Arial"/>
          <w:b/>
          <w:sz w:val="22"/>
          <w:szCs w:val="22"/>
          <w:lang w:val="en-US"/>
        </w:rPr>
        <w:br w:type="page"/>
      </w:r>
    </w:p>
    <w:p w14:paraId="2C4D5FEE" w14:textId="2DB64692" w:rsidR="000228EE" w:rsidRPr="00CB4391" w:rsidRDefault="00000000">
      <w:pPr>
        <w:rPr>
          <w:rFonts w:ascii="Arial" w:hAnsi="Arial" w:cs="Arial"/>
          <w:sz w:val="22"/>
          <w:szCs w:val="22"/>
          <w:lang w:val="en-US"/>
        </w:rPr>
      </w:pPr>
      <w:r w:rsidRPr="00CB4391">
        <w:rPr>
          <w:rFonts w:ascii="Arial" w:hAnsi="Arial" w:cs="Arial"/>
          <w:b/>
          <w:sz w:val="22"/>
          <w:szCs w:val="22"/>
          <w:lang w:val="en-US"/>
        </w:rPr>
        <w:lastRenderedPageBreak/>
        <w:t xml:space="preserve">Supplementary Table </w:t>
      </w:r>
      <w:r w:rsidR="00444C2E">
        <w:rPr>
          <w:rFonts w:ascii="Arial" w:hAnsi="Arial" w:cs="Arial"/>
          <w:b/>
          <w:sz w:val="22"/>
          <w:szCs w:val="22"/>
          <w:lang w:val="en-US"/>
        </w:rPr>
        <w:t>6</w:t>
      </w:r>
      <w:r w:rsidRPr="00CB4391">
        <w:rPr>
          <w:rFonts w:ascii="Arial" w:hAnsi="Arial" w:cs="Arial"/>
          <w:sz w:val="22"/>
          <w:szCs w:val="22"/>
          <w:lang w:val="en-US"/>
        </w:rPr>
        <w:t xml:space="preserve"> Cox analysis on a subgroup of patients with a follow-up limited to 3 years</w:t>
      </w:r>
      <w:r w:rsidR="00E32F8D" w:rsidRPr="00CB4391">
        <w:rPr>
          <w:rFonts w:ascii="Arial" w:hAnsi="Arial" w:cs="Arial"/>
          <w:sz w:val="22"/>
          <w:szCs w:val="22"/>
          <w:lang w:val="en-US"/>
        </w:rPr>
        <w:t xml:space="preserve"> and excluding patients carrying LRRK2 mutations.</w:t>
      </w:r>
    </w:p>
    <w:p w14:paraId="194E3C98" w14:textId="77777777" w:rsidR="00E32F8D" w:rsidRPr="00CB4391" w:rsidRDefault="00E32F8D">
      <w:pPr>
        <w:rPr>
          <w:rFonts w:ascii="Arial" w:hAnsi="Arial" w:cs="Arial"/>
          <w:b/>
          <w:sz w:val="22"/>
          <w:szCs w:val="22"/>
          <w:lang w:val="en-US"/>
        </w:rPr>
      </w:pPr>
    </w:p>
    <w:tbl>
      <w:tblPr>
        <w:tblW w:w="7797" w:type="dxa"/>
        <w:tblCellMar>
          <w:left w:w="70" w:type="dxa"/>
          <w:right w:w="70" w:type="dxa"/>
        </w:tblCellMar>
        <w:tblLook w:val="04A0" w:firstRow="1" w:lastRow="0" w:firstColumn="1" w:lastColumn="0" w:noHBand="0" w:noVBand="1"/>
      </w:tblPr>
      <w:tblGrid>
        <w:gridCol w:w="1300"/>
        <w:gridCol w:w="1840"/>
        <w:gridCol w:w="1113"/>
        <w:gridCol w:w="1984"/>
        <w:gridCol w:w="1560"/>
      </w:tblGrid>
      <w:tr w:rsidR="00444C2E" w:rsidRPr="00497CAC" w14:paraId="6E348973" w14:textId="77777777" w:rsidTr="00444C2E">
        <w:trPr>
          <w:trHeight w:val="340"/>
        </w:trPr>
        <w:tc>
          <w:tcPr>
            <w:tcW w:w="1300" w:type="dxa"/>
            <w:tcBorders>
              <w:top w:val="single" w:sz="4" w:space="0" w:color="auto"/>
              <w:left w:val="nil"/>
              <w:bottom w:val="nil"/>
              <w:right w:val="nil"/>
            </w:tcBorders>
            <w:shd w:val="clear" w:color="auto" w:fill="auto"/>
            <w:noWrap/>
            <w:vAlign w:val="bottom"/>
            <w:hideMark/>
          </w:tcPr>
          <w:p w14:paraId="2E7C9843" w14:textId="77777777" w:rsidR="00444C2E" w:rsidRPr="00E63A7C" w:rsidRDefault="00444C2E">
            <w:pPr>
              <w:rPr>
                <w:rFonts w:ascii="Arial" w:hAnsi="Arial" w:cs="Arial"/>
                <w:b/>
                <w:bCs/>
                <w:color w:val="000000"/>
                <w:sz w:val="20"/>
                <w:szCs w:val="20"/>
                <w:lang w:val="en-GB"/>
              </w:rPr>
            </w:pPr>
            <w:r w:rsidRPr="00444C2E">
              <w:rPr>
                <w:rFonts w:ascii="Arial" w:hAnsi="Arial" w:cs="Arial"/>
                <w:b/>
                <w:bCs/>
                <w:color w:val="000000"/>
                <w:sz w:val="20"/>
                <w:szCs w:val="20"/>
                <w:lang w:val="en-US"/>
              </w:rPr>
              <w:t> </w:t>
            </w:r>
          </w:p>
        </w:tc>
        <w:tc>
          <w:tcPr>
            <w:tcW w:w="2953" w:type="dxa"/>
            <w:gridSpan w:val="2"/>
            <w:tcBorders>
              <w:top w:val="single" w:sz="4" w:space="0" w:color="auto"/>
              <w:left w:val="nil"/>
              <w:bottom w:val="nil"/>
              <w:right w:val="nil"/>
            </w:tcBorders>
            <w:shd w:val="clear" w:color="auto" w:fill="auto"/>
            <w:noWrap/>
            <w:vAlign w:val="center"/>
            <w:hideMark/>
          </w:tcPr>
          <w:p w14:paraId="7CEA0A0B" w14:textId="77777777" w:rsidR="00444C2E" w:rsidRPr="00444C2E" w:rsidRDefault="00444C2E">
            <w:pPr>
              <w:jc w:val="center"/>
              <w:rPr>
                <w:rFonts w:ascii="Arial" w:hAnsi="Arial" w:cs="Arial"/>
                <w:b/>
                <w:bCs/>
                <w:color w:val="000000"/>
                <w:sz w:val="20"/>
                <w:szCs w:val="20"/>
              </w:rPr>
            </w:pPr>
            <w:r w:rsidRPr="00444C2E">
              <w:rPr>
                <w:rFonts w:ascii="Arial" w:hAnsi="Arial" w:cs="Arial"/>
                <w:b/>
                <w:bCs/>
                <w:color w:val="000000"/>
                <w:sz w:val="20"/>
                <w:szCs w:val="20"/>
              </w:rPr>
              <w:t>Sub-group (3-years)</w:t>
            </w:r>
          </w:p>
        </w:tc>
        <w:tc>
          <w:tcPr>
            <w:tcW w:w="3544" w:type="dxa"/>
            <w:gridSpan w:val="2"/>
            <w:tcBorders>
              <w:top w:val="single" w:sz="4" w:space="0" w:color="auto"/>
              <w:left w:val="nil"/>
              <w:bottom w:val="nil"/>
              <w:right w:val="nil"/>
            </w:tcBorders>
            <w:shd w:val="clear" w:color="auto" w:fill="auto"/>
            <w:noWrap/>
            <w:vAlign w:val="center"/>
            <w:hideMark/>
          </w:tcPr>
          <w:p w14:paraId="399041AE" w14:textId="381206DC" w:rsidR="00444C2E" w:rsidRPr="00E63A7C" w:rsidRDefault="00444C2E">
            <w:pPr>
              <w:jc w:val="center"/>
              <w:rPr>
                <w:rFonts w:ascii="Arial" w:hAnsi="Arial" w:cs="Arial"/>
                <w:b/>
                <w:bCs/>
                <w:color w:val="000000"/>
                <w:sz w:val="20"/>
                <w:szCs w:val="20"/>
                <w:lang w:val="en-GB"/>
              </w:rPr>
            </w:pPr>
            <w:r w:rsidRPr="00444C2E">
              <w:rPr>
                <w:rFonts w:ascii="Arial" w:hAnsi="Arial" w:cs="Arial"/>
                <w:b/>
                <w:bCs/>
                <w:color w:val="000000"/>
                <w:sz w:val="20"/>
                <w:szCs w:val="20"/>
                <w:lang w:val="en-GB"/>
              </w:rPr>
              <w:t>Sub-group (3-years and LRRK2-)</w:t>
            </w:r>
          </w:p>
        </w:tc>
      </w:tr>
      <w:tr w:rsidR="00444C2E" w:rsidRPr="00444C2E" w14:paraId="5A0E7B1C" w14:textId="77777777" w:rsidTr="00444C2E">
        <w:trPr>
          <w:trHeight w:val="340"/>
        </w:trPr>
        <w:tc>
          <w:tcPr>
            <w:tcW w:w="1300" w:type="dxa"/>
            <w:tcBorders>
              <w:top w:val="single" w:sz="4" w:space="0" w:color="auto"/>
              <w:left w:val="nil"/>
              <w:bottom w:val="double" w:sz="6" w:space="0" w:color="auto"/>
              <w:right w:val="nil"/>
            </w:tcBorders>
            <w:shd w:val="clear" w:color="auto" w:fill="auto"/>
            <w:noWrap/>
            <w:vAlign w:val="bottom"/>
            <w:hideMark/>
          </w:tcPr>
          <w:p w14:paraId="7089E76D" w14:textId="77777777" w:rsidR="00444C2E" w:rsidRPr="00E63A7C" w:rsidRDefault="00444C2E">
            <w:pPr>
              <w:rPr>
                <w:rFonts w:ascii="Arial" w:hAnsi="Arial" w:cs="Arial"/>
                <w:b/>
                <w:bCs/>
                <w:color w:val="000000"/>
                <w:sz w:val="20"/>
                <w:szCs w:val="20"/>
                <w:lang w:val="en-GB"/>
              </w:rPr>
            </w:pPr>
            <w:r w:rsidRPr="00E63A7C">
              <w:rPr>
                <w:rFonts w:ascii="Arial" w:hAnsi="Arial" w:cs="Arial"/>
                <w:b/>
                <w:bCs/>
                <w:color w:val="000000"/>
                <w:sz w:val="20"/>
                <w:szCs w:val="20"/>
                <w:lang w:val="en-GB"/>
              </w:rPr>
              <w:t> </w:t>
            </w:r>
          </w:p>
        </w:tc>
        <w:tc>
          <w:tcPr>
            <w:tcW w:w="1840" w:type="dxa"/>
            <w:tcBorders>
              <w:top w:val="single" w:sz="4" w:space="0" w:color="auto"/>
              <w:left w:val="nil"/>
              <w:bottom w:val="double" w:sz="6" w:space="0" w:color="auto"/>
              <w:right w:val="nil"/>
            </w:tcBorders>
            <w:shd w:val="clear" w:color="auto" w:fill="auto"/>
            <w:noWrap/>
            <w:vAlign w:val="center"/>
            <w:hideMark/>
          </w:tcPr>
          <w:p w14:paraId="75803B1A" w14:textId="7002868B" w:rsidR="00444C2E" w:rsidRPr="00444C2E" w:rsidRDefault="00444C2E" w:rsidP="00444C2E">
            <w:pPr>
              <w:jc w:val="center"/>
              <w:rPr>
                <w:rFonts w:ascii="Arial" w:hAnsi="Arial" w:cs="Arial"/>
                <w:b/>
                <w:bCs/>
                <w:color w:val="000000"/>
                <w:sz w:val="20"/>
                <w:szCs w:val="20"/>
              </w:rPr>
            </w:pPr>
            <w:r w:rsidRPr="00444C2E">
              <w:rPr>
                <w:rFonts w:ascii="Arial" w:hAnsi="Arial" w:cs="Arial"/>
                <w:b/>
                <w:bCs/>
                <w:color w:val="000000"/>
                <w:sz w:val="20"/>
                <w:szCs w:val="20"/>
                <w:vertAlign w:val="subscript"/>
              </w:rPr>
              <w:t>S</w:t>
            </w:r>
            <w:r w:rsidRPr="00444C2E">
              <w:rPr>
                <w:rFonts w:ascii="Arial" w:hAnsi="Arial" w:cs="Arial"/>
                <w:b/>
                <w:bCs/>
                <w:color w:val="000000"/>
                <w:sz w:val="20"/>
                <w:szCs w:val="20"/>
              </w:rPr>
              <w:t>HR (95% CI)</w:t>
            </w:r>
          </w:p>
        </w:tc>
        <w:tc>
          <w:tcPr>
            <w:tcW w:w="1113" w:type="dxa"/>
            <w:tcBorders>
              <w:top w:val="single" w:sz="4" w:space="0" w:color="auto"/>
              <w:left w:val="nil"/>
              <w:bottom w:val="double" w:sz="6" w:space="0" w:color="auto"/>
              <w:right w:val="single" w:sz="4" w:space="0" w:color="auto"/>
            </w:tcBorders>
            <w:shd w:val="clear" w:color="auto" w:fill="auto"/>
            <w:noWrap/>
            <w:vAlign w:val="center"/>
            <w:hideMark/>
          </w:tcPr>
          <w:p w14:paraId="5368540C" w14:textId="77777777" w:rsidR="00444C2E" w:rsidRPr="00444C2E" w:rsidRDefault="00444C2E" w:rsidP="00444C2E">
            <w:pPr>
              <w:jc w:val="center"/>
              <w:rPr>
                <w:rFonts w:ascii="Arial" w:hAnsi="Arial" w:cs="Arial"/>
                <w:b/>
                <w:bCs/>
                <w:color w:val="000000"/>
                <w:sz w:val="20"/>
                <w:szCs w:val="20"/>
              </w:rPr>
            </w:pPr>
            <w:r w:rsidRPr="00444C2E">
              <w:rPr>
                <w:rFonts w:ascii="Arial" w:hAnsi="Arial" w:cs="Arial"/>
                <w:b/>
                <w:bCs/>
                <w:color w:val="000000"/>
                <w:sz w:val="20"/>
                <w:szCs w:val="20"/>
              </w:rPr>
              <w:t>p-value</w:t>
            </w:r>
          </w:p>
        </w:tc>
        <w:tc>
          <w:tcPr>
            <w:tcW w:w="1984" w:type="dxa"/>
            <w:tcBorders>
              <w:top w:val="single" w:sz="4" w:space="0" w:color="auto"/>
              <w:left w:val="single" w:sz="4" w:space="0" w:color="auto"/>
              <w:bottom w:val="double" w:sz="6" w:space="0" w:color="auto"/>
              <w:right w:val="nil"/>
            </w:tcBorders>
            <w:shd w:val="clear" w:color="auto" w:fill="auto"/>
            <w:noWrap/>
            <w:vAlign w:val="center"/>
            <w:hideMark/>
          </w:tcPr>
          <w:p w14:paraId="646D3716" w14:textId="138BA9EC" w:rsidR="00444C2E" w:rsidRPr="00444C2E" w:rsidRDefault="00444C2E" w:rsidP="00444C2E">
            <w:pPr>
              <w:jc w:val="center"/>
              <w:rPr>
                <w:rFonts w:ascii="Arial" w:hAnsi="Arial" w:cs="Arial"/>
                <w:b/>
                <w:bCs/>
                <w:color w:val="000000"/>
                <w:sz w:val="20"/>
                <w:szCs w:val="20"/>
              </w:rPr>
            </w:pPr>
            <w:r w:rsidRPr="00444C2E">
              <w:rPr>
                <w:rFonts w:ascii="Arial" w:hAnsi="Arial" w:cs="Arial"/>
                <w:b/>
                <w:bCs/>
                <w:color w:val="000000"/>
                <w:sz w:val="20"/>
                <w:szCs w:val="20"/>
                <w:vertAlign w:val="subscript"/>
              </w:rPr>
              <w:t>S</w:t>
            </w:r>
            <w:r w:rsidRPr="00444C2E">
              <w:rPr>
                <w:rFonts w:ascii="Arial" w:hAnsi="Arial" w:cs="Arial"/>
                <w:b/>
                <w:bCs/>
                <w:color w:val="000000"/>
                <w:sz w:val="20"/>
                <w:szCs w:val="20"/>
              </w:rPr>
              <w:t>HR (95% CI)</w:t>
            </w:r>
          </w:p>
        </w:tc>
        <w:tc>
          <w:tcPr>
            <w:tcW w:w="1560" w:type="dxa"/>
            <w:tcBorders>
              <w:top w:val="single" w:sz="4" w:space="0" w:color="auto"/>
              <w:left w:val="nil"/>
              <w:bottom w:val="double" w:sz="6" w:space="0" w:color="auto"/>
              <w:right w:val="nil"/>
            </w:tcBorders>
            <w:shd w:val="clear" w:color="auto" w:fill="auto"/>
            <w:noWrap/>
            <w:vAlign w:val="center"/>
            <w:hideMark/>
          </w:tcPr>
          <w:p w14:paraId="4CE721F4" w14:textId="77777777" w:rsidR="00444C2E" w:rsidRPr="00444C2E" w:rsidRDefault="00444C2E" w:rsidP="00444C2E">
            <w:pPr>
              <w:jc w:val="center"/>
              <w:rPr>
                <w:rFonts w:ascii="Arial" w:hAnsi="Arial" w:cs="Arial"/>
                <w:b/>
                <w:bCs/>
                <w:color w:val="000000"/>
                <w:sz w:val="20"/>
                <w:szCs w:val="20"/>
              </w:rPr>
            </w:pPr>
            <w:r w:rsidRPr="00444C2E">
              <w:rPr>
                <w:rFonts w:ascii="Arial" w:hAnsi="Arial" w:cs="Arial"/>
                <w:b/>
                <w:bCs/>
                <w:color w:val="000000"/>
                <w:sz w:val="20"/>
                <w:szCs w:val="20"/>
              </w:rPr>
              <w:t>p-value</w:t>
            </w:r>
          </w:p>
        </w:tc>
      </w:tr>
      <w:tr w:rsidR="00444C2E" w:rsidRPr="00444C2E" w14:paraId="6CBF0C00" w14:textId="77777777" w:rsidTr="00444C2E">
        <w:trPr>
          <w:trHeight w:val="340"/>
        </w:trPr>
        <w:tc>
          <w:tcPr>
            <w:tcW w:w="1300" w:type="dxa"/>
            <w:tcBorders>
              <w:top w:val="nil"/>
              <w:left w:val="nil"/>
              <w:bottom w:val="nil"/>
              <w:right w:val="nil"/>
            </w:tcBorders>
            <w:shd w:val="clear" w:color="auto" w:fill="auto"/>
            <w:noWrap/>
            <w:vAlign w:val="center"/>
            <w:hideMark/>
          </w:tcPr>
          <w:p w14:paraId="7895C978" w14:textId="77777777" w:rsidR="00444C2E" w:rsidRPr="00444C2E" w:rsidRDefault="00444C2E">
            <w:pPr>
              <w:rPr>
                <w:rFonts w:ascii="Arial" w:hAnsi="Arial" w:cs="Arial"/>
                <w:color w:val="000000"/>
                <w:sz w:val="20"/>
                <w:szCs w:val="20"/>
              </w:rPr>
            </w:pPr>
            <w:r w:rsidRPr="00444C2E">
              <w:rPr>
                <w:rFonts w:ascii="Arial" w:hAnsi="Arial" w:cs="Arial"/>
                <w:color w:val="000000"/>
                <w:sz w:val="20"/>
                <w:szCs w:val="20"/>
              </w:rPr>
              <w:t>Sex</w:t>
            </w:r>
          </w:p>
        </w:tc>
        <w:tc>
          <w:tcPr>
            <w:tcW w:w="1840" w:type="dxa"/>
            <w:tcBorders>
              <w:top w:val="nil"/>
              <w:left w:val="nil"/>
              <w:bottom w:val="nil"/>
              <w:right w:val="nil"/>
            </w:tcBorders>
            <w:shd w:val="clear" w:color="auto" w:fill="auto"/>
            <w:noWrap/>
            <w:vAlign w:val="center"/>
            <w:hideMark/>
          </w:tcPr>
          <w:p w14:paraId="255EFACE" w14:textId="77777777" w:rsidR="00444C2E" w:rsidRPr="00444C2E" w:rsidRDefault="00444C2E" w:rsidP="00444C2E">
            <w:pPr>
              <w:jc w:val="center"/>
              <w:rPr>
                <w:rFonts w:ascii="Arial" w:hAnsi="Arial" w:cs="Arial"/>
                <w:color w:val="000000"/>
                <w:sz w:val="20"/>
                <w:szCs w:val="20"/>
              </w:rPr>
            </w:pPr>
            <w:r w:rsidRPr="00444C2E">
              <w:rPr>
                <w:rFonts w:ascii="Arial" w:hAnsi="Arial" w:cs="Arial"/>
                <w:color w:val="000000"/>
                <w:sz w:val="20"/>
                <w:szCs w:val="20"/>
              </w:rPr>
              <w:t>1.44 (0.99 to 2.08)</w:t>
            </w:r>
          </w:p>
        </w:tc>
        <w:tc>
          <w:tcPr>
            <w:tcW w:w="1113" w:type="dxa"/>
            <w:tcBorders>
              <w:top w:val="nil"/>
              <w:left w:val="nil"/>
              <w:bottom w:val="nil"/>
              <w:right w:val="single" w:sz="4" w:space="0" w:color="auto"/>
            </w:tcBorders>
            <w:shd w:val="clear" w:color="auto" w:fill="auto"/>
            <w:noWrap/>
            <w:vAlign w:val="center"/>
            <w:hideMark/>
          </w:tcPr>
          <w:p w14:paraId="47C86E34" w14:textId="77777777" w:rsidR="00444C2E" w:rsidRPr="00444C2E" w:rsidRDefault="00444C2E" w:rsidP="00444C2E">
            <w:pPr>
              <w:jc w:val="center"/>
              <w:rPr>
                <w:rFonts w:ascii="Arial" w:hAnsi="Arial" w:cs="Arial"/>
                <w:bCs/>
                <w:color w:val="000000"/>
                <w:sz w:val="20"/>
                <w:szCs w:val="20"/>
              </w:rPr>
            </w:pPr>
            <w:r w:rsidRPr="00444C2E">
              <w:rPr>
                <w:rFonts w:ascii="Arial" w:hAnsi="Arial" w:cs="Arial"/>
                <w:bCs/>
                <w:color w:val="000000"/>
                <w:sz w:val="20"/>
                <w:szCs w:val="20"/>
              </w:rPr>
              <w:t>0.053</w:t>
            </w:r>
          </w:p>
        </w:tc>
        <w:tc>
          <w:tcPr>
            <w:tcW w:w="1984" w:type="dxa"/>
            <w:tcBorders>
              <w:top w:val="nil"/>
              <w:left w:val="single" w:sz="4" w:space="0" w:color="auto"/>
              <w:bottom w:val="nil"/>
              <w:right w:val="nil"/>
            </w:tcBorders>
            <w:shd w:val="clear" w:color="auto" w:fill="auto"/>
            <w:noWrap/>
            <w:vAlign w:val="center"/>
            <w:hideMark/>
          </w:tcPr>
          <w:p w14:paraId="6F3891A9" w14:textId="77777777" w:rsidR="00444C2E" w:rsidRPr="00444C2E" w:rsidRDefault="00444C2E" w:rsidP="00444C2E">
            <w:pPr>
              <w:jc w:val="center"/>
              <w:rPr>
                <w:rFonts w:ascii="Arial" w:hAnsi="Arial" w:cs="Arial"/>
                <w:color w:val="000000"/>
                <w:sz w:val="20"/>
                <w:szCs w:val="20"/>
              </w:rPr>
            </w:pPr>
            <w:r w:rsidRPr="00444C2E">
              <w:rPr>
                <w:rFonts w:ascii="Arial" w:hAnsi="Arial" w:cs="Arial"/>
                <w:color w:val="000000"/>
                <w:sz w:val="20"/>
                <w:szCs w:val="20"/>
              </w:rPr>
              <w:t>1.58 (1.03 to 2.43)</w:t>
            </w:r>
          </w:p>
        </w:tc>
        <w:tc>
          <w:tcPr>
            <w:tcW w:w="1560" w:type="dxa"/>
            <w:tcBorders>
              <w:top w:val="nil"/>
              <w:left w:val="nil"/>
              <w:bottom w:val="nil"/>
              <w:right w:val="nil"/>
            </w:tcBorders>
            <w:shd w:val="clear" w:color="auto" w:fill="auto"/>
            <w:noWrap/>
            <w:vAlign w:val="center"/>
            <w:hideMark/>
          </w:tcPr>
          <w:p w14:paraId="6838F940" w14:textId="77777777" w:rsidR="00444C2E" w:rsidRPr="00444C2E" w:rsidRDefault="00444C2E" w:rsidP="00444C2E">
            <w:pPr>
              <w:jc w:val="center"/>
              <w:rPr>
                <w:rFonts w:ascii="Arial" w:hAnsi="Arial" w:cs="Arial"/>
                <w:b/>
                <w:color w:val="000000"/>
                <w:sz w:val="20"/>
                <w:szCs w:val="20"/>
              </w:rPr>
            </w:pPr>
            <w:r w:rsidRPr="00444C2E">
              <w:rPr>
                <w:rFonts w:ascii="Arial" w:hAnsi="Arial" w:cs="Arial"/>
                <w:b/>
                <w:color w:val="000000"/>
                <w:sz w:val="20"/>
                <w:szCs w:val="20"/>
              </w:rPr>
              <w:t>0.035</w:t>
            </w:r>
          </w:p>
        </w:tc>
      </w:tr>
      <w:tr w:rsidR="00444C2E" w:rsidRPr="00444C2E" w14:paraId="0DAD4EDA" w14:textId="77777777" w:rsidTr="00444C2E">
        <w:trPr>
          <w:trHeight w:val="340"/>
        </w:trPr>
        <w:tc>
          <w:tcPr>
            <w:tcW w:w="1300" w:type="dxa"/>
            <w:tcBorders>
              <w:top w:val="nil"/>
              <w:left w:val="nil"/>
              <w:bottom w:val="nil"/>
              <w:right w:val="nil"/>
            </w:tcBorders>
            <w:shd w:val="clear" w:color="auto" w:fill="auto"/>
            <w:noWrap/>
            <w:vAlign w:val="center"/>
            <w:hideMark/>
          </w:tcPr>
          <w:p w14:paraId="783C5096" w14:textId="77777777" w:rsidR="00444C2E" w:rsidRPr="00444C2E" w:rsidRDefault="00444C2E">
            <w:pPr>
              <w:rPr>
                <w:rFonts w:ascii="Arial" w:hAnsi="Arial" w:cs="Arial"/>
                <w:color w:val="000000"/>
                <w:sz w:val="20"/>
                <w:szCs w:val="20"/>
              </w:rPr>
            </w:pPr>
            <w:r w:rsidRPr="00444C2E">
              <w:rPr>
                <w:rFonts w:ascii="Arial" w:hAnsi="Arial" w:cs="Arial"/>
                <w:color w:val="000000"/>
                <w:sz w:val="20"/>
                <w:szCs w:val="20"/>
              </w:rPr>
              <w:t xml:space="preserve">GBA </w:t>
            </w:r>
          </w:p>
        </w:tc>
        <w:tc>
          <w:tcPr>
            <w:tcW w:w="1840" w:type="dxa"/>
            <w:tcBorders>
              <w:top w:val="nil"/>
              <w:left w:val="nil"/>
              <w:bottom w:val="nil"/>
              <w:right w:val="nil"/>
            </w:tcBorders>
            <w:shd w:val="clear" w:color="auto" w:fill="auto"/>
            <w:noWrap/>
            <w:vAlign w:val="center"/>
            <w:hideMark/>
          </w:tcPr>
          <w:p w14:paraId="3CEC7C9C" w14:textId="77777777" w:rsidR="00444C2E" w:rsidRPr="00444C2E" w:rsidRDefault="00444C2E" w:rsidP="00444C2E">
            <w:pPr>
              <w:jc w:val="center"/>
              <w:rPr>
                <w:rFonts w:ascii="Arial" w:hAnsi="Arial" w:cs="Arial"/>
                <w:color w:val="000000"/>
                <w:sz w:val="20"/>
                <w:szCs w:val="20"/>
              </w:rPr>
            </w:pPr>
            <w:r w:rsidRPr="00444C2E">
              <w:rPr>
                <w:rFonts w:ascii="Arial" w:hAnsi="Arial" w:cs="Arial"/>
                <w:color w:val="000000"/>
                <w:sz w:val="20"/>
                <w:szCs w:val="20"/>
              </w:rPr>
              <w:t>1.36 (0.92 to 2.01)</w:t>
            </w:r>
          </w:p>
        </w:tc>
        <w:tc>
          <w:tcPr>
            <w:tcW w:w="1113" w:type="dxa"/>
            <w:tcBorders>
              <w:top w:val="nil"/>
              <w:left w:val="nil"/>
              <w:bottom w:val="nil"/>
              <w:right w:val="single" w:sz="4" w:space="0" w:color="auto"/>
            </w:tcBorders>
            <w:shd w:val="clear" w:color="auto" w:fill="auto"/>
            <w:noWrap/>
            <w:vAlign w:val="center"/>
            <w:hideMark/>
          </w:tcPr>
          <w:p w14:paraId="577538B9" w14:textId="77777777" w:rsidR="00444C2E" w:rsidRPr="00444C2E" w:rsidRDefault="00444C2E" w:rsidP="00444C2E">
            <w:pPr>
              <w:jc w:val="center"/>
              <w:rPr>
                <w:rFonts w:ascii="Arial" w:hAnsi="Arial" w:cs="Arial"/>
                <w:color w:val="000000"/>
                <w:sz w:val="20"/>
                <w:szCs w:val="20"/>
              </w:rPr>
            </w:pPr>
            <w:r w:rsidRPr="00444C2E">
              <w:rPr>
                <w:rFonts w:ascii="Arial" w:hAnsi="Arial" w:cs="Arial"/>
                <w:color w:val="000000"/>
                <w:sz w:val="20"/>
                <w:szCs w:val="20"/>
              </w:rPr>
              <w:t>0.125</w:t>
            </w:r>
          </w:p>
        </w:tc>
        <w:tc>
          <w:tcPr>
            <w:tcW w:w="1984" w:type="dxa"/>
            <w:tcBorders>
              <w:top w:val="nil"/>
              <w:left w:val="single" w:sz="4" w:space="0" w:color="auto"/>
              <w:bottom w:val="nil"/>
              <w:right w:val="nil"/>
            </w:tcBorders>
            <w:shd w:val="clear" w:color="auto" w:fill="auto"/>
            <w:noWrap/>
            <w:vAlign w:val="center"/>
            <w:hideMark/>
          </w:tcPr>
          <w:p w14:paraId="470DF90F" w14:textId="77777777" w:rsidR="00444C2E" w:rsidRPr="00444C2E" w:rsidRDefault="00444C2E" w:rsidP="00444C2E">
            <w:pPr>
              <w:jc w:val="center"/>
              <w:rPr>
                <w:rFonts w:ascii="Arial" w:hAnsi="Arial" w:cs="Arial"/>
                <w:color w:val="000000"/>
                <w:sz w:val="20"/>
                <w:szCs w:val="20"/>
              </w:rPr>
            </w:pPr>
            <w:r w:rsidRPr="00444C2E">
              <w:rPr>
                <w:rFonts w:ascii="Arial" w:hAnsi="Arial" w:cs="Arial"/>
                <w:color w:val="000000"/>
                <w:sz w:val="20"/>
                <w:szCs w:val="20"/>
              </w:rPr>
              <w:t>1.25 (0.81 to 1.95)</w:t>
            </w:r>
          </w:p>
        </w:tc>
        <w:tc>
          <w:tcPr>
            <w:tcW w:w="1560" w:type="dxa"/>
            <w:tcBorders>
              <w:top w:val="nil"/>
              <w:left w:val="nil"/>
              <w:bottom w:val="nil"/>
              <w:right w:val="nil"/>
            </w:tcBorders>
            <w:shd w:val="clear" w:color="auto" w:fill="auto"/>
            <w:noWrap/>
            <w:vAlign w:val="center"/>
            <w:hideMark/>
          </w:tcPr>
          <w:p w14:paraId="7E1884D8" w14:textId="77777777" w:rsidR="00444C2E" w:rsidRPr="00444C2E" w:rsidRDefault="00444C2E" w:rsidP="00444C2E">
            <w:pPr>
              <w:jc w:val="center"/>
              <w:rPr>
                <w:rFonts w:ascii="Arial" w:hAnsi="Arial" w:cs="Arial"/>
                <w:color w:val="000000"/>
                <w:sz w:val="20"/>
                <w:szCs w:val="20"/>
              </w:rPr>
            </w:pPr>
            <w:r w:rsidRPr="00444C2E">
              <w:rPr>
                <w:rFonts w:ascii="Arial" w:hAnsi="Arial" w:cs="Arial"/>
                <w:color w:val="000000"/>
                <w:sz w:val="20"/>
                <w:szCs w:val="20"/>
              </w:rPr>
              <w:t>0.311</w:t>
            </w:r>
          </w:p>
        </w:tc>
      </w:tr>
      <w:tr w:rsidR="00444C2E" w:rsidRPr="00444C2E" w14:paraId="5325932A" w14:textId="77777777" w:rsidTr="00444C2E">
        <w:trPr>
          <w:trHeight w:val="360"/>
        </w:trPr>
        <w:tc>
          <w:tcPr>
            <w:tcW w:w="1300" w:type="dxa"/>
            <w:tcBorders>
              <w:top w:val="nil"/>
              <w:left w:val="nil"/>
              <w:bottom w:val="single" w:sz="4" w:space="0" w:color="auto"/>
              <w:right w:val="nil"/>
            </w:tcBorders>
            <w:shd w:val="clear" w:color="auto" w:fill="auto"/>
            <w:noWrap/>
            <w:vAlign w:val="center"/>
            <w:hideMark/>
          </w:tcPr>
          <w:p w14:paraId="4CB6C8C0" w14:textId="77777777" w:rsidR="00444C2E" w:rsidRPr="00444C2E" w:rsidRDefault="00444C2E">
            <w:pPr>
              <w:rPr>
                <w:rFonts w:ascii="Arial" w:hAnsi="Arial" w:cs="Arial"/>
                <w:color w:val="000000"/>
                <w:sz w:val="20"/>
                <w:szCs w:val="20"/>
              </w:rPr>
            </w:pPr>
            <w:r w:rsidRPr="00444C2E">
              <w:rPr>
                <w:rFonts w:ascii="Arial" w:hAnsi="Arial" w:cs="Arial"/>
                <w:color w:val="000000"/>
                <w:sz w:val="20"/>
                <w:szCs w:val="20"/>
              </w:rPr>
              <w:t>AAO</w:t>
            </w:r>
          </w:p>
        </w:tc>
        <w:tc>
          <w:tcPr>
            <w:tcW w:w="1840" w:type="dxa"/>
            <w:tcBorders>
              <w:top w:val="nil"/>
              <w:left w:val="nil"/>
              <w:bottom w:val="single" w:sz="4" w:space="0" w:color="auto"/>
              <w:right w:val="nil"/>
            </w:tcBorders>
            <w:shd w:val="clear" w:color="auto" w:fill="auto"/>
            <w:noWrap/>
            <w:vAlign w:val="center"/>
            <w:hideMark/>
          </w:tcPr>
          <w:p w14:paraId="1B405980" w14:textId="77777777" w:rsidR="00444C2E" w:rsidRPr="00444C2E" w:rsidRDefault="00444C2E" w:rsidP="00444C2E">
            <w:pPr>
              <w:jc w:val="center"/>
              <w:rPr>
                <w:rFonts w:ascii="Arial" w:hAnsi="Arial" w:cs="Arial"/>
                <w:color w:val="000000"/>
                <w:sz w:val="20"/>
                <w:szCs w:val="20"/>
              </w:rPr>
            </w:pPr>
            <w:r w:rsidRPr="00444C2E">
              <w:rPr>
                <w:rFonts w:ascii="Arial" w:hAnsi="Arial" w:cs="Arial"/>
                <w:color w:val="000000"/>
                <w:sz w:val="20"/>
                <w:szCs w:val="20"/>
              </w:rPr>
              <w:t>2.22 (1.36 to 3.64)</w:t>
            </w:r>
          </w:p>
        </w:tc>
        <w:tc>
          <w:tcPr>
            <w:tcW w:w="1113" w:type="dxa"/>
            <w:tcBorders>
              <w:top w:val="nil"/>
              <w:left w:val="nil"/>
              <w:bottom w:val="single" w:sz="4" w:space="0" w:color="auto"/>
              <w:right w:val="single" w:sz="4" w:space="0" w:color="auto"/>
            </w:tcBorders>
            <w:shd w:val="clear" w:color="auto" w:fill="auto"/>
            <w:noWrap/>
            <w:vAlign w:val="center"/>
            <w:hideMark/>
          </w:tcPr>
          <w:p w14:paraId="0EB63E9F" w14:textId="77777777" w:rsidR="00444C2E" w:rsidRPr="00444C2E" w:rsidRDefault="00444C2E" w:rsidP="00444C2E">
            <w:pPr>
              <w:jc w:val="center"/>
              <w:rPr>
                <w:rFonts w:ascii="Arial" w:hAnsi="Arial" w:cs="Arial"/>
                <w:b/>
                <w:color w:val="000000"/>
                <w:sz w:val="20"/>
                <w:szCs w:val="20"/>
              </w:rPr>
            </w:pPr>
            <w:r w:rsidRPr="00444C2E">
              <w:rPr>
                <w:rFonts w:ascii="Arial" w:hAnsi="Arial" w:cs="Arial"/>
                <w:b/>
                <w:color w:val="000000"/>
                <w:sz w:val="20"/>
                <w:szCs w:val="20"/>
              </w:rPr>
              <w:t>0.001</w:t>
            </w:r>
          </w:p>
        </w:tc>
        <w:tc>
          <w:tcPr>
            <w:tcW w:w="1984" w:type="dxa"/>
            <w:tcBorders>
              <w:top w:val="nil"/>
              <w:left w:val="single" w:sz="4" w:space="0" w:color="auto"/>
              <w:bottom w:val="single" w:sz="4" w:space="0" w:color="auto"/>
              <w:right w:val="nil"/>
            </w:tcBorders>
            <w:shd w:val="clear" w:color="auto" w:fill="auto"/>
            <w:noWrap/>
            <w:vAlign w:val="center"/>
            <w:hideMark/>
          </w:tcPr>
          <w:p w14:paraId="008D194E" w14:textId="77777777" w:rsidR="00444C2E" w:rsidRPr="00444C2E" w:rsidRDefault="00444C2E" w:rsidP="00444C2E">
            <w:pPr>
              <w:jc w:val="center"/>
              <w:rPr>
                <w:rFonts w:ascii="Arial" w:hAnsi="Arial" w:cs="Arial"/>
                <w:color w:val="000000"/>
                <w:sz w:val="20"/>
                <w:szCs w:val="20"/>
              </w:rPr>
            </w:pPr>
            <w:r w:rsidRPr="00444C2E">
              <w:rPr>
                <w:rFonts w:ascii="Arial" w:hAnsi="Arial" w:cs="Arial"/>
                <w:color w:val="000000"/>
                <w:sz w:val="20"/>
                <w:szCs w:val="20"/>
              </w:rPr>
              <w:t>2.88 (1.55 to 5.35)</w:t>
            </w:r>
          </w:p>
        </w:tc>
        <w:tc>
          <w:tcPr>
            <w:tcW w:w="1560" w:type="dxa"/>
            <w:tcBorders>
              <w:top w:val="nil"/>
              <w:left w:val="nil"/>
              <w:bottom w:val="single" w:sz="4" w:space="0" w:color="auto"/>
              <w:right w:val="nil"/>
            </w:tcBorders>
            <w:shd w:val="clear" w:color="auto" w:fill="auto"/>
            <w:noWrap/>
            <w:vAlign w:val="center"/>
            <w:hideMark/>
          </w:tcPr>
          <w:p w14:paraId="40107A03" w14:textId="77777777" w:rsidR="00444C2E" w:rsidRPr="00444C2E" w:rsidRDefault="00444C2E" w:rsidP="00444C2E">
            <w:pPr>
              <w:jc w:val="center"/>
              <w:rPr>
                <w:rFonts w:ascii="Arial" w:hAnsi="Arial" w:cs="Arial"/>
                <w:b/>
                <w:color w:val="000000"/>
                <w:sz w:val="20"/>
                <w:szCs w:val="20"/>
              </w:rPr>
            </w:pPr>
            <w:r w:rsidRPr="00444C2E">
              <w:rPr>
                <w:rFonts w:ascii="Arial" w:hAnsi="Arial" w:cs="Arial"/>
                <w:b/>
                <w:color w:val="000000"/>
                <w:sz w:val="20"/>
                <w:szCs w:val="20"/>
              </w:rPr>
              <w:t>0.001</w:t>
            </w:r>
          </w:p>
        </w:tc>
      </w:tr>
      <w:tr w:rsidR="00444C2E" w:rsidRPr="00444C2E" w14:paraId="7ECEE71E" w14:textId="77777777" w:rsidTr="00444C2E">
        <w:trPr>
          <w:trHeight w:val="340"/>
        </w:trPr>
        <w:tc>
          <w:tcPr>
            <w:tcW w:w="7797" w:type="dxa"/>
            <w:gridSpan w:val="5"/>
            <w:tcBorders>
              <w:top w:val="single" w:sz="4" w:space="0" w:color="auto"/>
              <w:left w:val="nil"/>
              <w:bottom w:val="single" w:sz="4" w:space="0" w:color="auto"/>
            </w:tcBorders>
            <w:shd w:val="clear" w:color="000000" w:fill="E8E8E8"/>
            <w:noWrap/>
            <w:vAlign w:val="center"/>
            <w:hideMark/>
          </w:tcPr>
          <w:p w14:paraId="638BA1E6" w14:textId="5A9BB91F" w:rsidR="00444C2E" w:rsidRPr="00444C2E" w:rsidRDefault="00444C2E" w:rsidP="00444C2E">
            <w:pPr>
              <w:rPr>
                <w:rFonts w:ascii="Arial" w:hAnsi="Arial" w:cs="Arial"/>
                <w:i/>
                <w:iCs/>
                <w:color w:val="000000"/>
                <w:sz w:val="20"/>
                <w:szCs w:val="20"/>
              </w:rPr>
            </w:pPr>
            <w:r w:rsidRPr="00444C2E">
              <w:rPr>
                <w:rFonts w:ascii="Arial" w:hAnsi="Arial" w:cs="Arial"/>
                <w:i/>
                <w:iCs/>
                <w:color w:val="000000"/>
                <w:sz w:val="20"/>
                <w:szCs w:val="20"/>
              </w:rPr>
              <w:t>Interaction</w:t>
            </w:r>
          </w:p>
        </w:tc>
      </w:tr>
      <w:tr w:rsidR="00444C2E" w:rsidRPr="00444C2E" w14:paraId="74F2D2F3" w14:textId="77777777" w:rsidTr="00444C2E">
        <w:trPr>
          <w:trHeight w:val="320"/>
        </w:trPr>
        <w:tc>
          <w:tcPr>
            <w:tcW w:w="1300" w:type="dxa"/>
            <w:tcBorders>
              <w:top w:val="nil"/>
              <w:left w:val="nil"/>
              <w:bottom w:val="nil"/>
              <w:right w:val="nil"/>
            </w:tcBorders>
            <w:shd w:val="clear" w:color="auto" w:fill="auto"/>
            <w:noWrap/>
            <w:vAlign w:val="center"/>
            <w:hideMark/>
          </w:tcPr>
          <w:p w14:paraId="62855FAF" w14:textId="77777777" w:rsidR="00444C2E" w:rsidRPr="00444C2E" w:rsidRDefault="00444C2E">
            <w:pPr>
              <w:rPr>
                <w:rFonts w:ascii="Arial" w:hAnsi="Arial" w:cs="Arial"/>
                <w:color w:val="000000"/>
                <w:sz w:val="20"/>
                <w:szCs w:val="20"/>
              </w:rPr>
            </w:pPr>
            <w:r w:rsidRPr="00444C2E">
              <w:rPr>
                <w:rFonts w:ascii="Arial" w:hAnsi="Arial" w:cs="Arial"/>
                <w:color w:val="000000"/>
                <w:sz w:val="20"/>
                <w:szCs w:val="20"/>
              </w:rPr>
              <w:t xml:space="preserve">Sex*GBA </w:t>
            </w:r>
          </w:p>
        </w:tc>
        <w:tc>
          <w:tcPr>
            <w:tcW w:w="1840" w:type="dxa"/>
            <w:tcBorders>
              <w:top w:val="nil"/>
              <w:left w:val="nil"/>
              <w:bottom w:val="nil"/>
              <w:right w:val="nil"/>
            </w:tcBorders>
            <w:shd w:val="clear" w:color="auto" w:fill="auto"/>
            <w:noWrap/>
            <w:vAlign w:val="center"/>
            <w:hideMark/>
          </w:tcPr>
          <w:p w14:paraId="31B4AB18" w14:textId="2BF06B19" w:rsidR="00444C2E" w:rsidRPr="00444C2E" w:rsidRDefault="00444C2E" w:rsidP="00444C2E">
            <w:pPr>
              <w:jc w:val="center"/>
              <w:rPr>
                <w:rFonts w:ascii="Arial" w:hAnsi="Arial" w:cs="Arial"/>
                <w:color w:val="000000"/>
                <w:sz w:val="20"/>
                <w:szCs w:val="20"/>
              </w:rPr>
            </w:pPr>
            <w:r w:rsidRPr="00444C2E">
              <w:rPr>
                <w:rFonts w:ascii="Arial" w:hAnsi="Arial" w:cs="Arial"/>
                <w:color w:val="000000"/>
                <w:sz w:val="20"/>
                <w:szCs w:val="20"/>
              </w:rPr>
              <w:t>1.69 (1.04 to 2.76)</w:t>
            </w:r>
          </w:p>
        </w:tc>
        <w:tc>
          <w:tcPr>
            <w:tcW w:w="1113" w:type="dxa"/>
            <w:tcBorders>
              <w:top w:val="nil"/>
              <w:left w:val="nil"/>
              <w:bottom w:val="nil"/>
              <w:right w:val="single" w:sz="4" w:space="0" w:color="auto"/>
            </w:tcBorders>
            <w:shd w:val="clear" w:color="auto" w:fill="auto"/>
            <w:noWrap/>
            <w:vAlign w:val="center"/>
            <w:hideMark/>
          </w:tcPr>
          <w:p w14:paraId="7B148E7C" w14:textId="77777777" w:rsidR="00444C2E" w:rsidRPr="00444C2E" w:rsidRDefault="00444C2E" w:rsidP="00444C2E">
            <w:pPr>
              <w:jc w:val="center"/>
              <w:rPr>
                <w:rFonts w:ascii="Arial" w:hAnsi="Arial" w:cs="Arial"/>
                <w:b/>
                <w:color w:val="000000"/>
                <w:sz w:val="20"/>
                <w:szCs w:val="20"/>
              </w:rPr>
            </w:pPr>
            <w:r w:rsidRPr="00444C2E">
              <w:rPr>
                <w:rFonts w:ascii="Arial" w:hAnsi="Arial" w:cs="Arial"/>
                <w:b/>
                <w:color w:val="000000"/>
                <w:sz w:val="20"/>
                <w:szCs w:val="20"/>
              </w:rPr>
              <w:t>0.035</w:t>
            </w:r>
          </w:p>
        </w:tc>
        <w:tc>
          <w:tcPr>
            <w:tcW w:w="1984" w:type="dxa"/>
            <w:tcBorders>
              <w:top w:val="nil"/>
              <w:left w:val="single" w:sz="4" w:space="0" w:color="auto"/>
              <w:bottom w:val="nil"/>
              <w:right w:val="nil"/>
            </w:tcBorders>
            <w:shd w:val="clear" w:color="auto" w:fill="auto"/>
            <w:noWrap/>
            <w:vAlign w:val="center"/>
            <w:hideMark/>
          </w:tcPr>
          <w:p w14:paraId="5EAB11EC" w14:textId="41496770" w:rsidR="00444C2E" w:rsidRPr="00444C2E" w:rsidRDefault="00444C2E" w:rsidP="00444C2E">
            <w:pPr>
              <w:jc w:val="center"/>
              <w:rPr>
                <w:rFonts w:ascii="Arial" w:hAnsi="Arial" w:cs="Arial"/>
                <w:color w:val="000000"/>
                <w:sz w:val="20"/>
                <w:szCs w:val="20"/>
              </w:rPr>
            </w:pPr>
            <w:r w:rsidRPr="00444C2E">
              <w:rPr>
                <w:rFonts w:ascii="Arial" w:hAnsi="Arial" w:cs="Arial"/>
                <w:color w:val="000000"/>
                <w:sz w:val="20"/>
                <w:szCs w:val="20"/>
              </w:rPr>
              <w:t>1.73 (1.03 to 2.91)</w:t>
            </w:r>
          </w:p>
        </w:tc>
        <w:tc>
          <w:tcPr>
            <w:tcW w:w="1560" w:type="dxa"/>
            <w:tcBorders>
              <w:top w:val="nil"/>
              <w:left w:val="nil"/>
              <w:bottom w:val="nil"/>
              <w:right w:val="nil"/>
            </w:tcBorders>
            <w:shd w:val="clear" w:color="auto" w:fill="auto"/>
            <w:noWrap/>
            <w:vAlign w:val="center"/>
            <w:hideMark/>
          </w:tcPr>
          <w:p w14:paraId="63DB73B5" w14:textId="77777777" w:rsidR="00444C2E" w:rsidRPr="00444C2E" w:rsidRDefault="00444C2E" w:rsidP="00444C2E">
            <w:pPr>
              <w:jc w:val="center"/>
              <w:rPr>
                <w:rFonts w:ascii="Arial" w:hAnsi="Arial" w:cs="Arial"/>
                <w:b/>
                <w:color w:val="000000"/>
                <w:sz w:val="20"/>
                <w:szCs w:val="20"/>
              </w:rPr>
            </w:pPr>
            <w:r w:rsidRPr="00444C2E">
              <w:rPr>
                <w:rFonts w:ascii="Arial" w:hAnsi="Arial" w:cs="Arial"/>
                <w:b/>
                <w:color w:val="000000"/>
                <w:sz w:val="20"/>
                <w:szCs w:val="20"/>
              </w:rPr>
              <w:t>0.038</w:t>
            </w:r>
          </w:p>
        </w:tc>
      </w:tr>
      <w:tr w:rsidR="00444C2E" w:rsidRPr="00444C2E" w14:paraId="5478144D" w14:textId="77777777" w:rsidTr="00444C2E">
        <w:trPr>
          <w:trHeight w:val="320"/>
        </w:trPr>
        <w:tc>
          <w:tcPr>
            <w:tcW w:w="1300" w:type="dxa"/>
            <w:tcBorders>
              <w:top w:val="nil"/>
              <w:left w:val="nil"/>
              <w:bottom w:val="nil"/>
              <w:right w:val="nil"/>
            </w:tcBorders>
            <w:shd w:val="clear" w:color="auto" w:fill="auto"/>
            <w:noWrap/>
            <w:vAlign w:val="center"/>
            <w:hideMark/>
          </w:tcPr>
          <w:p w14:paraId="22939935" w14:textId="77777777" w:rsidR="00444C2E" w:rsidRPr="00444C2E" w:rsidRDefault="00444C2E">
            <w:pPr>
              <w:rPr>
                <w:rFonts w:ascii="Arial" w:hAnsi="Arial" w:cs="Arial"/>
                <w:color w:val="000000"/>
                <w:sz w:val="20"/>
                <w:szCs w:val="20"/>
              </w:rPr>
            </w:pPr>
            <w:r w:rsidRPr="00444C2E">
              <w:rPr>
                <w:rFonts w:ascii="Arial" w:hAnsi="Arial" w:cs="Arial"/>
                <w:color w:val="000000"/>
                <w:sz w:val="20"/>
                <w:szCs w:val="20"/>
              </w:rPr>
              <w:t>Sex*AAO</w:t>
            </w:r>
          </w:p>
        </w:tc>
        <w:tc>
          <w:tcPr>
            <w:tcW w:w="1840" w:type="dxa"/>
            <w:tcBorders>
              <w:top w:val="nil"/>
              <w:left w:val="nil"/>
              <w:bottom w:val="nil"/>
              <w:right w:val="nil"/>
            </w:tcBorders>
            <w:shd w:val="clear" w:color="auto" w:fill="auto"/>
            <w:noWrap/>
            <w:vAlign w:val="center"/>
            <w:hideMark/>
          </w:tcPr>
          <w:p w14:paraId="13695382" w14:textId="77777777" w:rsidR="00444C2E" w:rsidRPr="00444C2E" w:rsidRDefault="00444C2E" w:rsidP="00444C2E">
            <w:pPr>
              <w:jc w:val="center"/>
              <w:rPr>
                <w:rFonts w:ascii="Arial" w:hAnsi="Arial" w:cs="Arial"/>
                <w:color w:val="000000"/>
                <w:sz w:val="20"/>
                <w:szCs w:val="20"/>
              </w:rPr>
            </w:pPr>
            <w:r w:rsidRPr="00444C2E">
              <w:rPr>
                <w:rFonts w:ascii="Arial" w:hAnsi="Arial" w:cs="Arial"/>
                <w:color w:val="000000"/>
                <w:sz w:val="20"/>
                <w:szCs w:val="20"/>
              </w:rPr>
              <w:t>1.79 (1.26 to 2.56)</w:t>
            </w:r>
          </w:p>
        </w:tc>
        <w:tc>
          <w:tcPr>
            <w:tcW w:w="1113" w:type="dxa"/>
            <w:tcBorders>
              <w:top w:val="nil"/>
              <w:left w:val="nil"/>
              <w:bottom w:val="nil"/>
              <w:right w:val="single" w:sz="4" w:space="0" w:color="auto"/>
            </w:tcBorders>
            <w:shd w:val="clear" w:color="auto" w:fill="auto"/>
            <w:noWrap/>
            <w:vAlign w:val="center"/>
            <w:hideMark/>
          </w:tcPr>
          <w:p w14:paraId="4AB5601E" w14:textId="77777777" w:rsidR="00444C2E" w:rsidRPr="00444C2E" w:rsidRDefault="00444C2E" w:rsidP="00444C2E">
            <w:pPr>
              <w:jc w:val="center"/>
              <w:rPr>
                <w:rFonts w:ascii="Arial" w:hAnsi="Arial" w:cs="Arial"/>
                <w:b/>
                <w:color w:val="000000"/>
                <w:sz w:val="20"/>
                <w:szCs w:val="20"/>
              </w:rPr>
            </w:pPr>
            <w:r w:rsidRPr="00444C2E">
              <w:rPr>
                <w:rFonts w:ascii="Arial" w:hAnsi="Arial" w:cs="Arial"/>
                <w:b/>
                <w:color w:val="000000"/>
                <w:sz w:val="20"/>
                <w:szCs w:val="20"/>
              </w:rPr>
              <w:t>0.001</w:t>
            </w:r>
          </w:p>
        </w:tc>
        <w:tc>
          <w:tcPr>
            <w:tcW w:w="1984" w:type="dxa"/>
            <w:tcBorders>
              <w:top w:val="nil"/>
              <w:left w:val="single" w:sz="4" w:space="0" w:color="auto"/>
              <w:bottom w:val="nil"/>
              <w:right w:val="nil"/>
            </w:tcBorders>
            <w:shd w:val="clear" w:color="auto" w:fill="auto"/>
            <w:noWrap/>
            <w:vAlign w:val="center"/>
            <w:hideMark/>
          </w:tcPr>
          <w:p w14:paraId="2B353A16" w14:textId="77777777" w:rsidR="00444C2E" w:rsidRPr="00444C2E" w:rsidRDefault="00444C2E" w:rsidP="00444C2E">
            <w:pPr>
              <w:jc w:val="center"/>
              <w:rPr>
                <w:rFonts w:ascii="Arial" w:hAnsi="Arial" w:cs="Arial"/>
                <w:color w:val="000000"/>
                <w:sz w:val="20"/>
                <w:szCs w:val="20"/>
              </w:rPr>
            </w:pPr>
            <w:r w:rsidRPr="00444C2E">
              <w:rPr>
                <w:rFonts w:ascii="Arial" w:hAnsi="Arial" w:cs="Arial"/>
                <w:color w:val="000000"/>
                <w:sz w:val="20"/>
                <w:szCs w:val="20"/>
              </w:rPr>
              <w:t>2.06 (1.37 to 3.10)</w:t>
            </w:r>
          </w:p>
        </w:tc>
        <w:tc>
          <w:tcPr>
            <w:tcW w:w="1560" w:type="dxa"/>
            <w:tcBorders>
              <w:top w:val="nil"/>
              <w:left w:val="nil"/>
              <w:bottom w:val="nil"/>
              <w:right w:val="nil"/>
            </w:tcBorders>
            <w:shd w:val="clear" w:color="auto" w:fill="auto"/>
            <w:noWrap/>
            <w:vAlign w:val="center"/>
            <w:hideMark/>
          </w:tcPr>
          <w:p w14:paraId="34023A01" w14:textId="77777777" w:rsidR="00444C2E" w:rsidRPr="00444C2E" w:rsidRDefault="00444C2E" w:rsidP="00444C2E">
            <w:pPr>
              <w:jc w:val="center"/>
              <w:rPr>
                <w:rFonts w:ascii="Arial" w:hAnsi="Arial" w:cs="Arial"/>
                <w:b/>
                <w:color w:val="000000"/>
                <w:sz w:val="20"/>
                <w:szCs w:val="20"/>
              </w:rPr>
            </w:pPr>
            <w:r w:rsidRPr="00444C2E">
              <w:rPr>
                <w:rFonts w:ascii="Arial" w:hAnsi="Arial" w:cs="Arial"/>
                <w:b/>
                <w:color w:val="000000"/>
                <w:sz w:val="20"/>
                <w:szCs w:val="20"/>
              </w:rPr>
              <w:t>0.000</w:t>
            </w:r>
          </w:p>
        </w:tc>
      </w:tr>
      <w:tr w:rsidR="00444C2E" w:rsidRPr="00444C2E" w14:paraId="55A013A6" w14:textId="77777777" w:rsidTr="00444C2E">
        <w:trPr>
          <w:trHeight w:val="340"/>
        </w:trPr>
        <w:tc>
          <w:tcPr>
            <w:tcW w:w="1300" w:type="dxa"/>
            <w:tcBorders>
              <w:top w:val="nil"/>
              <w:left w:val="nil"/>
              <w:bottom w:val="double" w:sz="6" w:space="0" w:color="auto"/>
              <w:right w:val="nil"/>
            </w:tcBorders>
            <w:shd w:val="clear" w:color="auto" w:fill="auto"/>
            <w:noWrap/>
            <w:vAlign w:val="center"/>
            <w:hideMark/>
          </w:tcPr>
          <w:p w14:paraId="1DAFA2F2" w14:textId="77777777" w:rsidR="00444C2E" w:rsidRPr="00444C2E" w:rsidRDefault="00444C2E">
            <w:pPr>
              <w:rPr>
                <w:rFonts w:ascii="Arial" w:hAnsi="Arial" w:cs="Arial"/>
                <w:color w:val="000000"/>
                <w:sz w:val="20"/>
                <w:szCs w:val="20"/>
              </w:rPr>
            </w:pPr>
            <w:r w:rsidRPr="00444C2E">
              <w:rPr>
                <w:rFonts w:ascii="Arial" w:hAnsi="Arial" w:cs="Arial"/>
                <w:color w:val="000000"/>
                <w:sz w:val="20"/>
                <w:szCs w:val="20"/>
              </w:rPr>
              <w:t>GBA*AAO</w:t>
            </w:r>
          </w:p>
        </w:tc>
        <w:tc>
          <w:tcPr>
            <w:tcW w:w="1840" w:type="dxa"/>
            <w:tcBorders>
              <w:top w:val="nil"/>
              <w:left w:val="nil"/>
              <w:bottom w:val="double" w:sz="6" w:space="0" w:color="auto"/>
              <w:right w:val="nil"/>
            </w:tcBorders>
            <w:shd w:val="clear" w:color="auto" w:fill="auto"/>
            <w:noWrap/>
            <w:vAlign w:val="center"/>
            <w:hideMark/>
          </w:tcPr>
          <w:p w14:paraId="760AD0A3" w14:textId="77777777" w:rsidR="00444C2E" w:rsidRPr="00444C2E" w:rsidRDefault="00444C2E" w:rsidP="00444C2E">
            <w:pPr>
              <w:jc w:val="center"/>
              <w:rPr>
                <w:rFonts w:ascii="Arial" w:hAnsi="Arial" w:cs="Arial"/>
                <w:color w:val="000000"/>
                <w:sz w:val="20"/>
                <w:szCs w:val="20"/>
              </w:rPr>
            </w:pPr>
            <w:r w:rsidRPr="00444C2E">
              <w:rPr>
                <w:rFonts w:ascii="Arial" w:hAnsi="Arial" w:cs="Arial"/>
                <w:color w:val="000000"/>
                <w:sz w:val="20"/>
                <w:szCs w:val="20"/>
              </w:rPr>
              <w:t>1.45 (0.96 to 2.21)</w:t>
            </w:r>
          </w:p>
        </w:tc>
        <w:tc>
          <w:tcPr>
            <w:tcW w:w="1113" w:type="dxa"/>
            <w:tcBorders>
              <w:top w:val="nil"/>
              <w:left w:val="nil"/>
              <w:bottom w:val="double" w:sz="6" w:space="0" w:color="auto"/>
              <w:right w:val="single" w:sz="4" w:space="0" w:color="auto"/>
            </w:tcBorders>
            <w:shd w:val="clear" w:color="auto" w:fill="auto"/>
            <w:noWrap/>
            <w:vAlign w:val="center"/>
            <w:hideMark/>
          </w:tcPr>
          <w:p w14:paraId="17F2FC4C" w14:textId="77777777" w:rsidR="00444C2E" w:rsidRPr="00444C2E" w:rsidRDefault="00444C2E" w:rsidP="00444C2E">
            <w:pPr>
              <w:jc w:val="center"/>
              <w:rPr>
                <w:rFonts w:ascii="Arial" w:hAnsi="Arial" w:cs="Arial"/>
                <w:color w:val="000000"/>
                <w:sz w:val="20"/>
                <w:szCs w:val="20"/>
              </w:rPr>
            </w:pPr>
            <w:r w:rsidRPr="00444C2E">
              <w:rPr>
                <w:rFonts w:ascii="Arial" w:hAnsi="Arial" w:cs="Arial"/>
                <w:bCs/>
                <w:color w:val="000000"/>
                <w:sz w:val="20"/>
                <w:szCs w:val="20"/>
              </w:rPr>
              <w:t>0.080</w:t>
            </w:r>
          </w:p>
        </w:tc>
        <w:tc>
          <w:tcPr>
            <w:tcW w:w="1984" w:type="dxa"/>
            <w:tcBorders>
              <w:top w:val="nil"/>
              <w:left w:val="single" w:sz="4" w:space="0" w:color="auto"/>
              <w:bottom w:val="double" w:sz="6" w:space="0" w:color="auto"/>
              <w:right w:val="nil"/>
            </w:tcBorders>
            <w:shd w:val="clear" w:color="auto" w:fill="auto"/>
            <w:noWrap/>
            <w:vAlign w:val="center"/>
            <w:hideMark/>
          </w:tcPr>
          <w:p w14:paraId="5FC5A57B" w14:textId="77777777" w:rsidR="00444C2E" w:rsidRPr="00444C2E" w:rsidRDefault="00444C2E" w:rsidP="00444C2E">
            <w:pPr>
              <w:jc w:val="center"/>
              <w:rPr>
                <w:rFonts w:ascii="Arial" w:hAnsi="Arial" w:cs="Arial"/>
                <w:color w:val="000000"/>
                <w:sz w:val="20"/>
                <w:szCs w:val="20"/>
              </w:rPr>
            </w:pPr>
            <w:r w:rsidRPr="00444C2E">
              <w:rPr>
                <w:rFonts w:ascii="Arial" w:hAnsi="Arial" w:cs="Arial"/>
                <w:color w:val="000000"/>
                <w:sz w:val="20"/>
                <w:szCs w:val="20"/>
              </w:rPr>
              <w:t>1.38 (0.87 to 2.17)</w:t>
            </w:r>
          </w:p>
        </w:tc>
        <w:tc>
          <w:tcPr>
            <w:tcW w:w="1560" w:type="dxa"/>
            <w:tcBorders>
              <w:top w:val="nil"/>
              <w:left w:val="nil"/>
              <w:bottom w:val="double" w:sz="6" w:space="0" w:color="auto"/>
              <w:right w:val="nil"/>
            </w:tcBorders>
            <w:shd w:val="clear" w:color="auto" w:fill="auto"/>
            <w:noWrap/>
            <w:vAlign w:val="center"/>
            <w:hideMark/>
          </w:tcPr>
          <w:p w14:paraId="3C6A5087" w14:textId="77777777" w:rsidR="00444C2E" w:rsidRPr="00444C2E" w:rsidRDefault="00444C2E" w:rsidP="00444C2E">
            <w:pPr>
              <w:jc w:val="center"/>
              <w:rPr>
                <w:rFonts w:ascii="Arial" w:hAnsi="Arial" w:cs="Arial"/>
                <w:color w:val="000000"/>
                <w:sz w:val="20"/>
                <w:szCs w:val="20"/>
              </w:rPr>
            </w:pPr>
            <w:r w:rsidRPr="00444C2E">
              <w:rPr>
                <w:rFonts w:ascii="Arial" w:hAnsi="Arial" w:cs="Arial"/>
                <w:bCs/>
                <w:color w:val="000000"/>
                <w:sz w:val="20"/>
                <w:szCs w:val="20"/>
              </w:rPr>
              <w:t>0.165</w:t>
            </w:r>
          </w:p>
        </w:tc>
      </w:tr>
      <w:tr w:rsidR="00444C2E" w:rsidRPr="00444C2E" w14:paraId="567FEEFE" w14:textId="77777777" w:rsidTr="00444C2E">
        <w:trPr>
          <w:trHeight w:val="360"/>
        </w:trPr>
        <w:tc>
          <w:tcPr>
            <w:tcW w:w="1300" w:type="dxa"/>
            <w:tcBorders>
              <w:top w:val="nil"/>
              <w:left w:val="nil"/>
              <w:bottom w:val="nil"/>
              <w:right w:val="nil"/>
            </w:tcBorders>
            <w:shd w:val="clear" w:color="auto" w:fill="auto"/>
            <w:noWrap/>
            <w:vAlign w:val="center"/>
            <w:hideMark/>
          </w:tcPr>
          <w:p w14:paraId="791EA184" w14:textId="77777777" w:rsidR="00444C2E" w:rsidRPr="00444C2E" w:rsidRDefault="00444C2E">
            <w:pPr>
              <w:jc w:val="right"/>
              <w:rPr>
                <w:rFonts w:ascii="Arial" w:hAnsi="Arial" w:cs="Arial"/>
                <w:color w:val="000000"/>
                <w:sz w:val="20"/>
                <w:szCs w:val="20"/>
              </w:rPr>
            </w:pPr>
          </w:p>
        </w:tc>
        <w:tc>
          <w:tcPr>
            <w:tcW w:w="1840" w:type="dxa"/>
            <w:tcBorders>
              <w:top w:val="nil"/>
              <w:left w:val="nil"/>
              <w:bottom w:val="nil"/>
              <w:right w:val="nil"/>
            </w:tcBorders>
            <w:shd w:val="clear" w:color="auto" w:fill="auto"/>
            <w:noWrap/>
            <w:vAlign w:val="bottom"/>
            <w:hideMark/>
          </w:tcPr>
          <w:p w14:paraId="27273978" w14:textId="77777777" w:rsidR="00444C2E" w:rsidRPr="00444C2E" w:rsidRDefault="00444C2E">
            <w:pPr>
              <w:rPr>
                <w:rFonts w:ascii="Arial" w:hAnsi="Arial" w:cs="Arial"/>
                <w:sz w:val="20"/>
                <w:szCs w:val="20"/>
              </w:rPr>
            </w:pPr>
          </w:p>
        </w:tc>
        <w:tc>
          <w:tcPr>
            <w:tcW w:w="1113" w:type="dxa"/>
            <w:tcBorders>
              <w:top w:val="nil"/>
              <w:left w:val="nil"/>
              <w:bottom w:val="nil"/>
              <w:right w:val="nil"/>
            </w:tcBorders>
            <w:shd w:val="clear" w:color="auto" w:fill="auto"/>
            <w:noWrap/>
            <w:vAlign w:val="bottom"/>
            <w:hideMark/>
          </w:tcPr>
          <w:p w14:paraId="26D47574" w14:textId="77777777" w:rsidR="00444C2E" w:rsidRPr="00444C2E" w:rsidRDefault="00444C2E">
            <w:pPr>
              <w:rPr>
                <w:rFonts w:ascii="Arial" w:hAnsi="Arial" w:cs="Arial"/>
                <w:sz w:val="20"/>
                <w:szCs w:val="20"/>
              </w:rPr>
            </w:pPr>
          </w:p>
        </w:tc>
        <w:tc>
          <w:tcPr>
            <w:tcW w:w="1984" w:type="dxa"/>
            <w:tcBorders>
              <w:top w:val="nil"/>
              <w:left w:val="nil"/>
              <w:bottom w:val="nil"/>
              <w:right w:val="nil"/>
            </w:tcBorders>
            <w:shd w:val="clear" w:color="auto" w:fill="auto"/>
            <w:noWrap/>
            <w:vAlign w:val="bottom"/>
            <w:hideMark/>
          </w:tcPr>
          <w:p w14:paraId="3FAABA35" w14:textId="77777777" w:rsidR="00444C2E" w:rsidRPr="00444C2E" w:rsidRDefault="00444C2E">
            <w:pPr>
              <w:rPr>
                <w:rFonts w:ascii="Arial" w:hAnsi="Arial" w:cs="Arial"/>
                <w:sz w:val="20"/>
                <w:szCs w:val="20"/>
              </w:rPr>
            </w:pPr>
          </w:p>
        </w:tc>
        <w:tc>
          <w:tcPr>
            <w:tcW w:w="1560" w:type="dxa"/>
            <w:tcBorders>
              <w:top w:val="nil"/>
              <w:left w:val="nil"/>
              <w:bottom w:val="nil"/>
              <w:right w:val="nil"/>
            </w:tcBorders>
            <w:shd w:val="clear" w:color="auto" w:fill="auto"/>
            <w:noWrap/>
            <w:vAlign w:val="bottom"/>
            <w:hideMark/>
          </w:tcPr>
          <w:p w14:paraId="13B65FA5" w14:textId="77777777" w:rsidR="00444C2E" w:rsidRPr="00444C2E" w:rsidRDefault="00444C2E">
            <w:pPr>
              <w:rPr>
                <w:rFonts w:ascii="Arial" w:hAnsi="Arial" w:cs="Arial"/>
                <w:sz w:val="20"/>
                <w:szCs w:val="20"/>
              </w:rPr>
            </w:pPr>
          </w:p>
        </w:tc>
      </w:tr>
    </w:tbl>
    <w:p w14:paraId="0AFF1E07" w14:textId="5C45EF5D" w:rsidR="000228EE" w:rsidRPr="00CB4391" w:rsidRDefault="00000000">
      <w:pPr>
        <w:rPr>
          <w:rFonts w:ascii="Arial" w:hAnsi="Arial" w:cs="Arial"/>
          <w:sz w:val="20"/>
          <w:szCs w:val="20"/>
          <w:lang w:val="en-US"/>
        </w:rPr>
      </w:pPr>
      <w:r w:rsidRPr="00CB4391">
        <w:rPr>
          <w:rFonts w:ascii="Arial" w:eastAsia="Times" w:hAnsi="Arial" w:cs="Arial"/>
          <w:color w:val="000000"/>
          <w:sz w:val="20"/>
          <w:szCs w:val="20"/>
          <w:lang w:val="en-US"/>
        </w:rPr>
        <w:t>Cox regression models adjusted for age, disease duration</w:t>
      </w:r>
      <w:r w:rsidR="00E32F8D" w:rsidRPr="00CB4391">
        <w:rPr>
          <w:rFonts w:ascii="Arial" w:eastAsia="Times" w:hAnsi="Arial" w:cs="Arial"/>
          <w:color w:val="000000"/>
          <w:sz w:val="20"/>
          <w:szCs w:val="20"/>
          <w:lang w:val="en-US"/>
        </w:rPr>
        <w:t>,</w:t>
      </w:r>
      <w:r w:rsidRPr="00CB4391">
        <w:rPr>
          <w:rFonts w:ascii="Arial" w:eastAsia="Times" w:hAnsi="Arial" w:cs="Arial"/>
          <w:color w:val="000000"/>
          <w:sz w:val="20"/>
          <w:szCs w:val="20"/>
          <w:lang w:val="en-US"/>
        </w:rPr>
        <w:t xml:space="preserve"> education</w:t>
      </w:r>
      <w:r w:rsidR="00E32F8D" w:rsidRPr="00CB4391">
        <w:rPr>
          <w:rFonts w:ascii="Arial" w:eastAsia="Times" w:hAnsi="Arial" w:cs="Arial"/>
          <w:color w:val="000000"/>
          <w:sz w:val="20"/>
          <w:szCs w:val="20"/>
          <w:lang w:val="en-US"/>
        </w:rPr>
        <w:t>, and MDS-UPDRS-III</w:t>
      </w:r>
      <w:r w:rsidRPr="00CB4391">
        <w:rPr>
          <w:rFonts w:ascii="Arial" w:eastAsia="Times" w:hAnsi="Arial" w:cs="Arial"/>
          <w:color w:val="000000"/>
          <w:sz w:val="20"/>
          <w:szCs w:val="20"/>
          <w:lang w:val="en-US"/>
        </w:rPr>
        <w:t xml:space="preserve"> at baseline.</w:t>
      </w:r>
    </w:p>
    <w:p w14:paraId="782FB60D" w14:textId="77777777" w:rsidR="000228EE" w:rsidRPr="00CB4391" w:rsidRDefault="00000000">
      <w:pPr>
        <w:rPr>
          <w:rFonts w:ascii="Arial" w:hAnsi="Arial" w:cs="Arial"/>
          <w:sz w:val="20"/>
          <w:szCs w:val="20"/>
          <w:lang w:val="en-US"/>
        </w:rPr>
      </w:pPr>
      <w:r w:rsidRPr="00444C2E">
        <w:rPr>
          <w:rFonts w:ascii="Arial" w:hAnsi="Arial" w:cs="Arial"/>
          <w:sz w:val="20"/>
          <w:szCs w:val="20"/>
          <w:u w:val="single"/>
          <w:lang w:val="en-US"/>
        </w:rPr>
        <w:t>Abbreviation</w:t>
      </w:r>
      <w:r w:rsidRPr="00CB4391">
        <w:rPr>
          <w:rFonts w:ascii="Arial" w:hAnsi="Arial" w:cs="Arial"/>
          <w:sz w:val="20"/>
          <w:szCs w:val="20"/>
          <w:lang w:val="en-US"/>
        </w:rPr>
        <w:t xml:space="preserve">: AAO, age at symptoms onset; </w:t>
      </w:r>
      <w:r w:rsidRPr="00CB4391">
        <w:rPr>
          <w:rFonts w:ascii="Arial" w:hAnsi="Arial" w:cs="Arial"/>
          <w:sz w:val="20"/>
          <w:szCs w:val="20"/>
          <w:vertAlign w:val="subscript"/>
          <w:lang w:val="en-US"/>
        </w:rPr>
        <w:t>S</w:t>
      </w:r>
      <w:r w:rsidRPr="00CB4391">
        <w:rPr>
          <w:rFonts w:ascii="Arial" w:hAnsi="Arial" w:cs="Arial"/>
          <w:sz w:val="20"/>
          <w:szCs w:val="20"/>
          <w:lang w:val="en-US"/>
        </w:rPr>
        <w:t>HR, sub-group hazard ratio.</w:t>
      </w:r>
    </w:p>
    <w:p w14:paraId="596803D0" w14:textId="77777777" w:rsidR="000228EE" w:rsidRPr="00CB4391" w:rsidRDefault="00000000">
      <w:pPr>
        <w:rPr>
          <w:rFonts w:ascii="Arial" w:hAnsi="Arial" w:cs="Arial"/>
          <w:sz w:val="20"/>
          <w:szCs w:val="20"/>
          <w:lang w:val="en-US"/>
        </w:rPr>
      </w:pPr>
      <w:r w:rsidRPr="00CB4391">
        <w:rPr>
          <w:rFonts w:ascii="Arial" w:hAnsi="Arial" w:cs="Arial"/>
          <w:sz w:val="20"/>
          <w:szCs w:val="20"/>
          <w:lang w:val="en-US"/>
        </w:rPr>
        <w:t>Significant p-values (p &lt; 0.05) are reported in bold.</w:t>
      </w:r>
    </w:p>
    <w:p w14:paraId="06671C68" w14:textId="77777777" w:rsidR="000228EE" w:rsidRPr="00CB4391" w:rsidRDefault="000228EE">
      <w:pPr>
        <w:rPr>
          <w:rFonts w:ascii="Arial" w:hAnsi="Arial" w:cs="Arial"/>
          <w:lang w:val="en-US"/>
        </w:rPr>
      </w:pPr>
    </w:p>
    <w:p w14:paraId="3CB96D17" w14:textId="77777777" w:rsidR="000228EE" w:rsidRPr="00CB4391" w:rsidRDefault="000228EE">
      <w:pPr>
        <w:rPr>
          <w:rFonts w:ascii="Arial" w:hAnsi="Arial" w:cs="Arial"/>
          <w:lang w:val="en-US"/>
        </w:rPr>
      </w:pPr>
    </w:p>
    <w:p w14:paraId="309AE4BF" w14:textId="77777777" w:rsidR="000228EE" w:rsidRPr="00CB4391" w:rsidRDefault="000228EE">
      <w:pPr>
        <w:rPr>
          <w:rFonts w:ascii="Arial" w:hAnsi="Arial" w:cs="Arial"/>
          <w:lang w:val="en-US"/>
        </w:rPr>
      </w:pPr>
    </w:p>
    <w:p w14:paraId="4146419D" w14:textId="77777777" w:rsidR="000228EE" w:rsidRPr="00CB4391" w:rsidRDefault="000228EE">
      <w:pPr>
        <w:rPr>
          <w:rFonts w:ascii="Arial" w:hAnsi="Arial" w:cs="Arial"/>
          <w:lang w:val="en-US"/>
        </w:rPr>
      </w:pPr>
    </w:p>
    <w:sectPr w:rsidR="000228EE" w:rsidRPr="00CB4391">
      <w:pgSz w:w="11906" w:h="16838"/>
      <w:pgMar w:top="1417" w:right="1134"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embedRegular r:id="rId1" w:fontKey="{A0348CA2-15E4-5A43-B809-33A62026E9BE}"/>
    <w:embedBold r:id="rId2" w:fontKey="{43F4D922-C5D3-B944-A231-1F9273CAA9A4}"/>
    <w:embedItalic r:id="rId3" w:fontKey="{0C91F642-D6E5-3E46-8E21-D893FA7A10B5}"/>
  </w:font>
  <w:font w:name="Aptos Display">
    <w:panose1 w:val="020B0004020202020204"/>
    <w:charset w:val="00"/>
    <w:family w:val="swiss"/>
    <w:pitch w:val="variable"/>
    <w:sig w:usb0="20000287" w:usb1="00000003" w:usb2="00000000" w:usb3="00000000" w:csb0="0000019F" w:csb1="00000000"/>
    <w:embedRegular r:id="rId4" w:fontKey="{FDD1F7EE-8177-614C-B126-4E520DE68D44}"/>
  </w:font>
  <w:font w:name="Aptos">
    <w:panose1 w:val="020B0004020202020204"/>
    <w:charset w:val="00"/>
    <w:family w:val="swiss"/>
    <w:pitch w:val="variable"/>
    <w:sig w:usb0="20000287" w:usb1="00000003" w:usb2="00000000" w:usb3="00000000" w:csb0="0000019F" w:csb1="00000000"/>
    <w:embedRegular r:id="rId5" w:fontKey="{C88EF791-AD97-EA4E-8BF9-E09E9D0FACF3}"/>
    <w:embedItalic r:id="rId6" w:fontKey="{47A24838-D38E-4246-B725-82C0C6691A78}"/>
  </w:font>
  <w:font w:name="Arial">
    <w:panose1 w:val="020B0604020202020204"/>
    <w:charset w:val="00"/>
    <w:family w:val="swiss"/>
    <w:pitch w:val="variable"/>
    <w:sig w:usb0="E0002AFF" w:usb1="C0007843" w:usb2="00000009" w:usb3="00000000" w:csb0="000001FF" w:csb1="00000000"/>
    <w:embedRegular r:id="rId7" w:fontKey="{41325CEC-1E8A-9C42-B06F-A81EAD2F700F}"/>
    <w:embedBold r:id="rId8" w:fontKey="{35E48A02-6515-3F43-9F6E-F2B2FC425D95}"/>
    <w:embedItalic r:id="rId9" w:fontKey="{73E7E49B-E4AD-1D40-9674-018E100C2579}"/>
    <w:embedBoldItalic r:id="rId10" w:fontKey="{B92672C7-7A1F-A343-BA0B-B412ACBC1E91}"/>
  </w:font>
  <w:font w:name="Times">
    <w:altName w:val="Times New Roman"/>
    <w:panose1 w:val="020B06040202020202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embedTrueTypeFonts/>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28EE"/>
    <w:rsid w:val="000228EE"/>
    <w:rsid w:val="00064514"/>
    <w:rsid w:val="00075E89"/>
    <w:rsid w:val="000D198B"/>
    <w:rsid w:val="001257E4"/>
    <w:rsid w:val="001407D7"/>
    <w:rsid w:val="00140862"/>
    <w:rsid w:val="001469F8"/>
    <w:rsid w:val="001A2978"/>
    <w:rsid w:val="00233112"/>
    <w:rsid w:val="0035683B"/>
    <w:rsid w:val="003634F3"/>
    <w:rsid w:val="00382141"/>
    <w:rsid w:val="00384C23"/>
    <w:rsid w:val="004143DD"/>
    <w:rsid w:val="004279F2"/>
    <w:rsid w:val="00444C2E"/>
    <w:rsid w:val="00497CAC"/>
    <w:rsid w:val="00517351"/>
    <w:rsid w:val="0053168E"/>
    <w:rsid w:val="00547B58"/>
    <w:rsid w:val="00560DC0"/>
    <w:rsid w:val="00595EF7"/>
    <w:rsid w:val="005E3F81"/>
    <w:rsid w:val="00670E5E"/>
    <w:rsid w:val="006D1F6C"/>
    <w:rsid w:val="00727819"/>
    <w:rsid w:val="0074166D"/>
    <w:rsid w:val="0074427A"/>
    <w:rsid w:val="00791AB6"/>
    <w:rsid w:val="007A639F"/>
    <w:rsid w:val="007B7A50"/>
    <w:rsid w:val="007C09A0"/>
    <w:rsid w:val="007F422A"/>
    <w:rsid w:val="00834A5C"/>
    <w:rsid w:val="0084435F"/>
    <w:rsid w:val="00887A30"/>
    <w:rsid w:val="008D4712"/>
    <w:rsid w:val="008D4C67"/>
    <w:rsid w:val="00981D8D"/>
    <w:rsid w:val="0099067E"/>
    <w:rsid w:val="009E27E5"/>
    <w:rsid w:val="00A5123A"/>
    <w:rsid w:val="00AE0076"/>
    <w:rsid w:val="00AF46AE"/>
    <w:rsid w:val="00B22906"/>
    <w:rsid w:val="00B56231"/>
    <w:rsid w:val="00BA0891"/>
    <w:rsid w:val="00C06113"/>
    <w:rsid w:val="00C72B8E"/>
    <w:rsid w:val="00C778BF"/>
    <w:rsid w:val="00CB4391"/>
    <w:rsid w:val="00D41EBB"/>
    <w:rsid w:val="00D6763E"/>
    <w:rsid w:val="00E32F8D"/>
    <w:rsid w:val="00E471FF"/>
    <w:rsid w:val="00E55F08"/>
    <w:rsid w:val="00E63A7C"/>
    <w:rsid w:val="00EB0B1A"/>
    <w:rsid w:val="00EE0529"/>
    <w:rsid w:val="00EF0FDF"/>
    <w:rsid w:val="00F168BE"/>
    <w:rsid w:val="00F306DA"/>
    <w:rsid w:val="00F3644E"/>
    <w:rsid w:val="00FA073A"/>
  </w:rsids>
  <m:mathPr>
    <m:mathFont m:val="Cambria Math"/>
    <m:brkBin m:val="before"/>
    <m:brkBinSub m:val="--"/>
    <m:smallFrac m:val="0"/>
    <m:dispDef/>
    <m:lMargin m:val="0"/>
    <m:rMargin m:val="0"/>
    <m:defJc m:val="centerGroup"/>
    <m:wrapIndent m:val="1440"/>
    <m:intLim m:val="subSup"/>
    <m:naryLim m:val="undOvr"/>
  </m:mathPr>
  <w:themeFontLang w:val="it-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AC6912"/>
  <w15:docId w15:val="{0AF6187D-A7A0-E04D-B0B3-7FF3F5F77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it-CH"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16212"/>
  </w:style>
  <w:style w:type="paragraph" w:styleId="Titolo1">
    <w:name w:val="heading 1"/>
    <w:basedOn w:val="Normale"/>
    <w:next w:val="Normale"/>
    <w:link w:val="Titolo1Carattere"/>
    <w:uiPriority w:val="9"/>
    <w:qFormat/>
    <w:rsid w:val="00090F70"/>
    <w:pPr>
      <w:keepNext/>
      <w:keepLines/>
      <w:spacing w:before="360" w:after="80"/>
      <w:outlineLvl w:val="0"/>
    </w:pPr>
    <w:rPr>
      <w:rFonts w:asciiTheme="majorHAnsi" w:eastAsiaTheme="majorEastAsia" w:hAnsiTheme="majorHAnsi" w:cstheme="majorBidi"/>
      <w:color w:val="0F4761" w:themeColor="accent1" w:themeShade="BF"/>
      <w:kern w:val="2"/>
      <w:sz w:val="40"/>
      <w:szCs w:val="40"/>
      <w:lang w:eastAsia="en-US"/>
    </w:rPr>
  </w:style>
  <w:style w:type="paragraph" w:styleId="Titolo2">
    <w:name w:val="heading 2"/>
    <w:basedOn w:val="Normale"/>
    <w:next w:val="Normale"/>
    <w:link w:val="Titolo2Carattere"/>
    <w:uiPriority w:val="9"/>
    <w:semiHidden/>
    <w:unhideWhenUsed/>
    <w:qFormat/>
    <w:rsid w:val="00090F70"/>
    <w:pPr>
      <w:keepNext/>
      <w:keepLines/>
      <w:spacing w:before="160" w:after="80"/>
      <w:outlineLvl w:val="1"/>
    </w:pPr>
    <w:rPr>
      <w:rFonts w:asciiTheme="majorHAnsi" w:eastAsiaTheme="majorEastAsia" w:hAnsiTheme="majorHAnsi" w:cstheme="majorBidi"/>
      <w:color w:val="0F4761" w:themeColor="accent1" w:themeShade="BF"/>
      <w:kern w:val="2"/>
      <w:sz w:val="32"/>
      <w:szCs w:val="32"/>
      <w:lang w:eastAsia="en-US"/>
    </w:rPr>
  </w:style>
  <w:style w:type="paragraph" w:styleId="Titolo3">
    <w:name w:val="heading 3"/>
    <w:basedOn w:val="Normale"/>
    <w:next w:val="Normale"/>
    <w:link w:val="Titolo3Carattere"/>
    <w:uiPriority w:val="9"/>
    <w:semiHidden/>
    <w:unhideWhenUsed/>
    <w:qFormat/>
    <w:rsid w:val="00090F70"/>
    <w:pPr>
      <w:keepNext/>
      <w:keepLines/>
      <w:spacing w:before="160" w:after="80"/>
      <w:outlineLvl w:val="2"/>
    </w:pPr>
    <w:rPr>
      <w:rFonts w:asciiTheme="minorHAnsi" w:eastAsiaTheme="majorEastAsia" w:hAnsiTheme="minorHAnsi" w:cstheme="majorBidi"/>
      <w:color w:val="0F4761" w:themeColor="accent1" w:themeShade="BF"/>
      <w:kern w:val="2"/>
      <w:sz w:val="28"/>
      <w:szCs w:val="28"/>
      <w:lang w:eastAsia="en-US"/>
    </w:rPr>
  </w:style>
  <w:style w:type="paragraph" w:styleId="Titolo4">
    <w:name w:val="heading 4"/>
    <w:basedOn w:val="Normale"/>
    <w:next w:val="Normale"/>
    <w:link w:val="Titolo4Carattere"/>
    <w:uiPriority w:val="9"/>
    <w:semiHidden/>
    <w:unhideWhenUsed/>
    <w:qFormat/>
    <w:rsid w:val="00090F70"/>
    <w:pPr>
      <w:keepNext/>
      <w:keepLines/>
      <w:spacing w:before="80" w:after="40"/>
      <w:outlineLvl w:val="3"/>
    </w:pPr>
    <w:rPr>
      <w:rFonts w:asciiTheme="minorHAnsi" w:eastAsiaTheme="majorEastAsia" w:hAnsiTheme="minorHAnsi" w:cstheme="majorBidi"/>
      <w:i/>
      <w:iCs/>
      <w:color w:val="0F4761" w:themeColor="accent1" w:themeShade="BF"/>
      <w:kern w:val="2"/>
      <w:lang w:eastAsia="en-US"/>
    </w:rPr>
  </w:style>
  <w:style w:type="paragraph" w:styleId="Titolo5">
    <w:name w:val="heading 5"/>
    <w:basedOn w:val="Normale"/>
    <w:next w:val="Normale"/>
    <w:link w:val="Titolo5Carattere"/>
    <w:uiPriority w:val="9"/>
    <w:semiHidden/>
    <w:unhideWhenUsed/>
    <w:qFormat/>
    <w:rsid w:val="00090F70"/>
    <w:pPr>
      <w:keepNext/>
      <w:keepLines/>
      <w:spacing w:before="80" w:after="40"/>
      <w:outlineLvl w:val="4"/>
    </w:pPr>
    <w:rPr>
      <w:rFonts w:asciiTheme="minorHAnsi" w:eastAsiaTheme="majorEastAsia" w:hAnsiTheme="minorHAnsi" w:cstheme="majorBidi"/>
      <w:color w:val="0F4761" w:themeColor="accent1" w:themeShade="BF"/>
      <w:kern w:val="2"/>
      <w:lang w:eastAsia="en-US"/>
    </w:rPr>
  </w:style>
  <w:style w:type="paragraph" w:styleId="Titolo6">
    <w:name w:val="heading 6"/>
    <w:basedOn w:val="Normale"/>
    <w:next w:val="Normale"/>
    <w:link w:val="Titolo6Carattere"/>
    <w:uiPriority w:val="9"/>
    <w:semiHidden/>
    <w:unhideWhenUsed/>
    <w:qFormat/>
    <w:rsid w:val="00090F70"/>
    <w:pPr>
      <w:keepNext/>
      <w:keepLines/>
      <w:spacing w:before="40"/>
      <w:outlineLvl w:val="5"/>
    </w:pPr>
    <w:rPr>
      <w:rFonts w:asciiTheme="minorHAnsi" w:eastAsiaTheme="majorEastAsia" w:hAnsiTheme="minorHAnsi" w:cstheme="majorBidi"/>
      <w:i/>
      <w:iCs/>
      <w:color w:val="595959" w:themeColor="text1" w:themeTint="A6"/>
      <w:kern w:val="2"/>
      <w:lang w:eastAsia="en-US"/>
    </w:rPr>
  </w:style>
  <w:style w:type="paragraph" w:styleId="Titolo7">
    <w:name w:val="heading 7"/>
    <w:basedOn w:val="Normale"/>
    <w:next w:val="Normale"/>
    <w:link w:val="Titolo7Carattere"/>
    <w:uiPriority w:val="9"/>
    <w:semiHidden/>
    <w:unhideWhenUsed/>
    <w:qFormat/>
    <w:rsid w:val="00090F70"/>
    <w:pPr>
      <w:keepNext/>
      <w:keepLines/>
      <w:spacing w:before="40"/>
      <w:outlineLvl w:val="6"/>
    </w:pPr>
    <w:rPr>
      <w:rFonts w:asciiTheme="minorHAnsi" w:eastAsiaTheme="majorEastAsia" w:hAnsiTheme="minorHAnsi" w:cstheme="majorBidi"/>
      <w:color w:val="595959" w:themeColor="text1" w:themeTint="A6"/>
      <w:kern w:val="2"/>
      <w:lang w:eastAsia="en-US"/>
    </w:rPr>
  </w:style>
  <w:style w:type="paragraph" w:styleId="Titolo8">
    <w:name w:val="heading 8"/>
    <w:basedOn w:val="Normale"/>
    <w:next w:val="Normale"/>
    <w:link w:val="Titolo8Carattere"/>
    <w:uiPriority w:val="9"/>
    <w:semiHidden/>
    <w:unhideWhenUsed/>
    <w:qFormat/>
    <w:rsid w:val="00090F70"/>
    <w:pPr>
      <w:keepNext/>
      <w:keepLines/>
      <w:outlineLvl w:val="7"/>
    </w:pPr>
    <w:rPr>
      <w:rFonts w:asciiTheme="minorHAnsi" w:eastAsiaTheme="majorEastAsia" w:hAnsiTheme="minorHAnsi" w:cstheme="majorBidi"/>
      <w:i/>
      <w:iCs/>
      <w:color w:val="272727" w:themeColor="text1" w:themeTint="D8"/>
      <w:kern w:val="2"/>
      <w:lang w:eastAsia="en-US"/>
    </w:rPr>
  </w:style>
  <w:style w:type="paragraph" w:styleId="Titolo9">
    <w:name w:val="heading 9"/>
    <w:basedOn w:val="Normale"/>
    <w:next w:val="Normale"/>
    <w:link w:val="Titolo9Carattere"/>
    <w:uiPriority w:val="9"/>
    <w:semiHidden/>
    <w:unhideWhenUsed/>
    <w:qFormat/>
    <w:rsid w:val="00090F70"/>
    <w:pPr>
      <w:keepNext/>
      <w:keepLines/>
      <w:outlineLvl w:val="8"/>
    </w:pPr>
    <w:rPr>
      <w:rFonts w:asciiTheme="minorHAnsi" w:eastAsiaTheme="majorEastAsia" w:hAnsiTheme="minorHAnsi" w:cstheme="majorBidi"/>
      <w:color w:val="272727" w:themeColor="text1" w:themeTint="D8"/>
      <w:kern w:val="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link w:val="TitoloCarattere"/>
    <w:uiPriority w:val="10"/>
    <w:qFormat/>
    <w:rsid w:val="00090F70"/>
    <w:pPr>
      <w:spacing w:after="80"/>
      <w:contextualSpacing/>
    </w:pPr>
    <w:rPr>
      <w:rFonts w:asciiTheme="majorHAnsi" w:eastAsiaTheme="majorEastAsia" w:hAnsiTheme="majorHAnsi" w:cstheme="majorBidi"/>
      <w:spacing w:val="-10"/>
      <w:kern w:val="28"/>
      <w:sz w:val="56"/>
      <w:szCs w:val="56"/>
      <w:lang w:eastAsia="en-US"/>
    </w:rPr>
  </w:style>
  <w:style w:type="table" w:customStyle="1" w:styleId="Stile1">
    <w:name w:val="Stile1"/>
    <w:basedOn w:val="Tabellanormale"/>
    <w:uiPriority w:val="99"/>
    <w:rsid w:val="00AC2C75"/>
    <w:rPr>
      <w:sz w:val="22"/>
      <w:szCs w:val="22"/>
      <w:lang w:val="it-IT"/>
    </w:rPr>
    <w:tblPr/>
    <w:tblStylePr w:type="firstRow">
      <w:tblPr/>
      <w:tcPr>
        <w:tcBorders>
          <w:top w:val="nil"/>
          <w:left w:val="nil"/>
          <w:bottom w:val="nil"/>
          <w:right w:val="nil"/>
        </w:tcBorders>
      </w:tcPr>
    </w:tblStylePr>
  </w:style>
  <w:style w:type="character" w:customStyle="1" w:styleId="Titolo1Carattere">
    <w:name w:val="Titolo 1 Carattere"/>
    <w:basedOn w:val="Carpredefinitoparagrafo"/>
    <w:link w:val="Titolo1"/>
    <w:uiPriority w:val="9"/>
    <w:rsid w:val="00090F70"/>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090F70"/>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090F70"/>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090F70"/>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090F70"/>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090F70"/>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090F70"/>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090F70"/>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090F70"/>
    <w:rPr>
      <w:rFonts w:eastAsiaTheme="majorEastAsia" w:cstheme="majorBidi"/>
      <w:color w:val="272727" w:themeColor="text1" w:themeTint="D8"/>
    </w:rPr>
  </w:style>
  <w:style w:type="character" w:customStyle="1" w:styleId="TitoloCarattere">
    <w:name w:val="Titolo Carattere"/>
    <w:basedOn w:val="Carpredefinitoparagrafo"/>
    <w:link w:val="Titolo"/>
    <w:uiPriority w:val="10"/>
    <w:rsid w:val="00090F70"/>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pPr>
      <w:spacing w:after="160"/>
    </w:pPr>
    <w:rPr>
      <w:rFonts w:ascii="Aptos" w:eastAsia="Aptos" w:hAnsi="Aptos" w:cs="Aptos"/>
      <w:color w:val="595959"/>
      <w:sz w:val="28"/>
      <w:szCs w:val="28"/>
    </w:rPr>
  </w:style>
  <w:style w:type="character" w:customStyle="1" w:styleId="SottotitoloCarattere">
    <w:name w:val="Sottotitolo Carattere"/>
    <w:basedOn w:val="Carpredefinitoparagrafo"/>
    <w:link w:val="Sottotitolo"/>
    <w:uiPriority w:val="11"/>
    <w:rsid w:val="00090F70"/>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090F70"/>
    <w:pPr>
      <w:spacing w:before="160" w:after="160"/>
      <w:jc w:val="center"/>
    </w:pPr>
    <w:rPr>
      <w:rFonts w:asciiTheme="minorHAnsi" w:eastAsiaTheme="minorHAnsi" w:hAnsiTheme="minorHAnsi" w:cstheme="minorBidi"/>
      <w:i/>
      <w:iCs/>
      <w:color w:val="404040" w:themeColor="text1" w:themeTint="BF"/>
      <w:kern w:val="2"/>
      <w:lang w:eastAsia="en-US"/>
    </w:rPr>
  </w:style>
  <w:style w:type="character" w:customStyle="1" w:styleId="CitazioneCarattere">
    <w:name w:val="Citazione Carattere"/>
    <w:basedOn w:val="Carpredefinitoparagrafo"/>
    <w:link w:val="Citazione"/>
    <w:uiPriority w:val="29"/>
    <w:rsid w:val="00090F70"/>
    <w:rPr>
      <w:i/>
      <w:iCs/>
      <w:color w:val="404040" w:themeColor="text1" w:themeTint="BF"/>
    </w:rPr>
  </w:style>
  <w:style w:type="paragraph" w:styleId="Paragrafoelenco">
    <w:name w:val="List Paragraph"/>
    <w:basedOn w:val="Normale"/>
    <w:uiPriority w:val="34"/>
    <w:qFormat/>
    <w:rsid w:val="00090F70"/>
    <w:pPr>
      <w:ind w:left="720"/>
      <w:contextualSpacing/>
    </w:pPr>
    <w:rPr>
      <w:rFonts w:asciiTheme="minorHAnsi" w:eastAsiaTheme="minorHAnsi" w:hAnsiTheme="minorHAnsi" w:cstheme="minorBidi"/>
      <w:kern w:val="2"/>
      <w:lang w:eastAsia="en-US"/>
    </w:rPr>
  </w:style>
  <w:style w:type="character" w:styleId="Enfasiintensa">
    <w:name w:val="Intense Emphasis"/>
    <w:basedOn w:val="Carpredefinitoparagrafo"/>
    <w:uiPriority w:val="21"/>
    <w:qFormat/>
    <w:rsid w:val="00090F70"/>
    <w:rPr>
      <w:i/>
      <w:iCs/>
      <w:color w:val="0F4761" w:themeColor="accent1" w:themeShade="BF"/>
    </w:rPr>
  </w:style>
  <w:style w:type="paragraph" w:styleId="Citazioneintensa">
    <w:name w:val="Intense Quote"/>
    <w:basedOn w:val="Normale"/>
    <w:next w:val="Normale"/>
    <w:link w:val="CitazioneintensaCarattere"/>
    <w:uiPriority w:val="30"/>
    <w:qFormat/>
    <w:rsid w:val="00090F70"/>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eastAsia="en-US"/>
    </w:rPr>
  </w:style>
  <w:style w:type="character" w:customStyle="1" w:styleId="CitazioneintensaCarattere">
    <w:name w:val="Citazione intensa Carattere"/>
    <w:basedOn w:val="Carpredefinitoparagrafo"/>
    <w:link w:val="Citazioneintensa"/>
    <w:uiPriority w:val="30"/>
    <w:rsid w:val="00090F70"/>
    <w:rPr>
      <w:i/>
      <w:iCs/>
      <w:color w:val="0F4761" w:themeColor="accent1" w:themeShade="BF"/>
    </w:rPr>
  </w:style>
  <w:style w:type="character" w:styleId="Riferimentointenso">
    <w:name w:val="Intense Reference"/>
    <w:basedOn w:val="Carpredefinitoparagrafo"/>
    <w:uiPriority w:val="32"/>
    <w:qFormat/>
    <w:rsid w:val="00090F70"/>
    <w:rPr>
      <w:b/>
      <w:bCs/>
      <w:smallCaps/>
      <w:color w:val="0F4761" w:themeColor="accent1" w:themeShade="BF"/>
      <w:spacing w:val="5"/>
    </w:rPr>
  </w:style>
  <w:style w:type="character" w:styleId="Rimandocommento">
    <w:name w:val="annotation reference"/>
    <w:basedOn w:val="Carpredefinitoparagrafo"/>
    <w:uiPriority w:val="99"/>
    <w:semiHidden/>
    <w:unhideWhenUsed/>
    <w:rsid w:val="00D04EDC"/>
    <w:rPr>
      <w:sz w:val="16"/>
      <w:szCs w:val="16"/>
    </w:rPr>
  </w:style>
  <w:style w:type="paragraph" w:styleId="Testocommento">
    <w:name w:val="annotation text"/>
    <w:basedOn w:val="Normale"/>
    <w:link w:val="TestocommentoCarattere"/>
    <w:uiPriority w:val="99"/>
    <w:unhideWhenUsed/>
    <w:rsid w:val="00D04EDC"/>
    <w:rPr>
      <w:sz w:val="20"/>
      <w:szCs w:val="20"/>
    </w:rPr>
  </w:style>
  <w:style w:type="character" w:customStyle="1" w:styleId="TestocommentoCarattere">
    <w:name w:val="Testo commento Carattere"/>
    <w:basedOn w:val="Carpredefinitoparagrafo"/>
    <w:link w:val="Testocommento"/>
    <w:uiPriority w:val="99"/>
    <w:rsid w:val="00D04EDC"/>
    <w:rPr>
      <w:rFonts w:ascii="Times New Roman" w:eastAsia="Times New Roman" w:hAnsi="Times New Roman" w:cs="Times New Roman"/>
      <w:kern w:val="0"/>
      <w:sz w:val="20"/>
      <w:szCs w:val="20"/>
      <w:lang w:eastAsia="it-IT"/>
    </w:rPr>
  </w:style>
  <w:style w:type="paragraph" w:styleId="Soggettocommento">
    <w:name w:val="annotation subject"/>
    <w:basedOn w:val="Testocommento"/>
    <w:next w:val="Testocommento"/>
    <w:link w:val="SoggettocommentoCarattere"/>
    <w:uiPriority w:val="99"/>
    <w:semiHidden/>
    <w:unhideWhenUsed/>
    <w:rsid w:val="00D04EDC"/>
    <w:rPr>
      <w:b/>
      <w:bCs/>
    </w:rPr>
  </w:style>
  <w:style w:type="character" w:customStyle="1" w:styleId="SoggettocommentoCarattere">
    <w:name w:val="Soggetto commento Carattere"/>
    <w:basedOn w:val="TestocommentoCarattere"/>
    <w:link w:val="Soggettocommento"/>
    <w:uiPriority w:val="99"/>
    <w:semiHidden/>
    <w:rsid w:val="00D04EDC"/>
    <w:rPr>
      <w:rFonts w:ascii="Times New Roman" w:eastAsia="Times New Roman" w:hAnsi="Times New Roman" w:cs="Times New Roman"/>
      <w:b/>
      <w:bCs/>
      <w:kern w:val="0"/>
      <w:sz w:val="20"/>
      <w:szCs w:val="20"/>
      <w:lang w:eastAsia="it-IT"/>
    </w:r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tblPr>
      <w:tblStyleRowBandSize w:val="1"/>
      <w:tblStyleColBandSize w:val="1"/>
      <w:tblCellMar>
        <w:left w:w="70" w:type="dxa"/>
        <w:right w:w="70" w:type="dxa"/>
      </w:tblCellMar>
    </w:tblPr>
  </w:style>
  <w:style w:type="table" w:customStyle="1" w:styleId="a1">
    <w:basedOn w:val="TableNormal"/>
    <w:tblPr>
      <w:tblStyleRowBandSize w:val="1"/>
      <w:tblStyleColBandSize w:val="1"/>
      <w:tblCellMar>
        <w:left w:w="70" w:type="dxa"/>
        <w:right w:w="70"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70" w:type="dxa"/>
        <w:right w:w="70" w:type="dxa"/>
      </w:tblCellMar>
    </w:tblPr>
  </w:style>
  <w:style w:type="table" w:customStyle="1" w:styleId="a4">
    <w:basedOn w:val="TableNormal"/>
    <w:tblPr>
      <w:tblStyleRowBandSize w:val="1"/>
      <w:tblStyleColBandSize w:val="1"/>
      <w:tblCellMar>
        <w:left w:w="70" w:type="dxa"/>
        <w:right w:w="70" w:type="dxa"/>
      </w:tblCellMar>
    </w:tblPr>
  </w:style>
  <w:style w:type="paragraph" w:styleId="Revisione">
    <w:name w:val="Revision"/>
    <w:hidden/>
    <w:uiPriority w:val="99"/>
    <w:semiHidden/>
    <w:rsid w:val="00FA073A"/>
  </w:style>
  <w:style w:type="character" w:styleId="Testosegnaposto">
    <w:name w:val="Placeholder Text"/>
    <w:basedOn w:val="Carpredefinitoparagrafo"/>
    <w:uiPriority w:val="99"/>
    <w:semiHidden/>
    <w:rsid w:val="000D198B"/>
    <w:rPr>
      <w:color w:val="666666"/>
    </w:rPr>
  </w:style>
  <w:style w:type="table" w:customStyle="1" w:styleId="6">
    <w:name w:val="6"/>
    <w:basedOn w:val="Tabellanormale"/>
    <w:rsid w:val="00727819"/>
    <w:rPr>
      <w:lang w:val="en-GB"/>
    </w:rPr>
    <w:tblPr>
      <w:tblStyleRowBandSize w:val="1"/>
      <w:tblStyleColBandSize w:val="1"/>
      <w:tblInd w:w="0" w:type="nil"/>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7030371">
      <w:bodyDiv w:val="1"/>
      <w:marLeft w:val="0"/>
      <w:marRight w:val="0"/>
      <w:marTop w:val="0"/>
      <w:marBottom w:val="0"/>
      <w:divBdr>
        <w:top w:val="none" w:sz="0" w:space="0" w:color="auto"/>
        <w:left w:val="none" w:sz="0" w:space="0" w:color="auto"/>
        <w:bottom w:val="none" w:sz="0" w:space="0" w:color="auto"/>
        <w:right w:val="none" w:sz="0" w:space="0" w:color="auto"/>
      </w:divBdr>
      <w:divsChild>
        <w:div w:id="1145273670">
          <w:marLeft w:val="640"/>
          <w:marRight w:val="0"/>
          <w:marTop w:val="0"/>
          <w:marBottom w:val="0"/>
          <w:divBdr>
            <w:top w:val="none" w:sz="0" w:space="0" w:color="auto"/>
            <w:left w:val="none" w:sz="0" w:space="0" w:color="auto"/>
            <w:bottom w:val="none" w:sz="0" w:space="0" w:color="auto"/>
            <w:right w:val="none" w:sz="0" w:space="0" w:color="auto"/>
          </w:divBdr>
        </w:div>
        <w:div w:id="747073731">
          <w:marLeft w:val="640"/>
          <w:marRight w:val="0"/>
          <w:marTop w:val="0"/>
          <w:marBottom w:val="0"/>
          <w:divBdr>
            <w:top w:val="none" w:sz="0" w:space="0" w:color="auto"/>
            <w:left w:val="none" w:sz="0" w:space="0" w:color="auto"/>
            <w:bottom w:val="none" w:sz="0" w:space="0" w:color="auto"/>
            <w:right w:val="none" w:sz="0" w:space="0" w:color="auto"/>
          </w:divBdr>
        </w:div>
        <w:div w:id="939071507">
          <w:marLeft w:val="640"/>
          <w:marRight w:val="0"/>
          <w:marTop w:val="0"/>
          <w:marBottom w:val="0"/>
          <w:divBdr>
            <w:top w:val="none" w:sz="0" w:space="0" w:color="auto"/>
            <w:left w:val="none" w:sz="0" w:space="0" w:color="auto"/>
            <w:bottom w:val="none" w:sz="0" w:space="0" w:color="auto"/>
            <w:right w:val="none" w:sz="0" w:space="0" w:color="auto"/>
          </w:divBdr>
        </w:div>
        <w:div w:id="1021932339">
          <w:marLeft w:val="640"/>
          <w:marRight w:val="0"/>
          <w:marTop w:val="0"/>
          <w:marBottom w:val="0"/>
          <w:divBdr>
            <w:top w:val="none" w:sz="0" w:space="0" w:color="auto"/>
            <w:left w:val="none" w:sz="0" w:space="0" w:color="auto"/>
            <w:bottom w:val="none" w:sz="0" w:space="0" w:color="auto"/>
            <w:right w:val="none" w:sz="0" w:space="0" w:color="auto"/>
          </w:divBdr>
        </w:div>
        <w:div w:id="234319229">
          <w:marLeft w:val="640"/>
          <w:marRight w:val="0"/>
          <w:marTop w:val="0"/>
          <w:marBottom w:val="0"/>
          <w:divBdr>
            <w:top w:val="none" w:sz="0" w:space="0" w:color="auto"/>
            <w:left w:val="none" w:sz="0" w:space="0" w:color="auto"/>
            <w:bottom w:val="none" w:sz="0" w:space="0" w:color="auto"/>
            <w:right w:val="none" w:sz="0" w:space="0" w:color="auto"/>
          </w:divBdr>
        </w:div>
        <w:div w:id="933518827">
          <w:marLeft w:val="640"/>
          <w:marRight w:val="0"/>
          <w:marTop w:val="0"/>
          <w:marBottom w:val="0"/>
          <w:divBdr>
            <w:top w:val="none" w:sz="0" w:space="0" w:color="auto"/>
            <w:left w:val="none" w:sz="0" w:space="0" w:color="auto"/>
            <w:bottom w:val="none" w:sz="0" w:space="0" w:color="auto"/>
            <w:right w:val="none" w:sz="0" w:space="0" w:color="auto"/>
          </w:divBdr>
        </w:div>
        <w:div w:id="2104524276">
          <w:marLeft w:val="640"/>
          <w:marRight w:val="0"/>
          <w:marTop w:val="0"/>
          <w:marBottom w:val="0"/>
          <w:divBdr>
            <w:top w:val="none" w:sz="0" w:space="0" w:color="auto"/>
            <w:left w:val="none" w:sz="0" w:space="0" w:color="auto"/>
            <w:bottom w:val="none" w:sz="0" w:space="0" w:color="auto"/>
            <w:right w:val="none" w:sz="0" w:space="0" w:color="auto"/>
          </w:divBdr>
        </w:div>
        <w:div w:id="1327829991">
          <w:marLeft w:val="640"/>
          <w:marRight w:val="0"/>
          <w:marTop w:val="0"/>
          <w:marBottom w:val="0"/>
          <w:divBdr>
            <w:top w:val="none" w:sz="0" w:space="0" w:color="auto"/>
            <w:left w:val="none" w:sz="0" w:space="0" w:color="auto"/>
            <w:bottom w:val="none" w:sz="0" w:space="0" w:color="auto"/>
            <w:right w:val="none" w:sz="0" w:space="0" w:color="auto"/>
          </w:divBdr>
        </w:div>
        <w:div w:id="973949812">
          <w:marLeft w:val="640"/>
          <w:marRight w:val="0"/>
          <w:marTop w:val="0"/>
          <w:marBottom w:val="0"/>
          <w:divBdr>
            <w:top w:val="none" w:sz="0" w:space="0" w:color="auto"/>
            <w:left w:val="none" w:sz="0" w:space="0" w:color="auto"/>
            <w:bottom w:val="none" w:sz="0" w:space="0" w:color="auto"/>
            <w:right w:val="none" w:sz="0" w:space="0" w:color="auto"/>
          </w:divBdr>
        </w:div>
        <w:div w:id="164826933">
          <w:marLeft w:val="640"/>
          <w:marRight w:val="0"/>
          <w:marTop w:val="0"/>
          <w:marBottom w:val="0"/>
          <w:divBdr>
            <w:top w:val="none" w:sz="0" w:space="0" w:color="auto"/>
            <w:left w:val="none" w:sz="0" w:space="0" w:color="auto"/>
            <w:bottom w:val="none" w:sz="0" w:space="0" w:color="auto"/>
            <w:right w:val="none" w:sz="0" w:space="0" w:color="auto"/>
          </w:divBdr>
        </w:div>
        <w:div w:id="513031092">
          <w:marLeft w:val="640"/>
          <w:marRight w:val="0"/>
          <w:marTop w:val="0"/>
          <w:marBottom w:val="0"/>
          <w:divBdr>
            <w:top w:val="none" w:sz="0" w:space="0" w:color="auto"/>
            <w:left w:val="none" w:sz="0" w:space="0" w:color="auto"/>
            <w:bottom w:val="none" w:sz="0" w:space="0" w:color="auto"/>
            <w:right w:val="none" w:sz="0" w:space="0" w:color="auto"/>
          </w:divBdr>
        </w:div>
        <w:div w:id="1109086226">
          <w:marLeft w:val="640"/>
          <w:marRight w:val="0"/>
          <w:marTop w:val="0"/>
          <w:marBottom w:val="0"/>
          <w:divBdr>
            <w:top w:val="none" w:sz="0" w:space="0" w:color="auto"/>
            <w:left w:val="none" w:sz="0" w:space="0" w:color="auto"/>
            <w:bottom w:val="none" w:sz="0" w:space="0" w:color="auto"/>
            <w:right w:val="none" w:sz="0" w:space="0" w:color="auto"/>
          </w:divBdr>
        </w:div>
        <w:div w:id="524099733">
          <w:marLeft w:val="640"/>
          <w:marRight w:val="0"/>
          <w:marTop w:val="0"/>
          <w:marBottom w:val="0"/>
          <w:divBdr>
            <w:top w:val="none" w:sz="0" w:space="0" w:color="auto"/>
            <w:left w:val="none" w:sz="0" w:space="0" w:color="auto"/>
            <w:bottom w:val="none" w:sz="0" w:space="0" w:color="auto"/>
            <w:right w:val="none" w:sz="0" w:space="0" w:color="auto"/>
          </w:divBdr>
        </w:div>
        <w:div w:id="1203323734">
          <w:marLeft w:val="640"/>
          <w:marRight w:val="0"/>
          <w:marTop w:val="0"/>
          <w:marBottom w:val="0"/>
          <w:divBdr>
            <w:top w:val="none" w:sz="0" w:space="0" w:color="auto"/>
            <w:left w:val="none" w:sz="0" w:space="0" w:color="auto"/>
            <w:bottom w:val="none" w:sz="0" w:space="0" w:color="auto"/>
            <w:right w:val="none" w:sz="0" w:space="0" w:color="auto"/>
          </w:divBdr>
        </w:div>
        <w:div w:id="11496636">
          <w:marLeft w:val="640"/>
          <w:marRight w:val="0"/>
          <w:marTop w:val="0"/>
          <w:marBottom w:val="0"/>
          <w:divBdr>
            <w:top w:val="none" w:sz="0" w:space="0" w:color="auto"/>
            <w:left w:val="none" w:sz="0" w:space="0" w:color="auto"/>
            <w:bottom w:val="none" w:sz="0" w:space="0" w:color="auto"/>
            <w:right w:val="none" w:sz="0" w:space="0" w:color="auto"/>
          </w:divBdr>
        </w:div>
        <w:div w:id="1964143165">
          <w:marLeft w:val="640"/>
          <w:marRight w:val="0"/>
          <w:marTop w:val="0"/>
          <w:marBottom w:val="0"/>
          <w:divBdr>
            <w:top w:val="none" w:sz="0" w:space="0" w:color="auto"/>
            <w:left w:val="none" w:sz="0" w:space="0" w:color="auto"/>
            <w:bottom w:val="none" w:sz="0" w:space="0" w:color="auto"/>
            <w:right w:val="none" w:sz="0" w:space="0" w:color="auto"/>
          </w:divBdr>
        </w:div>
      </w:divsChild>
    </w:div>
    <w:div w:id="242566811">
      <w:bodyDiv w:val="1"/>
      <w:marLeft w:val="0"/>
      <w:marRight w:val="0"/>
      <w:marTop w:val="0"/>
      <w:marBottom w:val="0"/>
      <w:divBdr>
        <w:top w:val="none" w:sz="0" w:space="0" w:color="auto"/>
        <w:left w:val="none" w:sz="0" w:space="0" w:color="auto"/>
        <w:bottom w:val="none" w:sz="0" w:space="0" w:color="auto"/>
        <w:right w:val="none" w:sz="0" w:space="0" w:color="auto"/>
      </w:divBdr>
      <w:divsChild>
        <w:div w:id="2039696087">
          <w:marLeft w:val="640"/>
          <w:marRight w:val="0"/>
          <w:marTop w:val="0"/>
          <w:marBottom w:val="0"/>
          <w:divBdr>
            <w:top w:val="none" w:sz="0" w:space="0" w:color="auto"/>
            <w:left w:val="none" w:sz="0" w:space="0" w:color="auto"/>
            <w:bottom w:val="none" w:sz="0" w:space="0" w:color="auto"/>
            <w:right w:val="none" w:sz="0" w:space="0" w:color="auto"/>
          </w:divBdr>
        </w:div>
        <w:div w:id="661587150">
          <w:marLeft w:val="640"/>
          <w:marRight w:val="0"/>
          <w:marTop w:val="0"/>
          <w:marBottom w:val="0"/>
          <w:divBdr>
            <w:top w:val="none" w:sz="0" w:space="0" w:color="auto"/>
            <w:left w:val="none" w:sz="0" w:space="0" w:color="auto"/>
            <w:bottom w:val="none" w:sz="0" w:space="0" w:color="auto"/>
            <w:right w:val="none" w:sz="0" w:space="0" w:color="auto"/>
          </w:divBdr>
        </w:div>
        <w:div w:id="1550847642">
          <w:marLeft w:val="640"/>
          <w:marRight w:val="0"/>
          <w:marTop w:val="0"/>
          <w:marBottom w:val="0"/>
          <w:divBdr>
            <w:top w:val="none" w:sz="0" w:space="0" w:color="auto"/>
            <w:left w:val="none" w:sz="0" w:space="0" w:color="auto"/>
            <w:bottom w:val="none" w:sz="0" w:space="0" w:color="auto"/>
            <w:right w:val="none" w:sz="0" w:space="0" w:color="auto"/>
          </w:divBdr>
        </w:div>
        <w:div w:id="701243161">
          <w:marLeft w:val="640"/>
          <w:marRight w:val="0"/>
          <w:marTop w:val="0"/>
          <w:marBottom w:val="0"/>
          <w:divBdr>
            <w:top w:val="none" w:sz="0" w:space="0" w:color="auto"/>
            <w:left w:val="none" w:sz="0" w:space="0" w:color="auto"/>
            <w:bottom w:val="none" w:sz="0" w:space="0" w:color="auto"/>
            <w:right w:val="none" w:sz="0" w:space="0" w:color="auto"/>
          </w:divBdr>
        </w:div>
        <w:div w:id="1849099521">
          <w:marLeft w:val="640"/>
          <w:marRight w:val="0"/>
          <w:marTop w:val="0"/>
          <w:marBottom w:val="0"/>
          <w:divBdr>
            <w:top w:val="none" w:sz="0" w:space="0" w:color="auto"/>
            <w:left w:val="none" w:sz="0" w:space="0" w:color="auto"/>
            <w:bottom w:val="none" w:sz="0" w:space="0" w:color="auto"/>
            <w:right w:val="none" w:sz="0" w:space="0" w:color="auto"/>
          </w:divBdr>
        </w:div>
        <w:div w:id="1495680384">
          <w:marLeft w:val="640"/>
          <w:marRight w:val="0"/>
          <w:marTop w:val="0"/>
          <w:marBottom w:val="0"/>
          <w:divBdr>
            <w:top w:val="none" w:sz="0" w:space="0" w:color="auto"/>
            <w:left w:val="none" w:sz="0" w:space="0" w:color="auto"/>
            <w:bottom w:val="none" w:sz="0" w:space="0" w:color="auto"/>
            <w:right w:val="none" w:sz="0" w:space="0" w:color="auto"/>
          </w:divBdr>
        </w:div>
        <w:div w:id="543642964">
          <w:marLeft w:val="640"/>
          <w:marRight w:val="0"/>
          <w:marTop w:val="0"/>
          <w:marBottom w:val="0"/>
          <w:divBdr>
            <w:top w:val="none" w:sz="0" w:space="0" w:color="auto"/>
            <w:left w:val="none" w:sz="0" w:space="0" w:color="auto"/>
            <w:bottom w:val="none" w:sz="0" w:space="0" w:color="auto"/>
            <w:right w:val="none" w:sz="0" w:space="0" w:color="auto"/>
          </w:divBdr>
        </w:div>
        <w:div w:id="814956974">
          <w:marLeft w:val="640"/>
          <w:marRight w:val="0"/>
          <w:marTop w:val="0"/>
          <w:marBottom w:val="0"/>
          <w:divBdr>
            <w:top w:val="none" w:sz="0" w:space="0" w:color="auto"/>
            <w:left w:val="none" w:sz="0" w:space="0" w:color="auto"/>
            <w:bottom w:val="none" w:sz="0" w:space="0" w:color="auto"/>
            <w:right w:val="none" w:sz="0" w:space="0" w:color="auto"/>
          </w:divBdr>
        </w:div>
        <w:div w:id="1013189948">
          <w:marLeft w:val="640"/>
          <w:marRight w:val="0"/>
          <w:marTop w:val="0"/>
          <w:marBottom w:val="0"/>
          <w:divBdr>
            <w:top w:val="none" w:sz="0" w:space="0" w:color="auto"/>
            <w:left w:val="none" w:sz="0" w:space="0" w:color="auto"/>
            <w:bottom w:val="none" w:sz="0" w:space="0" w:color="auto"/>
            <w:right w:val="none" w:sz="0" w:space="0" w:color="auto"/>
          </w:divBdr>
        </w:div>
        <w:div w:id="703941409">
          <w:marLeft w:val="640"/>
          <w:marRight w:val="0"/>
          <w:marTop w:val="0"/>
          <w:marBottom w:val="0"/>
          <w:divBdr>
            <w:top w:val="none" w:sz="0" w:space="0" w:color="auto"/>
            <w:left w:val="none" w:sz="0" w:space="0" w:color="auto"/>
            <w:bottom w:val="none" w:sz="0" w:space="0" w:color="auto"/>
            <w:right w:val="none" w:sz="0" w:space="0" w:color="auto"/>
          </w:divBdr>
        </w:div>
        <w:div w:id="2080980880">
          <w:marLeft w:val="640"/>
          <w:marRight w:val="0"/>
          <w:marTop w:val="0"/>
          <w:marBottom w:val="0"/>
          <w:divBdr>
            <w:top w:val="none" w:sz="0" w:space="0" w:color="auto"/>
            <w:left w:val="none" w:sz="0" w:space="0" w:color="auto"/>
            <w:bottom w:val="none" w:sz="0" w:space="0" w:color="auto"/>
            <w:right w:val="none" w:sz="0" w:space="0" w:color="auto"/>
          </w:divBdr>
        </w:div>
        <w:div w:id="64300386">
          <w:marLeft w:val="640"/>
          <w:marRight w:val="0"/>
          <w:marTop w:val="0"/>
          <w:marBottom w:val="0"/>
          <w:divBdr>
            <w:top w:val="none" w:sz="0" w:space="0" w:color="auto"/>
            <w:left w:val="none" w:sz="0" w:space="0" w:color="auto"/>
            <w:bottom w:val="none" w:sz="0" w:space="0" w:color="auto"/>
            <w:right w:val="none" w:sz="0" w:space="0" w:color="auto"/>
          </w:divBdr>
        </w:div>
        <w:div w:id="626158000">
          <w:marLeft w:val="640"/>
          <w:marRight w:val="0"/>
          <w:marTop w:val="0"/>
          <w:marBottom w:val="0"/>
          <w:divBdr>
            <w:top w:val="none" w:sz="0" w:space="0" w:color="auto"/>
            <w:left w:val="none" w:sz="0" w:space="0" w:color="auto"/>
            <w:bottom w:val="none" w:sz="0" w:space="0" w:color="auto"/>
            <w:right w:val="none" w:sz="0" w:space="0" w:color="auto"/>
          </w:divBdr>
        </w:div>
        <w:div w:id="8526475">
          <w:marLeft w:val="640"/>
          <w:marRight w:val="0"/>
          <w:marTop w:val="0"/>
          <w:marBottom w:val="0"/>
          <w:divBdr>
            <w:top w:val="none" w:sz="0" w:space="0" w:color="auto"/>
            <w:left w:val="none" w:sz="0" w:space="0" w:color="auto"/>
            <w:bottom w:val="none" w:sz="0" w:space="0" w:color="auto"/>
            <w:right w:val="none" w:sz="0" w:space="0" w:color="auto"/>
          </w:divBdr>
        </w:div>
        <w:div w:id="1663267293">
          <w:marLeft w:val="640"/>
          <w:marRight w:val="0"/>
          <w:marTop w:val="0"/>
          <w:marBottom w:val="0"/>
          <w:divBdr>
            <w:top w:val="none" w:sz="0" w:space="0" w:color="auto"/>
            <w:left w:val="none" w:sz="0" w:space="0" w:color="auto"/>
            <w:bottom w:val="none" w:sz="0" w:space="0" w:color="auto"/>
            <w:right w:val="none" w:sz="0" w:space="0" w:color="auto"/>
          </w:divBdr>
        </w:div>
        <w:div w:id="1860851294">
          <w:marLeft w:val="640"/>
          <w:marRight w:val="0"/>
          <w:marTop w:val="0"/>
          <w:marBottom w:val="0"/>
          <w:divBdr>
            <w:top w:val="none" w:sz="0" w:space="0" w:color="auto"/>
            <w:left w:val="none" w:sz="0" w:space="0" w:color="auto"/>
            <w:bottom w:val="none" w:sz="0" w:space="0" w:color="auto"/>
            <w:right w:val="none" w:sz="0" w:space="0" w:color="auto"/>
          </w:divBdr>
        </w:div>
      </w:divsChild>
    </w:div>
    <w:div w:id="352073272">
      <w:bodyDiv w:val="1"/>
      <w:marLeft w:val="0"/>
      <w:marRight w:val="0"/>
      <w:marTop w:val="0"/>
      <w:marBottom w:val="0"/>
      <w:divBdr>
        <w:top w:val="none" w:sz="0" w:space="0" w:color="auto"/>
        <w:left w:val="none" w:sz="0" w:space="0" w:color="auto"/>
        <w:bottom w:val="none" w:sz="0" w:space="0" w:color="auto"/>
        <w:right w:val="none" w:sz="0" w:space="0" w:color="auto"/>
      </w:divBdr>
      <w:divsChild>
        <w:div w:id="1566329528">
          <w:marLeft w:val="640"/>
          <w:marRight w:val="0"/>
          <w:marTop w:val="0"/>
          <w:marBottom w:val="0"/>
          <w:divBdr>
            <w:top w:val="none" w:sz="0" w:space="0" w:color="auto"/>
            <w:left w:val="none" w:sz="0" w:space="0" w:color="auto"/>
            <w:bottom w:val="none" w:sz="0" w:space="0" w:color="auto"/>
            <w:right w:val="none" w:sz="0" w:space="0" w:color="auto"/>
          </w:divBdr>
        </w:div>
        <w:div w:id="603462798">
          <w:marLeft w:val="640"/>
          <w:marRight w:val="0"/>
          <w:marTop w:val="0"/>
          <w:marBottom w:val="0"/>
          <w:divBdr>
            <w:top w:val="none" w:sz="0" w:space="0" w:color="auto"/>
            <w:left w:val="none" w:sz="0" w:space="0" w:color="auto"/>
            <w:bottom w:val="none" w:sz="0" w:space="0" w:color="auto"/>
            <w:right w:val="none" w:sz="0" w:space="0" w:color="auto"/>
          </w:divBdr>
        </w:div>
        <w:div w:id="749036818">
          <w:marLeft w:val="640"/>
          <w:marRight w:val="0"/>
          <w:marTop w:val="0"/>
          <w:marBottom w:val="0"/>
          <w:divBdr>
            <w:top w:val="none" w:sz="0" w:space="0" w:color="auto"/>
            <w:left w:val="none" w:sz="0" w:space="0" w:color="auto"/>
            <w:bottom w:val="none" w:sz="0" w:space="0" w:color="auto"/>
            <w:right w:val="none" w:sz="0" w:space="0" w:color="auto"/>
          </w:divBdr>
        </w:div>
        <w:div w:id="2001737921">
          <w:marLeft w:val="640"/>
          <w:marRight w:val="0"/>
          <w:marTop w:val="0"/>
          <w:marBottom w:val="0"/>
          <w:divBdr>
            <w:top w:val="none" w:sz="0" w:space="0" w:color="auto"/>
            <w:left w:val="none" w:sz="0" w:space="0" w:color="auto"/>
            <w:bottom w:val="none" w:sz="0" w:space="0" w:color="auto"/>
            <w:right w:val="none" w:sz="0" w:space="0" w:color="auto"/>
          </w:divBdr>
        </w:div>
        <w:div w:id="1438481751">
          <w:marLeft w:val="640"/>
          <w:marRight w:val="0"/>
          <w:marTop w:val="0"/>
          <w:marBottom w:val="0"/>
          <w:divBdr>
            <w:top w:val="none" w:sz="0" w:space="0" w:color="auto"/>
            <w:left w:val="none" w:sz="0" w:space="0" w:color="auto"/>
            <w:bottom w:val="none" w:sz="0" w:space="0" w:color="auto"/>
            <w:right w:val="none" w:sz="0" w:space="0" w:color="auto"/>
          </w:divBdr>
        </w:div>
        <w:div w:id="1958097372">
          <w:marLeft w:val="640"/>
          <w:marRight w:val="0"/>
          <w:marTop w:val="0"/>
          <w:marBottom w:val="0"/>
          <w:divBdr>
            <w:top w:val="none" w:sz="0" w:space="0" w:color="auto"/>
            <w:left w:val="none" w:sz="0" w:space="0" w:color="auto"/>
            <w:bottom w:val="none" w:sz="0" w:space="0" w:color="auto"/>
            <w:right w:val="none" w:sz="0" w:space="0" w:color="auto"/>
          </w:divBdr>
        </w:div>
        <w:div w:id="1695115473">
          <w:marLeft w:val="640"/>
          <w:marRight w:val="0"/>
          <w:marTop w:val="0"/>
          <w:marBottom w:val="0"/>
          <w:divBdr>
            <w:top w:val="none" w:sz="0" w:space="0" w:color="auto"/>
            <w:left w:val="none" w:sz="0" w:space="0" w:color="auto"/>
            <w:bottom w:val="none" w:sz="0" w:space="0" w:color="auto"/>
            <w:right w:val="none" w:sz="0" w:space="0" w:color="auto"/>
          </w:divBdr>
        </w:div>
        <w:div w:id="537358549">
          <w:marLeft w:val="640"/>
          <w:marRight w:val="0"/>
          <w:marTop w:val="0"/>
          <w:marBottom w:val="0"/>
          <w:divBdr>
            <w:top w:val="none" w:sz="0" w:space="0" w:color="auto"/>
            <w:left w:val="none" w:sz="0" w:space="0" w:color="auto"/>
            <w:bottom w:val="none" w:sz="0" w:space="0" w:color="auto"/>
            <w:right w:val="none" w:sz="0" w:space="0" w:color="auto"/>
          </w:divBdr>
        </w:div>
        <w:div w:id="325671528">
          <w:marLeft w:val="640"/>
          <w:marRight w:val="0"/>
          <w:marTop w:val="0"/>
          <w:marBottom w:val="0"/>
          <w:divBdr>
            <w:top w:val="none" w:sz="0" w:space="0" w:color="auto"/>
            <w:left w:val="none" w:sz="0" w:space="0" w:color="auto"/>
            <w:bottom w:val="none" w:sz="0" w:space="0" w:color="auto"/>
            <w:right w:val="none" w:sz="0" w:space="0" w:color="auto"/>
          </w:divBdr>
        </w:div>
        <w:div w:id="1302730246">
          <w:marLeft w:val="640"/>
          <w:marRight w:val="0"/>
          <w:marTop w:val="0"/>
          <w:marBottom w:val="0"/>
          <w:divBdr>
            <w:top w:val="none" w:sz="0" w:space="0" w:color="auto"/>
            <w:left w:val="none" w:sz="0" w:space="0" w:color="auto"/>
            <w:bottom w:val="none" w:sz="0" w:space="0" w:color="auto"/>
            <w:right w:val="none" w:sz="0" w:space="0" w:color="auto"/>
          </w:divBdr>
        </w:div>
        <w:div w:id="316233109">
          <w:marLeft w:val="640"/>
          <w:marRight w:val="0"/>
          <w:marTop w:val="0"/>
          <w:marBottom w:val="0"/>
          <w:divBdr>
            <w:top w:val="none" w:sz="0" w:space="0" w:color="auto"/>
            <w:left w:val="none" w:sz="0" w:space="0" w:color="auto"/>
            <w:bottom w:val="none" w:sz="0" w:space="0" w:color="auto"/>
            <w:right w:val="none" w:sz="0" w:space="0" w:color="auto"/>
          </w:divBdr>
        </w:div>
        <w:div w:id="1740470729">
          <w:marLeft w:val="640"/>
          <w:marRight w:val="0"/>
          <w:marTop w:val="0"/>
          <w:marBottom w:val="0"/>
          <w:divBdr>
            <w:top w:val="none" w:sz="0" w:space="0" w:color="auto"/>
            <w:left w:val="none" w:sz="0" w:space="0" w:color="auto"/>
            <w:bottom w:val="none" w:sz="0" w:space="0" w:color="auto"/>
            <w:right w:val="none" w:sz="0" w:space="0" w:color="auto"/>
          </w:divBdr>
        </w:div>
        <w:div w:id="596062277">
          <w:marLeft w:val="640"/>
          <w:marRight w:val="0"/>
          <w:marTop w:val="0"/>
          <w:marBottom w:val="0"/>
          <w:divBdr>
            <w:top w:val="none" w:sz="0" w:space="0" w:color="auto"/>
            <w:left w:val="none" w:sz="0" w:space="0" w:color="auto"/>
            <w:bottom w:val="none" w:sz="0" w:space="0" w:color="auto"/>
            <w:right w:val="none" w:sz="0" w:space="0" w:color="auto"/>
          </w:divBdr>
        </w:div>
        <w:div w:id="315575829">
          <w:marLeft w:val="640"/>
          <w:marRight w:val="0"/>
          <w:marTop w:val="0"/>
          <w:marBottom w:val="0"/>
          <w:divBdr>
            <w:top w:val="none" w:sz="0" w:space="0" w:color="auto"/>
            <w:left w:val="none" w:sz="0" w:space="0" w:color="auto"/>
            <w:bottom w:val="none" w:sz="0" w:space="0" w:color="auto"/>
            <w:right w:val="none" w:sz="0" w:space="0" w:color="auto"/>
          </w:divBdr>
        </w:div>
        <w:div w:id="1768113998">
          <w:marLeft w:val="640"/>
          <w:marRight w:val="0"/>
          <w:marTop w:val="0"/>
          <w:marBottom w:val="0"/>
          <w:divBdr>
            <w:top w:val="none" w:sz="0" w:space="0" w:color="auto"/>
            <w:left w:val="none" w:sz="0" w:space="0" w:color="auto"/>
            <w:bottom w:val="none" w:sz="0" w:space="0" w:color="auto"/>
            <w:right w:val="none" w:sz="0" w:space="0" w:color="auto"/>
          </w:divBdr>
        </w:div>
        <w:div w:id="198130160">
          <w:marLeft w:val="640"/>
          <w:marRight w:val="0"/>
          <w:marTop w:val="0"/>
          <w:marBottom w:val="0"/>
          <w:divBdr>
            <w:top w:val="none" w:sz="0" w:space="0" w:color="auto"/>
            <w:left w:val="none" w:sz="0" w:space="0" w:color="auto"/>
            <w:bottom w:val="none" w:sz="0" w:space="0" w:color="auto"/>
            <w:right w:val="none" w:sz="0" w:space="0" w:color="auto"/>
          </w:divBdr>
        </w:div>
      </w:divsChild>
    </w:div>
    <w:div w:id="365107881">
      <w:bodyDiv w:val="1"/>
      <w:marLeft w:val="0"/>
      <w:marRight w:val="0"/>
      <w:marTop w:val="0"/>
      <w:marBottom w:val="0"/>
      <w:divBdr>
        <w:top w:val="none" w:sz="0" w:space="0" w:color="auto"/>
        <w:left w:val="none" w:sz="0" w:space="0" w:color="auto"/>
        <w:bottom w:val="none" w:sz="0" w:space="0" w:color="auto"/>
        <w:right w:val="none" w:sz="0" w:space="0" w:color="auto"/>
      </w:divBdr>
    </w:div>
    <w:div w:id="395975274">
      <w:bodyDiv w:val="1"/>
      <w:marLeft w:val="0"/>
      <w:marRight w:val="0"/>
      <w:marTop w:val="0"/>
      <w:marBottom w:val="0"/>
      <w:divBdr>
        <w:top w:val="none" w:sz="0" w:space="0" w:color="auto"/>
        <w:left w:val="none" w:sz="0" w:space="0" w:color="auto"/>
        <w:bottom w:val="none" w:sz="0" w:space="0" w:color="auto"/>
        <w:right w:val="none" w:sz="0" w:space="0" w:color="auto"/>
      </w:divBdr>
    </w:div>
    <w:div w:id="450784772">
      <w:bodyDiv w:val="1"/>
      <w:marLeft w:val="0"/>
      <w:marRight w:val="0"/>
      <w:marTop w:val="0"/>
      <w:marBottom w:val="0"/>
      <w:divBdr>
        <w:top w:val="none" w:sz="0" w:space="0" w:color="auto"/>
        <w:left w:val="none" w:sz="0" w:space="0" w:color="auto"/>
        <w:bottom w:val="none" w:sz="0" w:space="0" w:color="auto"/>
        <w:right w:val="none" w:sz="0" w:space="0" w:color="auto"/>
      </w:divBdr>
      <w:divsChild>
        <w:div w:id="804540308">
          <w:marLeft w:val="640"/>
          <w:marRight w:val="0"/>
          <w:marTop w:val="0"/>
          <w:marBottom w:val="0"/>
          <w:divBdr>
            <w:top w:val="none" w:sz="0" w:space="0" w:color="auto"/>
            <w:left w:val="none" w:sz="0" w:space="0" w:color="auto"/>
            <w:bottom w:val="none" w:sz="0" w:space="0" w:color="auto"/>
            <w:right w:val="none" w:sz="0" w:space="0" w:color="auto"/>
          </w:divBdr>
        </w:div>
        <w:div w:id="500900090">
          <w:marLeft w:val="640"/>
          <w:marRight w:val="0"/>
          <w:marTop w:val="0"/>
          <w:marBottom w:val="0"/>
          <w:divBdr>
            <w:top w:val="none" w:sz="0" w:space="0" w:color="auto"/>
            <w:left w:val="none" w:sz="0" w:space="0" w:color="auto"/>
            <w:bottom w:val="none" w:sz="0" w:space="0" w:color="auto"/>
            <w:right w:val="none" w:sz="0" w:space="0" w:color="auto"/>
          </w:divBdr>
        </w:div>
        <w:div w:id="734544818">
          <w:marLeft w:val="640"/>
          <w:marRight w:val="0"/>
          <w:marTop w:val="0"/>
          <w:marBottom w:val="0"/>
          <w:divBdr>
            <w:top w:val="none" w:sz="0" w:space="0" w:color="auto"/>
            <w:left w:val="none" w:sz="0" w:space="0" w:color="auto"/>
            <w:bottom w:val="none" w:sz="0" w:space="0" w:color="auto"/>
            <w:right w:val="none" w:sz="0" w:space="0" w:color="auto"/>
          </w:divBdr>
        </w:div>
        <w:div w:id="2066559831">
          <w:marLeft w:val="640"/>
          <w:marRight w:val="0"/>
          <w:marTop w:val="0"/>
          <w:marBottom w:val="0"/>
          <w:divBdr>
            <w:top w:val="none" w:sz="0" w:space="0" w:color="auto"/>
            <w:left w:val="none" w:sz="0" w:space="0" w:color="auto"/>
            <w:bottom w:val="none" w:sz="0" w:space="0" w:color="auto"/>
            <w:right w:val="none" w:sz="0" w:space="0" w:color="auto"/>
          </w:divBdr>
        </w:div>
        <w:div w:id="1946186563">
          <w:marLeft w:val="640"/>
          <w:marRight w:val="0"/>
          <w:marTop w:val="0"/>
          <w:marBottom w:val="0"/>
          <w:divBdr>
            <w:top w:val="none" w:sz="0" w:space="0" w:color="auto"/>
            <w:left w:val="none" w:sz="0" w:space="0" w:color="auto"/>
            <w:bottom w:val="none" w:sz="0" w:space="0" w:color="auto"/>
            <w:right w:val="none" w:sz="0" w:space="0" w:color="auto"/>
          </w:divBdr>
        </w:div>
        <w:div w:id="2066876663">
          <w:marLeft w:val="640"/>
          <w:marRight w:val="0"/>
          <w:marTop w:val="0"/>
          <w:marBottom w:val="0"/>
          <w:divBdr>
            <w:top w:val="none" w:sz="0" w:space="0" w:color="auto"/>
            <w:left w:val="none" w:sz="0" w:space="0" w:color="auto"/>
            <w:bottom w:val="none" w:sz="0" w:space="0" w:color="auto"/>
            <w:right w:val="none" w:sz="0" w:space="0" w:color="auto"/>
          </w:divBdr>
        </w:div>
        <w:div w:id="246305332">
          <w:marLeft w:val="640"/>
          <w:marRight w:val="0"/>
          <w:marTop w:val="0"/>
          <w:marBottom w:val="0"/>
          <w:divBdr>
            <w:top w:val="none" w:sz="0" w:space="0" w:color="auto"/>
            <w:left w:val="none" w:sz="0" w:space="0" w:color="auto"/>
            <w:bottom w:val="none" w:sz="0" w:space="0" w:color="auto"/>
            <w:right w:val="none" w:sz="0" w:space="0" w:color="auto"/>
          </w:divBdr>
        </w:div>
        <w:div w:id="2115855747">
          <w:marLeft w:val="640"/>
          <w:marRight w:val="0"/>
          <w:marTop w:val="0"/>
          <w:marBottom w:val="0"/>
          <w:divBdr>
            <w:top w:val="none" w:sz="0" w:space="0" w:color="auto"/>
            <w:left w:val="none" w:sz="0" w:space="0" w:color="auto"/>
            <w:bottom w:val="none" w:sz="0" w:space="0" w:color="auto"/>
            <w:right w:val="none" w:sz="0" w:space="0" w:color="auto"/>
          </w:divBdr>
        </w:div>
        <w:div w:id="489492390">
          <w:marLeft w:val="640"/>
          <w:marRight w:val="0"/>
          <w:marTop w:val="0"/>
          <w:marBottom w:val="0"/>
          <w:divBdr>
            <w:top w:val="none" w:sz="0" w:space="0" w:color="auto"/>
            <w:left w:val="none" w:sz="0" w:space="0" w:color="auto"/>
            <w:bottom w:val="none" w:sz="0" w:space="0" w:color="auto"/>
            <w:right w:val="none" w:sz="0" w:space="0" w:color="auto"/>
          </w:divBdr>
        </w:div>
        <w:div w:id="356077143">
          <w:marLeft w:val="640"/>
          <w:marRight w:val="0"/>
          <w:marTop w:val="0"/>
          <w:marBottom w:val="0"/>
          <w:divBdr>
            <w:top w:val="none" w:sz="0" w:space="0" w:color="auto"/>
            <w:left w:val="none" w:sz="0" w:space="0" w:color="auto"/>
            <w:bottom w:val="none" w:sz="0" w:space="0" w:color="auto"/>
            <w:right w:val="none" w:sz="0" w:space="0" w:color="auto"/>
          </w:divBdr>
        </w:div>
        <w:div w:id="1095055940">
          <w:marLeft w:val="640"/>
          <w:marRight w:val="0"/>
          <w:marTop w:val="0"/>
          <w:marBottom w:val="0"/>
          <w:divBdr>
            <w:top w:val="none" w:sz="0" w:space="0" w:color="auto"/>
            <w:left w:val="none" w:sz="0" w:space="0" w:color="auto"/>
            <w:bottom w:val="none" w:sz="0" w:space="0" w:color="auto"/>
            <w:right w:val="none" w:sz="0" w:space="0" w:color="auto"/>
          </w:divBdr>
        </w:div>
        <w:div w:id="584146644">
          <w:marLeft w:val="640"/>
          <w:marRight w:val="0"/>
          <w:marTop w:val="0"/>
          <w:marBottom w:val="0"/>
          <w:divBdr>
            <w:top w:val="none" w:sz="0" w:space="0" w:color="auto"/>
            <w:left w:val="none" w:sz="0" w:space="0" w:color="auto"/>
            <w:bottom w:val="none" w:sz="0" w:space="0" w:color="auto"/>
            <w:right w:val="none" w:sz="0" w:space="0" w:color="auto"/>
          </w:divBdr>
        </w:div>
        <w:div w:id="853038164">
          <w:marLeft w:val="640"/>
          <w:marRight w:val="0"/>
          <w:marTop w:val="0"/>
          <w:marBottom w:val="0"/>
          <w:divBdr>
            <w:top w:val="none" w:sz="0" w:space="0" w:color="auto"/>
            <w:left w:val="none" w:sz="0" w:space="0" w:color="auto"/>
            <w:bottom w:val="none" w:sz="0" w:space="0" w:color="auto"/>
            <w:right w:val="none" w:sz="0" w:space="0" w:color="auto"/>
          </w:divBdr>
        </w:div>
        <w:div w:id="1220703649">
          <w:marLeft w:val="640"/>
          <w:marRight w:val="0"/>
          <w:marTop w:val="0"/>
          <w:marBottom w:val="0"/>
          <w:divBdr>
            <w:top w:val="none" w:sz="0" w:space="0" w:color="auto"/>
            <w:left w:val="none" w:sz="0" w:space="0" w:color="auto"/>
            <w:bottom w:val="none" w:sz="0" w:space="0" w:color="auto"/>
            <w:right w:val="none" w:sz="0" w:space="0" w:color="auto"/>
          </w:divBdr>
        </w:div>
        <w:div w:id="1637645148">
          <w:marLeft w:val="640"/>
          <w:marRight w:val="0"/>
          <w:marTop w:val="0"/>
          <w:marBottom w:val="0"/>
          <w:divBdr>
            <w:top w:val="none" w:sz="0" w:space="0" w:color="auto"/>
            <w:left w:val="none" w:sz="0" w:space="0" w:color="auto"/>
            <w:bottom w:val="none" w:sz="0" w:space="0" w:color="auto"/>
            <w:right w:val="none" w:sz="0" w:space="0" w:color="auto"/>
          </w:divBdr>
        </w:div>
        <w:div w:id="964041948">
          <w:marLeft w:val="640"/>
          <w:marRight w:val="0"/>
          <w:marTop w:val="0"/>
          <w:marBottom w:val="0"/>
          <w:divBdr>
            <w:top w:val="none" w:sz="0" w:space="0" w:color="auto"/>
            <w:left w:val="none" w:sz="0" w:space="0" w:color="auto"/>
            <w:bottom w:val="none" w:sz="0" w:space="0" w:color="auto"/>
            <w:right w:val="none" w:sz="0" w:space="0" w:color="auto"/>
          </w:divBdr>
        </w:div>
      </w:divsChild>
    </w:div>
    <w:div w:id="550726585">
      <w:bodyDiv w:val="1"/>
      <w:marLeft w:val="0"/>
      <w:marRight w:val="0"/>
      <w:marTop w:val="0"/>
      <w:marBottom w:val="0"/>
      <w:divBdr>
        <w:top w:val="none" w:sz="0" w:space="0" w:color="auto"/>
        <w:left w:val="none" w:sz="0" w:space="0" w:color="auto"/>
        <w:bottom w:val="none" w:sz="0" w:space="0" w:color="auto"/>
        <w:right w:val="none" w:sz="0" w:space="0" w:color="auto"/>
      </w:divBdr>
      <w:divsChild>
        <w:div w:id="166529382">
          <w:marLeft w:val="640"/>
          <w:marRight w:val="0"/>
          <w:marTop w:val="0"/>
          <w:marBottom w:val="0"/>
          <w:divBdr>
            <w:top w:val="none" w:sz="0" w:space="0" w:color="auto"/>
            <w:left w:val="none" w:sz="0" w:space="0" w:color="auto"/>
            <w:bottom w:val="none" w:sz="0" w:space="0" w:color="auto"/>
            <w:right w:val="none" w:sz="0" w:space="0" w:color="auto"/>
          </w:divBdr>
        </w:div>
        <w:div w:id="1167944488">
          <w:marLeft w:val="640"/>
          <w:marRight w:val="0"/>
          <w:marTop w:val="0"/>
          <w:marBottom w:val="0"/>
          <w:divBdr>
            <w:top w:val="none" w:sz="0" w:space="0" w:color="auto"/>
            <w:left w:val="none" w:sz="0" w:space="0" w:color="auto"/>
            <w:bottom w:val="none" w:sz="0" w:space="0" w:color="auto"/>
            <w:right w:val="none" w:sz="0" w:space="0" w:color="auto"/>
          </w:divBdr>
        </w:div>
        <w:div w:id="2088259957">
          <w:marLeft w:val="640"/>
          <w:marRight w:val="0"/>
          <w:marTop w:val="0"/>
          <w:marBottom w:val="0"/>
          <w:divBdr>
            <w:top w:val="none" w:sz="0" w:space="0" w:color="auto"/>
            <w:left w:val="none" w:sz="0" w:space="0" w:color="auto"/>
            <w:bottom w:val="none" w:sz="0" w:space="0" w:color="auto"/>
            <w:right w:val="none" w:sz="0" w:space="0" w:color="auto"/>
          </w:divBdr>
        </w:div>
        <w:div w:id="1359239266">
          <w:marLeft w:val="640"/>
          <w:marRight w:val="0"/>
          <w:marTop w:val="0"/>
          <w:marBottom w:val="0"/>
          <w:divBdr>
            <w:top w:val="none" w:sz="0" w:space="0" w:color="auto"/>
            <w:left w:val="none" w:sz="0" w:space="0" w:color="auto"/>
            <w:bottom w:val="none" w:sz="0" w:space="0" w:color="auto"/>
            <w:right w:val="none" w:sz="0" w:space="0" w:color="auto"/>
          </w:divBdr>
        </w:div>
        <w:div w:id="1695574052">
          <w:marLeft w:val="640"/>
          <w:marRight w:val="0"/>
          <w:marTop w:val="0"/>
          <w:marBottom w:val="0"/>
          <w:divBdr>
            <w:top w:val="none" w:sz="0" w:space="0" w:color="auto"/>
            <w:left w:val="none" w:sz="0" w:space="0" w:color="auto"/>
            <w:bottom w:val="none" w:sz="0" w:space="0" w:color="auto"/>
            <w:right w:val="none" w:sz="0" w:space="0" w:color="auto"/>
          </w:divBdr>
        </w:div>
        <w:div w:id="277839124">
          <w:marLeft w:val="640"/>
          <w:marRight w:val="0"/>
          <w:marTop w:val="0"/>
          <w:marBottom w:val="0"/>
          <w:divBdr>
            <w:top w:val="none" w:sz="0" w:space="0" w:color="auto"/>
            <w:left w:val="none" w:sz="0" w:space="0" w:color="auto"/>
            <w:bottom w:val="none" w:sz="0" w:space="0" w:color="auto"/>
            <w:right w:val="none" w:sz="0" w:space="0" w:color="auto"/>
          </w:divBdr>
        </w:div>
        <w:div w:id="689797623">
          <w:marLeft w:val="640"/>
          <w:marRight w:val="0"/>
          <w:marTop w:val="0"/>
          <w:marBottom w:val="0"/>
          <w:divBdr>
            <w:top w:val="none" w:sz="0" w:space="0" w:color="auto"/>
            <w:left w:val="none" w:sz="0" w:space="0" w:color="auto"/>
            <w:bottom w:val="none" w:sz="0" w:space="0" w:color="auto"/>
            <w:right w:val="none" w:sz="0" w:space="0" w:color="auto"/>
          </w:divBdr>
        </w:div>
        <w:div w:id="654648007">
          <w:marLeft w:val="640"/>
          <w:marRight w:val="0"/>
          <w:marTop w:val="0"/>
          <w:marBottom w:val="0"/>
          <w:divBdr>
            <w:top w:val="none" w:sz="0" w:space="0" w:color="auto"/>
            <w:left w:val="none" w:sz="0" w:space="0" w:color="auto"/>
            <w:bottom w:val="none" w:sz="0" w:space="0" w:color="auto"/>
            <w:right w:val="none" w:sz="0" w:space="0" w:color="auto"/>
          </w:divBdr>
        </w:div>
        <w:div w:id="182668048">
          <w:marLeft w:val="640"/>
          <w:marRight w:val="0"/>
          <w:marTop w:val="0"/>
          <w:marBottom w:val="0"/>
          <w:divBdr>
            <w:top w:val="none" w:sz="0" w:space="0" w:color="auto"/>
            <w:left w:val="none" w:sz="0" w:space="0" w:color="auto"/>
            <w:bottom w:val="none" w:sz="0" w:space="0" w:color="auto"/>
            <w:right w:val="none" w:sz="0" w:space="0" w:color="auto"/>
          </w:divBdr>
        </w:div>
        <w:div w:id="1985692064">
          <w:marLeft w:val="640"/>
          <w:marRight w:val="0"/>
          <w:marTop w:val="0"/>
          <w:marBottom w:val="0"/>
          <w:divBdr>
            <w:top w:val="none" w:sz="0" w:space="0" w:color="auto"/>
            <w:left w:val="none" w:sz="0" w:space="0" w:color="auto"/>
            <w:bottom w:val="none" w:sz="0" w:space="0" w:color="auto"/>
            <w:right w:val="none" w:sz="0" w:space="0" w:color="auto"/>
          </w:divBdr>
        </w:div>
        <w:div w:id="667710140">
          <w:marLeft w:val="640"/>
          <w:marRight w:val="0"/>
          <w:marTop w:val="0"/>
          <w:marBottom w:val="0"/>
          <w:divBdr>
            <w:top w:val="none" w:sz="0" w:space="0" w:color="auto"/>
            <w:left w:val="none" w:sz="0" w:space="0" w:color="auto"/>
            <w:bottom w:val="none" w:sz="0" w:space="0" w:color="auto"/>
            <w:right w:val="none" w:sz="0" w:space="0" w:color="auto"/>
          </w:divBdr>
        </w:div>
        <w:div w:id="1002274765">
          <w:marLeft w:val="640"/>
          <w:marRight w:val="0"/>
          <w:marTop w:val="0"/>
          <w:marBottom w:val="0"/>
          <w:divBdr>
            <w:top w:val="none" w:sz="0" w:space="0" w:color="auto"/>
            <w:left w:val="none" w:sz="0" w:space="0" w:color="auto"/>
            <w:bottom w:val="none" w:sz="0" w:space="0" w:color="auto"/>
            <w:right w:val="none" w:sz="0" w:space="0" w:color="auto"/>
          </w:divBdr>
        </w:div>
        <w:div w:id="1704746632">
          <w:marLeft w:val="640"/>
          <w:marRight w:val="0"/>
          <w:marTop w:val="0"/>
          <w:marBottom w:val="0"/>
          <w:divBdr>
            <w:top w:val="none" w:sz="0" w:space="0" w:color="auto"/>
            <w:left w:val="none" w:sz="0" w:space="0" w:color="auto"/>
            <w:bottom w:val="none" w:sz="0" w:space="0" w:color="auto"/>
            <w:right w:val="none" w:sz="0" w:space="0" w:color="auto"/>
          </w:divBdr>
        </w:div>
        <w:div w:id="67119950">
          <w:marLeft w:val="640"/>
          <w:marRight w:val="0"/>
          <w:marTop w:val="0"/>
          <w:marBottom w:val="0"/>
          <w:divBdr>
            <w:top w:val="none" w:sz="0" w:space="0" w:color="auto"/>
            <w:left w:val="none" w:sz="0" w:space="0" w:color="auto"/>
            <w:bottom w:val="none" w:sz="0" w:space="0" w:color="auto"/>
            <w:right w:val="none" w:sz="0" w:space="0" w:color="auto"/>
          </w:divBdr>
        </w:div>
        <w:div w:id="1706709338">
          <w:marLeft w:val="640"/>
          <w:marRight w:val="0"/>
          <w:marTop w:val="0"/>
          <w:marBottom w:val="0"/>
          <w:divBdr>
            <w:top w:val="none" w:sz="0" w:space="0" w:color="auto"/>
            <w:left w:val="none" w:sz="0" w:space="0" w:color="auto"/>
            <w:bottom w:val="none" w:sz="0" w:space="0" w:color="auto"/>
            <w:right w:val="none" w:sz="0" w:space="0" w:color="auto"/>
          </w:divBdr>
        </w:div>
        <w:div w:id="1694719910">
          <w:marLeft w:val="640"/>
          <w:marRight w:val="0"/>
          <w:marTop w:val="0"/>
          <w:marBottom w:val="0"/>
          <w:divBdr>
            <w:top w:val="none" w:sz="0" w:space="0" w:color="auto"/>
            <w:left w:val="none" w:sz="0" w:space="0" w:color="auto"/>
            <w:bottom w:val="none" w:sz="0" w:space="0" w:color="auto"/>
            <w:right w:val="none" w:sz="0" w:space="0" w:color="auto"/>
          </w:divBdr>
        </w:div>
      </w:divsChild>
    </w:div>
    <w:div w:id="578562955">
      <w:bodyDiv w:val="1"/>
      <w:marLeft w:val="0"/>
      <w:marRight w:val="0"/>
      <w:marTop w:val="0"/>
      <w:marBottom w:val="0"/>
      <w:divBdr>
        <w:top w:val="none" w:sz="0" w:space="0" w:color="auto"/>
        <w:left w:val="none" w:sz="0" w:space="0" w:color="auto"/>
        <w:bottom w:val="none" w:sz="0" w:space="0" w:color="auto"/>
        <w:right w:val="none" w:sz="0" w:space="0" w:color="auto"/>
      </w:divBdr>
    </w:div>
    <w:div w:id="639388440">
      <w:bodyDiv w:val="1"/>
      <w:marLeft w:val="0"/>
      <w:marRight w:val="0"/>
      <w:marTop w:val="0"/>
      <w:marBottom w:val="0"/>
      <w:divBdr>
        <w:top w:val="none" w:sz="0" w:space="0" w:color="auto"/>
        <w:left w:val="none" w:sz="0" w:space="0" w:color="auto"/>
        <w:bottom w:val="none" w:sz="0" w:space="0" w:color="auto"/>
        <w:right w:val="none" w:sz="0" w:space="0" w:color="auto"/>
      </w:divBdr>
    </w:div>
    <w:div w:id="639532634">
      <w:bodyDiv w:val="1"/>
      <w:marLeft w:val="0"/>
      <w:marRight w:val="0"/>
      <w:marTop w:val="0"/>
      <w:marBottom w:val="0"/>
      <w:divBdr>
        <w:top w:val="none" w:sz="0" w:space="0" w:color="auto"/>
        <w:left w:val="none" w:sz="0" w:space="0" w:color="auto"/>
        <w:bottom w:val="none" w:sz="0" w:space="0" w:color="auto"/>
        <w:right w:val="none" w:sz="0" w:space="0" w:color="auto"/>
      </w:divBdr>
    </w:div>
    <w:div w:id="656612044">
      <w:bodyDiv w:val="1"/>
      <w:marLeft w:val="0"/>
      <w:marRight w:val="0"/>
      <w:marTop w:val="0"/>
      <w:marBottom w:val="0"/>
      <w:divBdr>
        <w:top w:val="none" w:sz="0" w:space="0" w:color="auto"/>
        <w:left w:val="none" w:sz="0" w:space="0" w:color="auto"/>
        <w:bottom w:val="none" w:sz="0" w:space="0" w:color="auto"/>
        <w:right w:val="none" w:sz="0" w:space="0" w:color="auto"/>
      </w:divBdr>
      <w:divsChild>
        <w:div w:id="1268347245">
          <w:marLeft w:val="640"/>
          <w:marRight w:val="0"/>
          <w:marTop w:val="0"/>
          <w:marBottom w:val="0"/>
          <w:divBdr>
            <w:top w:val="none" w:sz="0" w:space="0" w:color="auto"/>
            <w:left w:val="none" w:sz="0" w:space="0" w:color="auto"/>
            <w:bottom w:val="none" w:sz="0" w:space="0" w:color="auto"/>
            <w:right w:val="none" w:sz="0" w:space="0" w:color="auto"/>
          </w:divBdr>
        </w:div>
        <w:div w:id="368651547">
          <w:marLeft w:val="640"/>
          <w:marRight w:val="0"/>
          <w:marTop w:val="0"/>
          <w:marBottom w:val="0"/>
          <w:divBdr>
            <w:top w:val="none" w:sz="0" w:space="0" w:color="auto"/>
            <w:left w:val="none" w:sz="0" w:space="0" w:color="auto"/>
            <w:bottom w:val="none" w:sz="0" w:space="0" w:color="auto"/>
            <w:right w:val="none" w:sz="0" w:space="0" w:color="auto"/>
          </w:divBdr>
        </w:div>
        <w:div w:id="1410231216">
          <w:marLeft w:val="640"/>
          <w:marRight w:val="0"/>
          <w:marTop w:val="0"/>
          <w:marBottom w:val="0"/>
          <w:divBdr>
            <w:top w:val="none" w:sz="0" w:space="0" w:color="auto"/>
            <w:left w:val="none" w:sz="0" w:space="0" w:color="auto"/>
            <w:bottom w:val="none" w:sz="0" w:space="0" w:color="auto"/>
            <w:right w:val="none" w:sz="0" w:space="0" w:color="auto"/>
          </w:divBdr>
        </w:div>
        <w:div w:id="1336760389">
          <w:marLeft w:val="640"/>
          <w:marRight w:val="0"/>
          <w:marTop w:val="0"/>
          <w:marBottom w:val="0"/>
          <w:divBdr>
            <w:top w:val="none" w:sz="0" w:space="0" w:color="auto"/>
            <w:left w:val="none" w:sz="0" w:space="0" w:color="auto"/>
            <w:bottom w:val="none" w:sz="0" w:space="0" w:color="auto"/>
            <w:right w:val="none" w:sz="0" w:space="0" w:color="auto"/>
          </w:divBdr>
        </w:div>
        <w:div w:id="2061780648">
          <w:marLeft w:val="640"/>
          <w:marRight w:val="0"/>
          <w:marTop w:val="0"/>
          <w:marBottom w:val="0"/>
          <w:divBdr>
            <w:top w:val="none" w:sz="0" w:space="0" w:color="auto"/>
            <w:left w:val="none" w:sz="0" w:space="0" w:color="auto"/>
            <w:bottom w:val="none" w:sz="0" w:space="0" w:color="auto"/>
            <w:right w:val="none" w:sz="0" w:space="0" w:color="auto"/>
          </w:divBdr>
        </w:div>
        <w:div w:id="1183931607">
          <w:marLeft w:val="640"/>
          <w:marRight w:val="0"/>
          <w:marTop w:val="0"/>
          <w:marBottom w:val="0"/>
          <w:divBdr>
            <w:top w:val="none" w:sz="0" w:space="0" w:color="auto"/>
            <w:left w:val="none" w:sz="0" w:space="0" w:color="auto"/>
            <w:bottom w:val="none" w:sz="0" w:space="0" w:color="auto"/>
            <w:right w:val="none" w:sz="0" w:space="0" w:color="auto"/>
          </w:divBdr>
        </w:div>
        <w:div w:id="858353872">
          <w:marLeft w:val="640"/>
          <w:marRight w:val="0"/>
          <w:marTop w:val="0"/>
          <w:marBottom w:val="0"/>
          <w:divBdr>
            <w:top w:val="none" w:sz="0" w:space="0" w:color="auto"/>
            <w:left w:val="none" w:sz="0" w:space="0" w:color="auto"/>
            <w:bottom w:val="none" w:sz="0" w:space="0" w:color="auto"/>
            <w:right w:val="none" w:sz="0" w:space="0" w:color="auto"/>
          </w:divBdr>
        </w:div>
        <w:div w:id="1317953411">
          <w:marLeft w:val="640"/>
          <w:marRight w:val="0"/>
          <w:marTop w:val="0"/>
          <w:marBottom w:val="0"/>
          <w:divBdr>
            <w:top w:val="none" w:sz="0" w:space="0" w:color="auto"/>
            <w:left w:val="none" w:sz="0" w:space="0" w:color="auto"/>
            <w:bottom w:val="none" w:sz="0" w:space="0" w:color="auto"/>
            <w:right w:val="none" w:sz="0" w:space="0" w:color="auto"/>
          </w:divBdr>
        </w:div>
        <w:div w:id="618221101">
          <w:marLeft w:val="640"/>
          <w:marRight w:val="0"/>
          <w:marTop w:val="0"/>
          <w:marBottom w:val="0"/>
          <w:divBdr>
            <w:top w:val="none" w:sz="0" w:space="0" w:color="auto"/>
            <w:left w:val="none" w:sz="0" w:space="0" w:color="auto"/>
            <w:bottom w:val="none" w:sz="0" w:space="0" w:color="auto"/>
            <w:right w:val="none" w:sz="0" w:space="0" w:color="auto"/>
          </w:divBdr>
        </w:div>
        <w:div w:id="1870071267">
          <w:marLeft w:val="640"/>
          <w:marRight w:val="0"/>
          <w:marTop w:val="0"/>
          <w:marBottom w:val="0"/>
          <w:divBdr>
            <w:top w:val="none" w:sz="0" w:space="0" w:color="auto"/>
            <w:left w:val="none" w:sz="0" w:space="0" w:color="auto"/>
            <w:bottom w:val="none" w:sz="0" w:space="0" w:color="auto"/>
            <w:right w:val="none" w:sz="0" w:space="0" w:color="auto"/>
          </w:divBdr>
        </w:div>
        <w:div w:id="1274991">
          <w:marLeft w:val="640"/>
          <w:marRight w:val="0"/>
          <w:marTop w:val="0"/>
          <w:marBottom w:val="0"/>
          <w:divBdr>
            <w:top w:val="none" w:sz="0" w:space="0" w:color="auto"/>
            <w:left w:val="none" w:sz="0" w:space="0" w:color="auto"/>
            <w:bottom w:val="none" w:sz="0" w:space="0" w:color="auto"/>
            <w:right w:val="none" w:sz="0" w:space="0" w:color="auto"/>
          </w:divBdr>
        </w:div>
        <w:div w:id="261181489">
          <w:marLeft w:val="640"/>
          <w:marRight w:val="0"/>
          <w:marTop w:val="0"/>
          <w:marBottom w:val="0"/>
          <w:divBdr>
            <w:top w:val="none" w:sz="0" w:space="0" w:color="auto"/>
            <w:left w:val="none" w:sz="0" w:space="0" w:color="auto"/>
            <w:bottom w:val="none" w:sz="0" w:space="0" w:color="auto"/>
            <w:right w:val="none" w:sz="0" w:space="0" w:color="auto"/>
          </w:divBdr>
        </w:div>
        <w:div w:id="1085423055">
          <w:marLeft w:val="640"/>
          <w:marRight w:val="0"/>
          <w:marTop w:val="0"/>
          <w:marBottom w:val="0"/>
          <w:divBdr>
            <w:top w:val="none" w:sz="0" w:space="0" w:color="auto"/>
            <w:left w:val="none" w:sz="0" w:space="0" w:color="auto"/>
            <w:bottom w:val="none" w:sz="0" w:space="0" w:color="auto"/>
            <w:right w:val="none" w:sz="0" w:space="0" w:color="auto"/>
          </w:divBdr>
        </w:div>
        <w:div w:id="384528650">
          <w:marLeft w:val="640"/>
          <w:marRight w:val="0"/>
          <w:marTop w:val="0"/>
          <w:marBottom w:val="0"/>
          <w:divBdr>
            <w:top w:val="none" w:sz="0" w:space="0" w:color="auto"/>
            <w:left w:val="none" w:sz="0" w:space="0" w:color="auto"/>
            <w:bottom w:val="none" w:sz="0" w:space="0" w:color="auto"/>
            <w:right w:val="none" w:sz="0" w:space="0" w:color="auto"/>
          </w:divBdr>
        </w:div>
        <w:div w:id="406734879">
          <w:marLeft w:val="640"/>
          <w:marRight w:val="0"/>
          <w:marTop w:val="0"/>
          <w:marBottom w:val="0"/>
          <w:divBdr>
            <w:top w:val="none" w:sz="0" w:space="0" w:color="auto"/>
            <w:left w:val="none" w:sz="0" w:space="0" w:color="auto"/>
            <w:bottom w:val="none" w:sz="0" w:space="0" w:color="auto"/>
            <w:right w:val="none" w:sz="0" w:space="0" w:color="auto"/>
          </w:divBdr>
        </w:div>
        <w:div w:id="1257399696">
          <w:marLeft w:val="640"/>
          <w:marRight w:val="0"/>
          <w:marTop w:val="0"/>
          <w:marBottom w:val="0"/>
          <w:divBdr>
            <w:top w:val="none" w:sz="0" w:space="0" w:color="auto"/>
            <w:left w:val="none" w:sz="0" w:space="0" w:color="auto"/>
            <w:bottom w:val="none" w:sz="0" w:space="0" w:color="auto"/>
            <w:right w:val="none" w:sz="0" w:space="0" w:color="auto"/>
          </w:divBdr>
        </w:div>
      </w:divsChild>
    </w:div>
    <w:div w:id="665940624">
      <w:bodyDiv w:val="1"/>
      <w:marLeft w:val="0"/>
      <w:marRight w:val="0"/>
      <w:marTop w:val="0"/>
      <w:marBottom w:val="0"/>
      <w:divBdr>
        <w:top w:val="none" w:sz="0" w:space="0" w:color="auto"/>
        <w:left w:val="none" w:sz="0" w:space="0" w:color="auto"/>
        <w:bottom w:val="none" w:sz="0" w:space="0" w:color="auto"/>
        <w:right w:val="none" w:sz="0" w:space="0" w:color="auto"/>
      </w:divBdr>
      <w:divsChild>
        <w:div w:id="1960064574">
          <w:marLeft w:val="640"/>
          <w:marRight w:val="0"/>
          <w:marTop w:val="0"/>
          <w:marBottom w:val="0"/>
          <w:divBdr>
            <w:top w:val="none" w:sz="0" w:space="0" w:color="auto"/>
            <w:left w:val="none" w:sz="0" w:space="0" w:color="auto"/>
            <w:bottom w:val="none" w:sz="0" w:space="0" w:color="auto"/>
            <w:right w:val="none" w:sz="0" w:space="0" w:color="auto"/>
          </w:divBdr>
        </w:div>
        <w:div w:id="49115705">
          <w:marLeft w:val="640"/>
          <w:marRight w:val="0"/>
          <w:marTop w:val="0"/>
          <w:marBottom w:val="0"/>
          <w:divBdr>
            <w:top w:val="none" w:sz="0" w:space="0" w:color="auto"/>
            <w:left w:val="none" w:sz="0" w:space="0" w:color="auto"/>
            <w:bottom w:val="none" w:sz="0" w:space="0" w:color="auto"/>
            <w:right w:val="none" w:sz="0" w:space="0" w:color="auto"/>
          </w:divBdr>
        </w:div>
        <w:div w:id="1935900668">
          <w:marLeft w:val="640"/>
          <w:marRight w:val="0"/>
          <w:marTop w:val="0"/>
          <w:marBottom w:val="0"/>
          <w:divBdr>
            <w:top w:val="none" w:sz="0" w:space="0" w:color="auto"/>
            <w:left w:val="none" w:sz="0" w:space="0" w:color="auto"/>
            <w:bottom w:val="none" w:sz="0" w:space="0" w:color="auto"/>
            <w:right w:val="none" w:sz="0" w:space="0" w:color="auto"/>
          </w:divBdr>
        </w:div>
        <w:div w:id="581572281">
          <w:marLeft w:val="640"/>
          <w:marRight w:val="0"/>
          <w:marTop w:val="0"/>
          <w:marBottom w:val="0"/>
          <w:divBdr>
            <w:top w:val="none" w:sz="0" w:space="0" w:color="auto"/>
            <w:left w:val="none" w:sz="0" w:space="0" w:color="auto"/>
            <w:bottom w:val="none" w:sz="0" w:space="0" w:color="auto"/>
            <w:right w:val="none" w:sz="0" w:space="0" w:color="auto"/>
          </w:divBdr>
        </w:div>
        <w:div w:id="870339440">
          <w:marLeft w:val="640"/>
          <w:marRight w:val="0"/>
          <w:marTop w:val="0"/>
          <w:marBottom w:val="0"/>
          <w:divBdr>
            <w:top w:val="none" w:sz="0" w:space="0" w:color="auto"/>
            <w:left w:val="none" w:sz="0" w:space="0" w:color="auto"/>
            <w:bottom w:val="none" w:sz="0" w:space="0" w:color="auto"/>
            <w:right w:val="none" w:sz="0" w:space="0" w:color="auto"/>
          </w:divBdr>
        </w:div>
        <w:div w:id="1531262901">
          <w:marLeft w:val="640"/>
          <w:marRight w:val="0"/>
          <w:marTop w:val="0"/>
          <w:marBottom w:val="0"/>
          <w:divBdr>
            <w:top w:val="none" w:sz="0" w:space="0" w:color="auto"/>
            <w:left w:val="none" w:sz="0" w:space="0" w:color="auto"/>
            <w:bottom w:val="none" w:sz="0" w:space="0" w:color="auto"/>
            <w:right w:val="none" w:sz="0" w:space="0" w:color="auto"/>
          </w:divBdr>
        </w:div>
        <w:div w:id="1312324458">
          <w:marLeft w:val="640"/>
          <w:marRight w:val="0"/>
          <w:marTop w:val="0"/>
          <w:marBottom w:val="0"/>
          <w:divBdr>
            <w:top w:val="none" w:sz="0" w:space="0" w:color="auto"/>
            <w:left w:val="none" w:sz="0" w:space="0" w:color="auto"/>
            <w:bottom w:val="none" w:sz="0" w:space="0" w:color="auto"/>
            <w:right w:val="none" w:sz="0" w:space="0" w:color="auto"/>
          </w:divBdr>
        </w:div>
        <w:div w:id="357320275">
          <w:marLeft w:val="640"/>
          <w:marRight w:val="0"/>
          <w:marTop w:val="0"/>
          <w:marBottom w:val="0"/>
          <w:divBdr>
            <w:top w:val="none" w:sz="0" w:space="0" w:color="auto"/>
            <w:left w:val="none" w:sz="0" w:space="0" w:color="auto"/>
            <w:bottom w:val="none" w:sz="0" w:space="0" w:color="auto"/>
            <w:right w:val="none" w:sz="0" w:space="0" w:color="auto"/>
          </w:divBdr>
        </w:div>
        <w:div w:id="203952838">
          <w:marLeft w:val="640"/>
          <w:marRight w:val="0"/>
          <w:marTop w:val="0"/>
          <w:marBottom w:val="0"/>
          <w:divBdr>
            <w:top w:val="none" w:sz="0" w:space="0" w:color="auto"/>
            <w:left w:val="none" w:sz="0" w:space="0" w:color="auto"/>
            <w:bottom w:val="none" w:sz="0" w:space="0" w:color="auto"/>
            <w:right w:val="none" w:sz="0" w:space="0" w:color="auto"/>
          </w:divBdr>
        </w:div>
        <w:div w:id="645361635">
          <w:marLeft w:val="640"/>
          <w:marRight w:val="0"/>
          <w:marTop w:val="0"/>
          <w:marBottom w:val="0"/>
          <w:divBdr>
            <w:top w:val="none" w:sz="0" w:space="0" w:color="auto"/>
            <w:left w:val="none" w:sz="0" w:space="0" w:color="auto"/>
            <w:bottom w:val="none" w:sz="0" w:space="0" w:color="auto"/>
            <w:right w:val="none" w:sz="0" w:space="0" w:color="auto"/>
          </w:divBdr>
        </w:div>
        <w:div w:id="1430392120">
          <w:marLeft w:val="640"/>
          <w:marRight w:val="0"/>
          <w:marTop w:val="0"/>
          <w:marBottom w:val="0"/>
          <w:divBdr>
            <w:top w:val="none" w:sz="0" w:space="0" w:color="auto"/>
            <w:left w:val="none" w:sz="0" w:space="0" w:color="auto"/>
            <w:bottom w:val="none" w:sz="0" w:space="0" w:color="auto"/>
            <w:right w:val="none" w:sz="0" w:space="0" w:color="auto"/>
          </w:divBdr>
        </w:div>
        <w:div w:id="1426460486">
          <w:marLeft w:val="640"/>
          <w:marRight w:val="0"/>
          <w:marTop w:val="0"/>
          <w:marBottom w:val="0"/>
          <w:divBdr>
            <w:top w:val="none" w:sz="0" w:space="0" w:color="auto"/>
            <w:left w:val="none" w:sz="0" w:space="0" w:color="auto"/>
            <w:bottom w:val="none" w:sz="0" w:space="0" w:color="auto"/>
            <w:right w:val="none" w:sz="0" w:space="0" w:color="auto"/>
          </w:divBdr>
        </w:div>
        <w:div w:id="388963455">
          <w:marLeft w:val="640"/>
          <w:marRight w:val="0"/>
          <w:marTop w:val="0"/>
          <w:marBottom w:val="0"/>
          <w:divBdr>
            <w:top w:val="none" w:sz="0" w:space="0" w:color="auto"/>
            <w:left w:val="none" w:sz="0" w:space="0" w:color="auto"/>
            <w:bottom w:val="none" w:sz="0" w:space="0" w:color="auto"/>
            <w:right w:val="none" w:sz="0" w:space="0" w:color="auto"/>
          </w:divBdr>
        </w:div>
        <w:div w:id="902717018">
          <w:marLeft w:val="640"/>
          <w:marRight w:val="0"/>
          <w:marTop w:val="0"/>
          <w:marBottom w:val="0"/>
          <w:divBdr>
            <w:top w:val="none" w:sz="0" w:space="0" w:color="auto"/>
            <w:left w:val="none" w:sz="0" w:space="0" w:color="auto"/>
            <w:bottom w:val="none" w:sz="0" w:space="0" w:color="auto"/>
            <w:right w:val="none" w:sz="0" w:space="0" w:color="auto"/>
          </w:divBdr>
        </w:div>
        <w:div w:id="782185183">
          <w:marLeft w:val="640"/>
          <w:marRight w:val="0"/>
          <w:marTop w:val="0"/>
          <w:marBottom w:val="0"/>
          <w:divBdr>
            <w:top w:val="none" w:sz="0" w:space="0" w:color="auto"/>
            <w:left w:val="none" w:sz="0" w:space="0" w:color="auto"/>
            <w:bottom w:val="none" w:sz="0" w:space="0" w:color="auto"/>
            <w:right w:val="none" w:sz="0" w:space="0" w:color="auto"/>
          </w:divBdr>
        </w:div>
        <w:div w:id="1746217934">
          <w:marLeft w:val="640"/>
          <w:marRight w:val="0"/>
          <w:marTop w:val="0"/>
          <w:marBottom w:val="0"/>
          <w:divBdr>
            <w:top w:val="none" w:sz="0" w:space="0" w:color="auto"/>
            <w:left w:val="none" w:sz="0" w:space="0" w:color="auto"/>
            <w:bottom w:val="none" w:sz="0" w:space="0" w:color="auto"/>
            <w:right w:val="none" w:sz="0" w:space="0" w:color="auto"/>
          </w:divBdr>
        </w:div>
      </w:divsChild>
    </w:div>
    <w:div w:id="798953572">
      <w:bodyDiv w:val="1"/>
      <w:marLeft w:val="0"/>
      <w:marRight w:val="0"/>
      <w:marTop w:val="0"/>
      <w:marBottom w:val="0"/>
      <w:divBdr>
        <w:top w:val="none" w:sz="0" w:space="0" w:color="auto"/>
        <w:left w:val="none" w:sz="0" w:space="0" w:color="auto"/>
        <w:bottom w:val="none" w:sz="0" w:space="0" w:color="auto"/>
        <w:right w:val="none" w:sz="0" w:space="0" w:color="auto"/>
      </w:divBdr>
    </w:div>
    <w:div w:id="842819477">
      <w:bodyDiv w:val="1"/>
      <w:marLeft w:val="0"/>
      <w:marRight w:val="0"/>
      <w:marTop w:val="0"/>
      <w:marBottom w:val="0"/>
      <w:divBdr>
        <w:top w:val="none" w:sz="0" w:space="0" w:color="auto"/>
        <w:left w:val="none" w:sz="0" w:space="0" w:color="auto"/>
        <w:bottom w:val="none" w:sz="0" w:space="0" w:color="auto"/>
        <w:right w:val="none" w:sz="0" w:space="0" w:color="auto"/>
      </w:divBdr>
      <w:divsChild>
        <w:div w:id="2030400617">
          <w:marLeft w:val="0"/>
          <w:marRight w:val="0"/>
          <w:marTop w:val="0"/>
          <w:marBottom w:val="0"/>
          <w:divBdr>
            <w:top w:val="none" w:sz="0" w:space="0" w:color="auto"/>
            <w:left w:val="none" w:sz="0" w:space="0" w:color="auto"/>
            <w:bottom w:val="none" w:sz="0" w:space="0" w:color="auto"/>
            <w:right w:val="none" w:sz="0" w:space="0" w:color="auto"/>
          </w:divBdr>
        </w:div>
        <w:div w:id="1351226963">
          <w:marLeft w:val="0"/>
          <w:marRight w:val="0"/>
          <w:marTop w:val="0"/>
          <w:marBottom w:val="0"/>
          <w:divBdr>
            <w:top w:val="none" w:sz="0" w:space="0" w:color="auto"/>
            <w:left w:val="none" w:sz="0" w:space="0" w:color="auto"/>
            <w:bottom w:val="none" w:sz="0" w:space="0" w:color="auto"/>
            <w:right w:val="none" w:sz="0" w:space="0" w:color="auto"/>
          </w:divBdr>
        </w:div>
        <w:div w:id="149255750">
          <w:marLeft w:val="0"/>
          <w:marRight w:val="0"/>
          <w:marTop w:val="0"/>
          <w:marBottom w:val="0"/>
          <w:divBdr>
            <w:top w:val="none" w:sz="0" w:space="0" w:color="auto"/>
            <w:left w:val="none" w:sz="0" w:space="0" w:color="auto"/>
            <w:bottom w:val="none" w:sz="0" w:space="0" w:color="auto"/>
            <w:right w:val="none" w:sz="0" w:space="0" w:color="auto"/>
          </w:divBdr>
        </w:div>
        <w:div w:id="934705093">
          <w:marLeft w:val="0"/>
          <w:marRight w:val="0"/>
          <w:marTop w:val="0"/>
          <w:marBottom w:val="0"/>
          <w:divBdr>
            <w:top w:val="none" w:sz="0" w:space="0" w:color="auto"/>
            <w:left w:val="none" w:sz="0" w:space="0" w:color="auto"/>
            <w:bottom w:val="none" w:sz="0" w:space="0" w:color="auto"/>
            <w:right w:val="none" w:sz="0" w:space="0" w:color="auto"/>
          </w:divBdr>
        </w:div>
        <w:div w:id="1491410138">
          <w:marLeft w:val="0"/>
          <w:marRight w:val="0"/>
          <w:marTop w:val="0"/>
          <w:marBottom w:val="0"/>
          <w:divBdr>
            <w:top w:val="none" w:sz="0" w:space="0" w:color="auto"/>
            <w:left w:val="none" w:sz="0" w:space="0" w:color="auto"/>
            <w:bottom w:val="none" w:sz="0" w:space="0" w:color="auto"/>
            <w:right w:val="none" w:sz="0" w:space="0" w:color="auto"/>
          </w:divBdr>
        </w:div>
        <w:div w:id="602349590">
          <w:marLeft w:val="0"/>
          <w:marRight w:val="0"/>
          <w:marTop w:val="0"/>
          <w:marBottom w:val="0"/>
          <w:divBdr>
            <w:top w:val="none" w:sz="0" w:space="0" w:color="auto"/>
            <w:left w:val="none" w:sz="0" w:space="0" w:color="auto"/>
            <w:bottom w:val="none" w:sz="0" w:space="0" w:color="auto"/>
            <w:right w:val="none" w:sz="0" w:space="0" w:color="auto"/>
          </w:divBdr>
        </w:div>
        <w:div w:id="1313680230">
          <w:marLeft w:val="0"/>
          <w:marRight w:val="0"/>
          <w:marTop w:val="0"/>
          <w:marBottom w:val="0"/>
          <w:divBdr>
            <w:top w:val="none" w:sz="0" w:space="0" w:color="auto"/>
            <w:left w:val="none" w:sz="0" w:space="0" w:color="auto"/>
            <w:bottom w:val="none" w:sz="0" w:space="0" w:color="auto"/>
            <w:right w:val="none" w:sz="0" w:space="0" w:color="auto"/>
          </w:divBdr>
        </w:div>
        <w:div w:id="637146079">
          <w:marLeft w:val="0"/>
          <w:marRight w:val="0"/>
          <w:marTop w:val="0"/>
          <w:marBottom w:val="0"/>
          <w:divBdr>
            <w:top w:val="none" w:sz="0" w:space="0" w:color="auto"/>
            <w:left w:val="none" w:sz="0" w:space="0" w:color="auto"/>
            <w:bottom w:val="none" w:sz="0" w:space="0" w:color="auto"/>
            <w:right w:val="none" w:sz="0" w:space="0" w:color="auto"/>
          </w:divBdr>
        </w:div>
        <w:div w:id="1827669709">
          <w:marLeft w:val="0"/>
          <w:marRight w:val="0"/>
          <w:marTop w:val="0"/>
          <w:marBottom w:val="0"/>
          <w:divBdr>
            <w:top w:val="none" w:sz="0" w:space="0" w:color="auto"/>
            <w:left w:val="none" w:sz="0" w:space="0" w:color="auto"/>
            <w:bottom w:val="none" w:sz="0" w:space="0" w:color="auto"/>
            <w:right w:val="none" w:sz="0" w:space="0" w:color="auto"/>
          </w:divBdr>
        </w:div>
        <w:div w:id="750196466">
          <w:marLeft w:val="0"/>
          <w:marRight w:val="0"/>
          <w:marTop w:val="0"/>
          <w:marBottom w:val="0"/>
          <w:divBdr>
            <w:top w:val="none" w:sz="0" w:space="0" w:color="auto"/>
            <w:left w:val="none" w:sz="0" w:space="0" w:color="auto"/>
            <w:bottom w:val="none" w:sz="0" w:space="0" w:color="auto"/>
            <w:right w:val="none" w:sz="0" w:space="0" w:color="auto"/>
          </w:divBdr>
        </w:div>
        <w:div w:id="1866359761">
          <w:marLeft w:val="0"/>
          <w:marRight w:val="0"/>
          <w:marTop w:val="0"/>
          <w:marBottom w:val="0"/>
          <w:divBdr>
            <w:top w:val="none" w:sz="0" w:space="0" w:color="auto"/>
            <w:left w:val="none" w:sz="0" w:space="0" w:color="auto"/>
            <w:bottom w:val="none" w:sz="0" w:space="0" w:color="auto"/>
            <w:right w:val="none" w:sz="0" w:space="0" w:color="auto"/>
          </w:divBdr>
        </w:div>
        <w:div w:id="1505247922">
          <w:marLeft w:val="0"/>
          <w:marRight w:val="0"/>
          <w:marTop w:val="0"/>
          <w:marBottom w:val="0"/>
          <w:divBdr>
            <w:top w:val="none" w:sz="0" w:space="0" w:color="auto"/>
            <w:left w:val="none" w:sz="0" w:space="0" w:color="auto"/>
            <w:bottom w:val="none" w:sz="0" w:space="0" w:color="auto"/>
            <w:right w:val="none" w:sz="0" w:space="0" w:color="auto"/>
          </w:divBdr>
        </w:div>
        <w:div w:id="493686893">
          <w:marLeft w:val="0"/>
          <w:marRight w:val="0"/>
          <w:marTop w:val="0"/>
          <w:marBottom w:val="0"/>
          <w:divBdr>
            <w:top w:val="none" w:sz="0" w:space="0" w:color="auto"/>
            <w:left w:val="none" w:sz="0" w:space="0" w:color="auto"/>
            <w:bottom w:val="none" w:sz="0" w:space="0" w:color="auto"/>
            <w:right w:val="none" w:sz="0" w:space="0" w:color="auto"/>
          </w:divBdr>
        </w:div>
        <w:div w:id="991635986">
          <w:marLeft w:val="0"/>
          <w:marRight w:val="0"/>
          <w:marTop w:val="0"/>
          <w:marBottom w:val="0"/>
          <w:divBdr>
            <w:top w:val="none" w:sz="0" w:space="0" w:color="auto"/>
            <w:left w:val="none" w:sz="0" w:space="0" w:color="auto"/>
            <w:bottom w:val="none" w:sz="0" w:space="0" w:color="auto"/>
            <w:right w:val="none" w:sz="0" w:space="0" w:color="auto"/>
          </w:divBdr>
        </w:div>
        <w:div w:id="422847698">
          <w:marLeft w:val="0"/>
          <w:marRight w:val="0"/>
          <w:marTop w:val="0"/>
          <w:marBottom w:val="0"/>
          <w:divBdr>
            <w:top w:val="none" w:sz="0" w:space="0" w:color="auto"/>
            <w:left w:val="none" w:sz="0" w:space="0" w:color="auto"/>
            <w:bottom w:val="none" w:sz="0" w:space="0" w:color="auto"/>
            <w:right w:val="none" w:sz="0" w:space="0" w:color="auto"/>
          </w:divBdr>
        </w:div>
        <w:div w:id="623657292">
          <w:marLeft w:val="0"/>
          <w:marRight w:val="0"/>
          <w:marTop w:val="0"/>
          <w:marBottom w:val="0"/>
          <w:divBdr>
            <w:top w:val="none" w:sz="0" w:space="0" w:color="auto"/>
            <w:left w:val="none" w:sz="0" w:space="0" w:color="auto"/>
            <w:bottom w:val="none" w:sz="0" w:space="0" w:color="auto"/>
            <w:right w:val="none" w:sz="0" w:space="0" w:color="auto"/>
          </w:divBdr>
        </w:div>
      </w:divsChild>
    </w:div>
    <w:div w:id="1027633189">
      <w:bodyDiv w:val="1"/>
      <w:marLeft w:val="0"/>
      <w:marRight w:val="0"/>
      <w:marTop w:val="0"/>
      <w:marBottom w:val="0"/>
      <w:divBdr>
        <w:top w:val="none" w:sz="0" w:space="0" w:color="auto"/>
        <w:left w:val="none" w:sz="0" w:space="0" w:color="auto"/>
        <w:bottom w:val="none" w:sz="0" w:space="0" w:color="auto"/>
        <w:right w:val="none" w:sz="0" w:space="0" w:color="auto"/>
      </w:divBdr>
    </w:div>
    <w:div w:id="1071199377">
      <w:bodyDiv w:val="1"/>
      <w:marLeft w:val="0"/>
      <w:marRight w:val="0"/>
      <w:marTop w:val="0"/>
      <w:marBottom w:val="0"/>
      <w:divBdr>
        <w:top w:val="none" w:sz="0" w:space="0" w:color="auto"/>
        <w:left w:val="none" w:sz="0" w:space="0" w:color="auto"/>
        <w:bottom w:val="none" w:sz="0" w:space="0" w:color="auto"/>
        <w:right w:val="none" w:sz="0" w:space="0" w:color="auto"/>
      </w:divBdr>
    </w:div>
    <w:div w:id="1183325868">
      <w:bodyDiv w:val="1"/>
      <w:marLeft w:val="0"/>
      <w:marRight w:val="0"/>
      <w:marTop w:val="0"/>
      <w:marBottom w:val="0"/>
      <w:divBdr>
        <w:top w:val="none" w:sz="0" w:space="0" w:color="auto"/>
        <w:left w:val="none" w:sz="0" w:space="0" w:color="auto"/>
        <w:bottom w:val="none" w:sz="0" w:space="0" w:color="auto"/>
        <w:right w:val="none" w:sz="0" w:space="0" w:color="auto"/>
      </w:divBdr>
      <w:divsChild>
        <w:div w:id="291130899">
          <w:marLeft w:val="640"/>
          <w:marRight w:val="0"/>
          <w:marTop w:val="0"/>
          <w:marBottom w:val="0"/>
          <w:divBdr>
            <w:top w:val="none" w:sz="0" w:space="0" w:color="auto"/>
            <w:left w:val="none" w:sz="0" w:space="0" w:color="auto"/>
            <w:bottom w:val="none" w:sz="0" w:space="0" w:color="auto"/>
            <w:right w:val="none" w:sz="0" w:space="0" w:color="auto"/>
          </w:divBdr>
        </w:div>
        <w:div w:id="2143040401">
          <w:marLeft w:val="640"/>
          <w:marRight w:val="0"/>
          <w:marTop w:val="0"/>
          <w:marBottom w:val="0"/>
          <w:divBdr>
            <w:top w:val="none" w:sz="0" w:space="0" w:color="auto"/>
            <w:left w:val="none" w:sz="0" w:space="0" w:color="auto"/>
            <w:bottom w:val="none" w:sz="0" w:space="0" w:color="auto"/>
            <w:right w:val="none" w:sz="0" w:space="0" w:color="auto"/>
          </w:divBdr>
        </w:div>
        <w:div w:id="1138835004">
          <w:marLeft w:val="640"/>
          <w:marRight w:val="0"/>
          <w:marTop w:val="0"/>
          <w:marBottom w:val="0"/>
          <w:divBdr>
            <w:top w:val="none" w:sz="0" w:space="0" w:color="auto"/>
            <w:left w:val="none" w:sz="0" w:space="0" w:color="auto"/>
            <w:bottom w:val="none" w:sz="0" w:space="0" w:color="auto"/>
            <w:right w:val="none" w:sz="0" w:space="0" w:color="auto"/>
          </w:divBdr>
        </w:div>
        <w:div w:id="815226729">
          <w:marLeft w:val="640"/>
          <w:marRight w:val="0"/>
          <w:marTop w:val="0"/>
          <w:marBottom w:val="0"/>
          <w:divBdr>
            <w:top w:val="none" w:sz="0" w:space="0" w:color="auto"/>
            <w:left w:val="none" w:sz="0" w:space="0" w:color="auto"/>
            <w:bottom w:val="none" w:sz="0" w:space="0" w:color="auto"/>
            <w:right w:val="none" w:sz="0" w:space="0" w:color="auto"/>
          </w:divBdr>
        </w:div>
        <w:div w:id="2072191956">
          <w:marLeft w:val="640"/>
          <w:marRight w:val="0"/>
          <w:marTop w:val="0"/>
          <w:marBottom w:val="0"/>
          <w:divBdr>
            <w:top w:val="none" w:sz="0" w:space="0" w:color="auto"/>
            <w:left w:val="none" w:sz="0" w:space="0" w:color="auto"/>
            <w:bottom w:val="none" w:sz="0" w:space="0" w:color="auto"/>
            <w:right w:val="none" w:sz="0" w:space="0" w:color="auto"/>
          </w:divBdr>
        </w:div>
        <w:div w:id="699471707">
          <w:marLeft w:val="640"/>
          <w:marRight w:val="0"/>
          <w:marTop w:val="0"/>
          <w:marBottom w:val="0"/>
          <w:divBdr>
            <w:top w:val="none" w:sz="0" w:space="0" w:color="auto"/>
            <w:left w:val="none" w:sz="0" w:space="0" w:color="auto"/>
            <w:bottom w:val="none" w:sz="0" w:space="0" w:color="auto"/>
            <w:right w:val="none" w:sz="0" w:space="0" w:color="auto"/>
          </w:divBdr>
        </w:div>
        <w:div w:id="1287539549">
          <w:marLeft w:val="640"/>
          <w:marRight w:val="0"/>
          <w:marTop w:val="0"/>
          <w:marBottom w:val="0"/>
          <w:divBdr>
            <w:top w:val="none" w:sz="0" w:space="0" w:color="auto"/>
            <w:left w:val="none" w:sz="0" w:space="0" w:color="auto"/>
            <w:bottom w:val="none" w:sz="0" w:space="0" w:color="auto"/>
            <w:right w:val="none" w:sz="0" w:space="0" w:color="auto"/>
          </w:divBdr>
        </w:div>
        <w:div w:id="859978631">
          <w:marLeft w:val="640"/>
          <w:marRight w:val="0"/>
          <w:marTop w:val="0"/>
          <w:marBottom w:val="0"/>
          <w:divBdr>
            <w:top w:val="none" w:sz="0" w:space="0" w:color="auto"/>
            <w:left w:val="none" w:sz="0" w:space="0" w:color="auto"/>
            <w:bottom w:val="none" w:sz="0" w:space="0" w:color="auto"/>
            <w:right w:val="none" w:sz="0" w:space="0" w:color="auto"/>
          </w:divBdr>
        </w:div>
        <w:div w:id="5251216">
          <w:marLeft w:val="640"/>
          <w:marRight w:val="0"/>
          <w:marTop w:val="0"/>
          <w:marBottom w:val="0"/>
          <w:divBdr>
            <w:top w:val="none" w:sz="0" w:space="0" w:color="auto"/>
            <w:left w:val="none" w:sz="0" w:space="0" w:color="auto"/>
            <w:bottom w:val="none" w:sz="0" w:space="0" w:color="auto"/>
            <w:right w:val="none" w:sz="0" w:space="0" w:color="auto"/>
          </w:divBdr>
        </w:div>
        <w:div w:id="758869727">
          <w:marLeft w:val="640"/>
          <w:marRight w:val="0"/>
          <w:marTop w:val="0"/>
          <w:marBottom w:val="0"/>
          <w:divBdr>
            <w:top w:val="none" w:sz="0" w:space="0" w:color="auto"/>
            <w:left w:val="none" w:sz="0" w:space="0" w:color="auto"/>
            <w:bottom w:val="none" w:sz="0" w:space="0" w:color="auto"/>
            <w:right w:val="none" w:sz="0" w:space="0" w:color="auto"/>
          </w:divBdr>
        </w:div>
        <w:div w:id="2024285548">
          <w:marLeft w:val="640"/>
          <w:marRight w:val="0"/>
          <w:marTop w:val="0"/>
          <w:marBottom w:val="0"/>
          <w:divBdr>
            <w:top w:val="none" w:sz="0" w:space="0" w:color="auto"/>
            <w:left w:val="none" w:sz="0" w:space="0" w:color="auto"/>
            <w:bottom w:val="none" w:sz="0" w:space="0" w:color="auto"/>
            <w:right w:val="none" w:sz="0" w:space="0" w:color="auto"/>
          </w:divBdr>
        </w:div>
        <w:div w:id="1082797171">
          <w:marLeft w:val="640"/>
          <w:marRight w:val="0"/>
          <w:marTop w:val="0"/>
          <w:marBottom w:val="0"/>
          <w:divBdr>
            <w:top w:val="none" w:sz="0" w:space="0" w:color="auto"/>
            <w:left w:val="none" w:sz="0" w:space="0" w:color="auto"/>
            <w:bottom w:val="none" w:sz="0" w:space="0" w:color="auto"/>
            <w:right w:val="none" w:sz="0" w:space="0" w:color="auto"/>
          </w:divBdr>
        </w:div>
        <w:div w:id="770009545">
          <w:marLeft w:val="640"/>
          <w:marRight w:val="0"/>
          <w:marTop w:val="0"/>
          <w:marBottom w:val="0"/>
          <w:divBdr>
            <w:top w:val="none" w:sz="0" w:space="0" w:color="auto"/>
            <w:left w:val="none" w:sz="0" w:space="0" w:color="auto"/>
            <w:bottom w:val="none" w:sz="0" w:space="0" w:color="auto"/>
            <w:right w:val="none" w:sz="0" w:space="0" w:color="auto"/>
          </w:divBdr>
        </w:div>
        <w:div w:id="586809724">
          <w:marLeft w:val="640"/>
          <w:marRight w:val="0"/>
          <w:marTop w:val="0"/>
          <w:marBottom w:val="0"/>
          <w:divBdr>
            <w:top w:val="none" w:sz="0" w:space="0" w:color="auto"/>
            <w:left w:val="none" w:sz="0" w:space="0" w:color="auto"/>
            <w:bottom w:val="none" w:sz="0" w:space="0" w:color="auto"/>
            <w:right w:val="none" w:sz="0" w:space="0" w:color="auto"/>
          </w:divBdr>
        </w:div>
        <w:div w:id="914320609">
          <w:marLeft w:val="640"/>
          <w:marRight w:val="0"/>
          <w:marTop w:val="0"/>
          <w:marBottom w:val="0"/>
          <w:divBdr>
            <w:top w:val="none" w:sz="0" w:space="0" w:color="auto"/>
            <w:left w:val="none" w:sz="0" w:space="0" w:color="auto"/>
            <w:bottom w:val="none" w:sz="0" w:space="0" w:color="auto"/>
            <w:right w:val="none" w:sz="0" w:space="0" w:color="auto"/>
          </w:divBdr>
        </w:div>
        <w:div w:id="1252740328">
          <w:marLeft w:val="640"/>
          <w:marRight w:val="0"/>
          <w:marTop w:val="0"/>
          <w:marBottom w:val="0"/>
          <w:divBdr>
            <w:top w:val="none" w:sz="0" w:space="0" w:color="auto"/>
            <w:left w:val="none" w:sz="0" w:space="0" w:color="auto"/>
            <w:bottom w:val="none" w:sz="0" w:space="0" w:color="auto"/>
            <w:right w:val="none" w:sz="0" w:space="0" w:color="auto"/>
          </w:divBdr>
        </w:div>
      </w:divsChild>
    </w:div>
    <w:div w:id="1314721675">
      <w:bodyDiv w:val="1"/>
      <w:marLeft w:val="0"/>
      <w:marRight w:val="0"/>
      <w:marTop w:val="0"/>
      <w:marBottom w:val="0"/>
      <w:divBdr>
        <w:top w:val="none" w:sz="0" w:space="0" w:color="auto"/>
        <w:left w:val="none" w:sz="0" w:space="0" w:color="auto"/>
        <w:bottom w:val="none" w:sz="0" w:space="0" w:color="auto"/>
        <w:right w:val="none" w:sz="0" w:space="0" w:color="auto"/>
      </w:divBdr>
    </w:div>
    <w:div w:id="1318728529">
      <w:bodyDiv w:val="1"/>
      <w:marLeft w:val="0"/>
      <w:marRight w:val="0"/>
      <w:marTop w:val="0"/>
      <w:marBottom w:val="0"/>
      <w:divBdr>
        <w:top w:val="none" w:sz="0" w:space="0" w:color="auto"/>
        <w:left w:val="none" w:sz="0" w:space="0" w:color="auto"/>
        <w:bottom w:val="none" w:sz="0" w:space="0" w:color="auto"/>
        <w:right w:val="none" w:sz="0" w:space="0" w:color="auto"/>
      </w:divBdr>
    </w:div>
    <w:div w:id="1356614303">
      <w:bodyDiv w:val="1"/>
      <w:marLeft w:val="0"/>
      <w:marRight w:val="0"/>
      <w:marTop w:val="0"/>
      <w:marBottom w:val="0"/>
      <w:divBdr>
        <w:top w:val="none" w:sz="0" w:space="0" w:color="auto"/>
        <w:left w:val="none" w:sz="0" w:space="0" w:color="auto"/>
        <w:bottom w:val="none" w:sz="0" w:space="0" w:color="auto"/>
        <w:right w:val="none" w:sz="0" w:space="0" w:color="auto"/>
      </w:divBdr>
      <w:divsChild>
        <w:div w:id="103155449">
          <w:marLeft w:val="640"/>
          <w:marRight w:val="0"/>
          <w:marTop w:val="0"/>
          <w:marBottom w:val="0"/>
          <w:divBdr>
            <w:top w:val="none" w:sz="0" w:space="0" w:color="auto"/>
            <w:left w:val="none" w:sz="0" w:space="0" w:color="auto"/>
            <w:bottom w:val="none" w:sz="0" w:space="0" w:color="auto"/>
            <w:right w:val="none" w:sz="0" w:space="0" w:color="auto"/>
          </w:divBdr>
        </w:div>
        <w:div w:id="612711662">
          <w:marLeft w:val="640"/>
          <w:marRight w:val="0"/>
          <w:marTop w:val="0"/>
          <w:marBottom w:val="0"/>
          <w:divBdr>
            <w:top w:val="none" w:sz="0" w:space="0" w:color="auto"/>
            <w:left w:val="none" w:sz="0" w:space="0" w:color="auto"/>
            <w:bottom w:val="none" w:sz="0" w:space="0" w:color="auto"/>
            <w:right w:val="none" w:sz="0" w:space="0" w:color="auto"/>
          </w:divBdr>
        </w:div>
        <w:div w:id="630476401">
          <w:marLeft w:val="640"/>
          <w:marRight w:val="0"/>
          <w:marTop w:val="0"/>
          <w:marBottom w:val="0"/>
          <w:divBdr>
            <w:top w:val="none" w:sz="0" w:space="0" w:color="auto"/>
            <w:left w:val="none" w:sz="0" w:space="0" w:color="auto"/>
            <w:bottom w:val="none" w:sz="0" w:space="0" w:color="auto"/>
            <w:right w:val="none" w:sz="0" w:space="0" w:color="auto"/>
          </w:divBdr>
        </w:div>
        <w:div w:id="215436410">
          <w:marLeft w:val="640"/>
          <w:marRight w:val="0"/>
          <w:marTop w:val="0"/>
          <w:marBottom w:val="0"/>
          <w:divBdr>
            <w:top w:val="none" w:sz="0" w:space="0" w:color="auto"/>
            <w:left w:val="none" w:sz="0" w:space="0" w:color="auto"/>
            <w:bottom w:val="none" w:sz="0" w:space="0" w:color="auto"/>
            <w:right w:val="none" w:sz="0" w:space="0" w:color="auto"/>
          </w:divBdr>
        </w:div>
        <w:div w:id="890533482">
          <w:marLeft w:val="640"/>
          <w:marRight w:val="0"/>
          <w:marTop w:val="0"/>
          <w:marBottom w:val="0"/>
          <w:divBdr>
            <w:top w:val="none" w:sz="0" w:space="0" w:color="auto"/>
            <w:left w:val="none" w:sz="0" w:space="0" w:color="auto"/>
            <w:bottom w:val="none" w:sz="0" w:space="0" w:color="auto"/>
            <w:right w:val="none" w:sz="0" w:space="0" w:color="auto"/>
          </w:divBdr>
        </w:div>
        <w:div w:id="257955382">
          <w:marLeft w:val="640"/>
          <w:marRight w:val="0"/>
          <w:marTop w:val="0"/>
          <w:marBottom w:val="0"/>
          <w:divBdr>
            <w:top w:val="none" w:sz="0" w:space="0" w:color="auto"/>
            <w:left w:val="none" w:sz="0" w:space="0" w:color="auto"/>
            <w:bottom w:val="none" w:sz="0" w:space="0" w:color="auto"/>
            <w:right w:val="none" w:sz="0" w:space="0" w:color="auto"/>
          </w:divBdr>
        </w:div>
        <w:div w:id="1246380833">
          <w:marLeft w:val="640"/>
          <w:marRight w:val="0"/>
          <w:marTop w:val="0"/>
          <w:marBottom w:val="0"/>
          <w:divBdr>
            <w:top w:val="none" w:sz="0" w:space="0" w:color="auto"/>
            <w:left w:val="none" w:sz="0" w:space="0" w:color="auto"/>
            <w:bottom w:val="none" w:sz="0" w:space="0" w:color="auto"/>
            <w:right w:val="none" w:sz="0" w:space="0" w:color="auto"/>
          </w:divBdr>
        </w:div>
        <w:div w:id="1121727289">
          <w:marLeft w:val="640"/>
          <w:marRight w:val="0"/>
          <w:marTop w:val="0"/>
          <w:marBottom w:val="0"/>
          <w:divBdr>
            <w:top w:val="none" w:sz="0" w:space="0" w:color="auto"/>
            <w:left w:val="none" w:sz="0" w:space="0" w:color="auto"/>
            <w:bottom w:val="none" w:sz="0" w:space="0" w:color="auto"/>
            <w:right w:val="none" w:sz="0" w:space="0" w:color="auto"/>
          </w:divBdr>
        </w:div>
        <w:div w:id="208345561">
          <w:marLeft w:val="640"/>
          <w:marRight w:val="0"/>
          <w:marTop w:val="0"/>
          <w:marBottom w:val="0"/>
          <w:divBdr>
            <w:top w:val="none" w:sz="0" w:space="0" w:color="auto"/>
            <w:left w:val="none" w:sz="0" w:space="0" w:color="auto"/>
            <w:bottom w:val="none" w:sz="0" w:space="0" w:color="auto"/>
            <w:right w:val="none" w:sz="0" w:space="0" w:color="auto"/>
          </w:divBdr>
        </w:div>
        <w:div w:id="280116843">
          <w:marLeft w:val="640"/>
          <w:marRight w:val="0"/>
          <w:marTop w:val="0"/>
          <w:marBottom w:val="0"/>
          <w:divBdr>
            <w:top w:val="none" w:sz="0" w:space="0" w:color="auto"/>
            <w:left w:val="none" w:sz="0" w:space="0" w:color="auto"/>
            <w:bottom w:val="none" w:sz="0" w:space="0" w:color="auto"/>
            <w:right w:val="none" w:sz="0" w:space="0" w:color="auto"/>
          </w:divBdr>
        </w:div>
        <w:div w:id="1079249164">
          <w:marLeft w:val="640"/>
          <w:marRight w:val="0"/>
          <w:marTop w:val="0"/>
          <w:marBottom w:val="0"/>
          <w:divBdr>
            <w:top w:val="none" w:sz="0" w:space="0" w:color="auto"/>
            <w:left w:val="none" w:sz="0" w:space="0" w:color="auto"/>
            <w:bottom w:val="none" w:sz="0" w:space="0" w:color="auto"/>
            <w:right w:val="none" w:sz="0" w:space="0" w:color="auto"/>
          </w:divBdr>
        </w:div>
        <w:div w:id="1001735790">
          <w:marLeft w:val="640"/>
          <w:marRight w:val="0"/>
          <w:marTop w:val="0"/>
          <w:marBottom w:val="0"/>
          <w:divBdr>
            <w:top w:val="none" w:sz="0" w:space="0" w:color="auto"/>
            <w:left w:val="none" w:sz="0" w:space="0" w:color="auto"/>
            <w:bottom w:val="none" w:sz="0" w:space="0" w:color="auto"/>
            <w:right w:val="none" w:sz="0" w:space="0" w:color="auto"/>
          </w:divBdr>
        </w:div>
        <w:div w:id="822544346">
          <w:marLeft w:val="640"/>
          <w:marRight w:val="0"/>
          <w:marTop w:val="0"/>
          <w:marBottom w:val="0"/>
          <w:divBdr>
            <w:top w:val="none" w:sz="0" w:space="0" w:color="auto"/>
            <w:left w:val="none" w:sz="0" w:space="0" w:color="auto"/>
            <w:bottom w:val="none" w:sz="0" w:space="0" w:color="auto"/>
            <w:right w:val="none" w:sz="0" w:space="0" w:color="auto"/>
          </w:divBdr>
        </w:div>
        <w:div w:id="1686714886">
          <w:marLeft w:val="640"/>
          <w:marRight w:val="0"/>
          <w:marTop w:val="0"/>
          <w:marBottom w:val="0"/>
          <w:divBdr>
            <w:top w:val="none" w:sz="0" w:space="0" w:color="auto"/>
            <w:left w:val="none" w:sz="0" w:space="0" w:color="auto"/>
            <w:bottom w:val="none" w:sz="0" w:space="0" w:color="auto"/>
            <w:right w:val="none" w:sz="0" w:space="0" w:color="auto"/>
          </w:divBdr>
        </w:div>
        <w:div w:id="341324578">
          <w:marLeft w:val="640"/>
          <w:marRight w:val="0"/>
          <w:marTop w:val="0"/>
          <w:marBottom w:val="0"/>
          <w:divBdr>
            <w:top w:val="none" w:sz="0" w:space="0" w:color="auto"/>
            <w:left w:val="none" w:sz="0" w:space="0" w:color="auto"/>
            <w:bottom w:val="none" w:sz="0" w:space="0" w:color="auto"/>
            <w:right w:val="none" w:sz="0" w:space="0" w:color="auto"/>
          </w:divBdr>
        </w:div>
        <w:div w:id="926160386">
          <w:marLeft w:val="640"/>
          <w:marRight w:val="0"/>
          <w:marTop w:val="0"/>
          <w:marBottom w:val="0"/>
          <w:divBdr>
            <w:top w:val="none" w:sz="0" w:space="0" w:color="auto"/>
            <w:left w:val="none" w:sz="0" w:space="0" w:color="auto"/>
            <w:bottom w:val="none" w:sz="0" w:space="0" w:color="auto"/>
            <w:right w:val="none" w:sz="0" w:space="0" w:color="auto"/>
          </w:divBdr>
        </w:div>
      </w:divsChild>
    </w:div>
    <w:div w:id="1383361308">
      <w:bodyDiv w:val="1"/>
      <w:marLeft w:val="0"/>
      <w:marRight w:val="0"/>
      <w:marTop w:val="0"/>
      <w:marBottom w:val="0"/>
      <w:divBdr>
        <w:top w:val="none" w:sz="0" w:space="0" w:color="auto"/>
        <w:left w:val="none" w:sz="0" w:space="0" w:color="auto"/>
        <w:bottom w:val="none" w:sz="0" w:space="0" w:color="auto"/>
        <w:right w:val="none" w:sz="0" w:space="0" w:color="auto"/>
      </w:divBdr>
      <w:divsChild>
        <w:div w:id="1784114068">
          <w:marLeft w:val="640"/>
          <w:marRight w:val="0"/>
          <w:marTop w:val="0"/>
          <w:marBottom w:val="0"/>
          <w:divBdr>
            <w:top w:val="none" w:sz="0" w:space="0" w:color="auto"/>
            <w:left w:val="none" w:sz="0" w:space="0" w:color="auto"/>
            <w:bottom w:val="none" w:sz="0" w:space="0" w:color="auto"/>
            <w:right w:val="none" w:sz="0" w:space="0" w:color="auto"/>
          </w:divBdr>
        </w:div>
        <w:div w:id="2010017302">
          <w:marLeft w:val="640"/>
          <w:marRight w:val="0"/>
          <w:marTop w:val="0"/>
          <w:marBottom w:val="0"/>
          <w:divBdr>
            <w:top w:val="none" w:sz="0" w:space="0" w:color="auto"/>
            <w:left w:val="none" w:sz="0" w:space="0" w:color="auto"/>
            <w:bottom w:val="none" w:sz="0" w:space="0" w:color="auto"/>
            <w:right w:val="none" w:sz="0" w:space="0" w:color="auto"/>
          </w:divBdr>
        </w:div>
        <w:div w:id="1888878639">
          <w:marLeft w:val="640"/>
          <w:marRight w:val="0"/>
          <w:marTop w:val="0"/>
          <w:marBottom w:val="0"/>
          <w:divBdr>
            <w:top w:val="none" w:sz="0" w:space="0" w:color="auto"/>
            <w:left w:val="none" w:sz="0" w:space="0" w:color="auto"/>
            <w:bottom w:val="none" w:sz="0" w:space="0" w:color="auto"/>
            <w:right w:val="none" w:sz="0" w:space="0" w:color="auto"/>
          </w:divBdr>
        </w:div>
        <w:div w:id="1331761726">
          <w:marLeft w:val="640"/>
          <w:marRight w:val="0"/>
          <w:marTop w:val="0"/>
          <w:marBottom w:val="0"/>
          <w:divBdr>
            <w:top w:val="none" w:sz="0" w:space="0" w:color="auto"/>
            <w:left w:val="none" w:sz="0" w:space="0" w:color="auto"/>
            <w:bottom w:val="none" w:sz="0" w:space="0" w:color="auto"/>
            <w:right w:val="none" w:sz="0" w:space="0" w:color="auto"/>
          </w:divBdr>
        </w:div>
        <w:div w:id="2011172512">
          <w:marLeft w:val="640"/>
          <w:marRight w:val="0"/>
          <w:marTop w:val="0"/>
          <w:marBottom w:val="0"/>
          <w:divBdr>
            <w:top w:val="none" w:sz="0" w:space="0" w:color="auto"/>
            <w:left w:val="none" w:sz="0" w:space="0" w:color="auto"/>
            <w:bottom w:val="none" w:sz="0" w:space="0" w:color="auto"/>
            <w:right w:val="none" w:sz="0" w:space="0" w:color="auto"/>
          </w:divBdr>
        </w:div>
        <w:div w:id="1768651824">
          <w:marLeft w:val="640"/>
          <w:marRight w:val="0"/>
          <w:marTop w:val="0"/>
          <w:marBottom w:val="0"/>
          <w:divBdr>
            <w:top w:val="none" w:sz="0" w:space="0" w:color="auto"/>
            <w:left w:val="none" w:sz="0" w:space="0" w:color="auto"/>
            <w:bottom w:val="none" w:sz="0" w:space="0" w:color="auto"/>
            <w:right w:val="none" w:sz="0" w:space="0" w:color="auto"/>
          </w:divBdr>
        </w:div>
        <w:div w:id="508374867">
          <w:marLeft w:val="640"/>
          <w:marRight w:val="0"/>
          <w:marTop w:val="0"/>
          <w:marBottom w:val="0"/>
          <w:divBdr>
            <w:top w:val="none" w:sz="0" w:space="0" w:color="auto"/>
            <w:left w:val="none" w:sz="0" w:space="0" w:color="auto"/>
            <w:bottom w:val="none" w:sz="0" w:space="0" w:color="auto"/>
            <w:right w:val="none" w:sz="0" w:space="0" w:color="auto"/>
          </w:divBdr>
        </w:div>
        <w:div w:id="1893540683">
          <w:marLeft w:val="640"/>
          <w:marRight w:val="0"/>
          <w:marTop w:val="0"/>
          <w:marBottom w:val="0"/>
          <w:divBdr>
            <w:top w:val="none" w:sz="0" w:space="0" w:color="auto"/>
            <w:left w:val="none" w:sz="0" w:space="0" w:color="auto"/>
            <w:bottom w:val="none" w:sz="0" w:space="0" w:color="auto"/>
            <w:right w:val="none" w:sz="0" w:space="0" w:color="auto"/>
          </w:divBdr>
        </w:div>
        <w:div w:id="792332128">
          <w:marLeft w:val="640"/>
          <w:marRight w:val="0"/>
          <w:marTop w:val="0"/>
          <w:marBottom w:val="0"/>
          <w:divBdr>
            <w:top w:val="none" w:sz="0" w:space="0" w:color="auto"/>
            <w:left w:val="none" w:sz="0" w:space="0" w:color="auto"/>
            <w:bottom w:val="none" w:sz="0" w:space="0" w:color="auto"/>
            <w:right w:val="none" w:sz="0" w:space="0" w:color="auto"/>
          </w:divBdr>
        </w:div>
        <w:div w:id="757480672">
          <w:marLeft w:val="640"/>
          <w:marRight w:val="0"/>
          <w:marTop w:val="0"/>
          <w:marBottom w:val="0"/>
          <w:divBdr>
            <w:top w:val="none" w:sz="0" w:space="0" w:color="auto"/>
            <w:left w:val="none" w:sz="0" w:space="0" w:color="auto"/>
            <w:bottom w:val="none" w:sz="0" w:space="0" w:color="auto"/>
            <w:right w:val="none" w:sz="0" w:space="0" w:color="auto"/>
          </w:divBdr>
        </w:div>
        <w:div w:id="661591316">
          <w:marLeft w:val="640"/>
          <w:marRight w:val="0"/>
          <w:marTop w:val="0"/>
          <w:marBottom w:val="0"/>
          <w:divBdr>
            <w:top w:val="none" w:sz="0" w:space="0" w:color="auto"/>
            <w:left w:val="none" w:sz="0" w:space="0" w:color="auto"/>
            <w:bottom w:val="none" w:sz="0" w:space="0" w:color="auto"/>
            <w:right w:val="none" w:sz="0" w:space="0" w:color="auto"/>
          </w:divBdr>
        </w:div>
        <w:div w:id="320817358">
          <w:marLeft w:val="640"/>
          <w:marRight w:val="0"/>
          <w:marTop w:val="0"/>
          <w:marBottom w:val="0"/>
          <w:divBdr>
            <w:top w:val="none" w:sz="0" w:space="0" w:color="auto"/>
            <w:left w:val="none" w:sz="0" w:space="0" w:color="auto"/>
            <w:bottom w:val="none" w:sz="0" w:space="0" w:color="auto"/>
            <w:right w:val="none" w:sz="0" w:space="0" w:color="auto"/>
          </w:divBdr>
        </w:div>
        <w:div w:id="580873729">
          <w:marLeft w:val="640"/>
          <w:marRight w:val="0"/>
          <w:marTop w:val="0"/>
          <w:marBottom w:val="0"/>
          <w:divBdr>
            <w:top w:val="none" w:sz="0" w:space="0" w:color="auto"/>
            <w:left w:val="none" w:sz="0" w:space="0" w:color="auto"/>
            <w:bottom w:val="none" w:sz="0" w:space="0" w:color="auto"/>
            <w:right w:val="none" w:sz="0" w:space="0" w:color="auto"/>
          </w:divBdr>
        </w:div>
        <w:div w:id="1246453335">
          <w:marLeft w:val="640"/>
          <w:marRight w:val="0"/>
          <w:marTop w:val="0"/>
          <w:marBottom w:val="0"/>
          <w:divBdr>
            <w:top w:val="none" w:sz="0" w:space="0" w:color="auto"/>
            <w:left w:val="none" w:sz="0" w:space="0" w:color="auto"/>
            <w:bottom w:val="none" w:sz="0" w:space="0" w:color="auto"/>
            <w:right w:val="none" w:sz="0" w:space="0" w:color="auto"/>
          </w:divBdr>
        </w:div>
        <w:div w:id="1930961175">
          <w:marLeft w:val="640"/>
          <w:marRight w:val="0"/>
          <w:marTop w:val="0"/>
          <w:marBottom w:val="0"/>
          <w:divBdr>
            <w:top w:val="none" w:sz="0" w:space="0" w:color="auto"/>
            <w:left w:val="none" w:sz="0" w:space="0" w:color="auto"/>
            <w:bottom w:val="none" w:sz="0" w:space="0" w:color="auto"/>
            <w:right w:val="none" w:sz="0" w:space="0" w:color="auto"/>
          </w:divBdr>
        </w:div>
        <w:div w:id="589588435">
          <w:marLeft w:val="640"/>
          <w:marRight w:val="0"/>
          <w:marTop w:val="0"/>
          <w:marBottom w:val="0"/>
          <w:divBdr>
            <w:top w:val="none" w:sz="0" w:space="0" w:color="auto"/>
            <w:left w:val="none" w:sz="0" w:space="0" w:color="auto"/>
            <w:bottom w:val="none" w:sz="0" w:space="0" w:color="auto"/>
            <w:right w:val="none" w:sz="0" w:space="0" w:color="auto"/>
          </w:divBdr>
        </w:div>
      </w:divsChild>
    </w:div>
    <w:div w:id="1457020615">
      <w:bodyDiv w:val="1"/>
      <w:marLeft w:val="0"/>
      <w:marRight w:val="0"/>
      <w:marTop w:val="0"/>
      <w:marBottom w:val="0"/>
      <w:divBdr>
        <w:top w:val="none" w:sz="0" w:space="0" w:color="auto"/>
        <w:left w:val="none" w:sz="0" w:space="0" w:color="auto"/>
        <w:bottom w:val="none" w:sz="0" w:space="0" w:color="auto"/>
        <w:right w:val="none" w:sz="0" w:space="0" w:color="auto"/>
      </w:divBdr>
      <w:divsChild>
        <w:div w:id="1386639903">
          <w:marLeft w:val="640"/>
          <w:marRight w:val="0"/>
          <w:marTop w:val="0"/>
          <w:marBottom w:val="0"/>
          <w:divBdr>
            <w:top w:val="none" w:sz="0" w:space="0" w:color="auto"/>
            <w:left w:val="none" w:sz="0" w:space="0" w:color="auto"/>
            <w:bottom w:val="none" w:sz="0" w:space="0" w:color="auto"/>
            <w:right w:val="none" w:sz="0" w:space="0" w:color="auto"/>
          </w:divBdr>
        </w:div>
        <w:div w:id="443233847">
          <w:marLeft w:val="640"/>
          <w:marRight w:val="0"/>
          <w:marTop w:val="0"/>
          <w:marBottom w:val="0"/>
          <w:divBdr>
            <w:top w:val="none" w:sz="0" w:space="0" w:color="auto"/>
            <w:left w:val="none" w:sz="0" w:space="0" w:color="auto"/>
            <w:bottom w:val="none" w:sz="0" w:space="0" w:color="auto"/>
            <w:right w:val="none" w:sz="0" w:space="0" w:color="auto"/>
          </w:divBdr>
        </w:div>
        <w:div w:id="1295139546">
          <w:marLeft w:val="640"/>
          <w:marRight w:val="0"/>
          <w:marTop w:val="0"/>
          <w:marBottom w:val="0"/>
          <w:divBdr>
            <w:top w:val="none" w:sz="0" w:space="0" w:color="auto"/>
            <w:left w:val="none" w:sz="0" w:space="0" w:color="auto"/>
            <w:bottom w:val="none" w:sz="0" w:space="0" w:color="auto"/>
            <w:right w:val="none" w:sz="0" w:space="0" w:color="auto"/>
          </w:divBdr>
        </w:div>
        <w:div w:id="2040012293">
          <w:marLeft w:val="640"/>
          <w:marRight w:val="0"/>
          <w:marTop w:val="0"/>
          <w:marBottom w:val="0"/>
          <w:divBdr>
            <w:top w:val="none" w:sz="0" w:space="0" w:color="auto"/>
            <w:left w:val="none" w:sz="0" w:space="0" w:color="auto"/>
            <w:bottom w:val="none" w:sz="0" w:space="0" w:color="auto"/>
            <w:right w:val="none" w:sz="0" w:space="0" w:color="auto"/>
          </w:divBdr>
        </w:div>
        <w:div w:id="173736936">
          <w:marLeft w:val="640"/>
          <w:marRight w:val="0"/>
          <w:marTop w:val="0"/>
          <w:marBottom w:val="0"/>
          <w:divBdr>
            <w:top w:val="none" w:sz="0" w:space="0" w:color="auto"/>
            <w:left w:val="none" w:sz="0" w:space="0" w:color="auto"/>
            <w:bottom w:val="none" w:sz="0" w:space="0" w:color="auto"/>
            <w:right w:val="none" w:sz="0" w:space="0" w:color="auto"/>
          </w:divBdr>
        </w:div>
        <w:div w:id="1679191374">
          <w:marLeft w:val="640"/>
          <w:marRight w:val="0"/>
          <w:marTop w:val="0"/>
          <w:marBottom w:val="0"/>
          <w:divBdr>
            <w:top w:val="none" w:sz="0" w:space="0" w:color="auto"/>
            <w:left w:val="none" w:sz="0" w:space="0" w:color="auto"/>
            <w:bottom w:val="none" w:sz="0" w:space="0" w:color="auto"/>
            <w:right w:val="none" w:sz="0" w:space="0" w:color="auto"/>
          </w:divBdr>
        </w:div>
        <w:div w:id="1337078671">
          <w:marLeft w:val="640"/>
          <w:marRight w:val="0"/>
          <w:marTop w:val="0"/>
          <w:marBottom w:val="0"/>
          <w:divBdr>
            <w:top w:val="none" w:sz="0" w:space="0" w:color="auto"/>
            <w:left w:val="none" w:sz="0" w:space="0" w:color="auto"/>
            <w:bottom w:val="none" w:sz="0" w:space="0" w:color="auto"/>
            <w:right w:val="none" w:sz="0" w:space="0" w:color="auto"/>
          </w:divBdr>
        </w:div>
        <w:div w:id="1956524682">
          <w:marLeft w:val="640"/>
          <w:marRight w:val="0"/>
          <w:marTop w:val="0"/>
          <w:marBottom w:val="0"/>
          <w:divBdr>
            <w:top w:val="none" w:sz="0" w:space="0" w:color="auto"/>
            <w:left w:val="none" w:sz="0" w:space="0" w:color="auto"/>
            <w:bottom w:val="none" w:sz="0" w:space="0" w:color="auto"/>
            <w:right w:val="none" w:sz="0" w:space="0" w:color="auto"/>
          </w:divBdr>
        </w:div>
        <w:div w:id="981272700">
          <w:marLeft w:val="640"/>
          <w:marRight w:val="0"/>
          <w:marTop w:val="0"/>
          <w:marBottom w:val="0"/>
          <w:divBdr>
            <w:top w:val="none" w:sz="0" w:space="0" w:color="auto"/>
            <w:left w:val="none" w:sz="0" w:space="0" w:color="auto"/>
            <w:bottom w:val="none" w:sz="0" w:space="0" w:color="auto"/>
            <w:right w:val="none" w:sz="0" w:space="0" w:color="auto"/>
          </w:divBdr>
        </w:div>
        <w:div w:id="903754537">
          <w:marLeft w:val="640"/>
          <w:marRight w:val="0"/>
          <w:marTop w:val="0"/>
          <w:marBottom w:val="0"/>
          <w:divBdr>
            <w:top w:val="none" w:sz="0" w:space="0" w:color="auto"/>
            <w:left w:val="none" w:sz="0" w:space="0" w:color="auto"/>
            <w:bottom w:val="none" w:sz="0" w:space="0" w:color="auto"/>
            <w:right w:val="none" w:sz="0" w:space="0" w:color="auto"/>
          </w:divBdr>
        </w:div>
        <w:div w:id="731543070">
          <w:marLeft w:val="640"/>
          <w:marRight w:val="0"/>
          <w:marTop w:val="0"/>
          <w:marBottom w:val="0"/>
          <w:divBdr>
            <w:top w:val="none" w:sz="0" w:space="0" w:color="auto"/>
            <w:left w:val="none" w:sz="0" w:space="0" w:color="auto"/>
            <w:bottom w:val="none" w:sz="0" w:space="0" w:color="auto"/>
            <w:right w:val="none" w:sz="0" w:space="0" w:color="auto"/>
          </w:divBdr>
        </w:div>
        <w:div w:id="1096251544">
          <w:marLeft w:val="640"/>
          <w:marRight w:val="0"/>
          <w:marTop w:val="0"/>
          <w:marBottom w:val="0"/>
          <w:divBdr>
            <w:top w:val="none" w:sz="0" w:space="0" w:color="auto"/>
            <w:left w:val="none" w:sz="0" w:space="0" w:color="auto"/>
            <w:bottom w:val="none" w:sz="0" w:space="0" w:color="auto"/>
            <w:right w:val="none" w:sz="0" w:space="0" w:color="auto"/>
          </w:divBdr>
        </w:div>
        <w:div w:id="257837344">
          <w:marLeft w:val="640"/>
          <w:marRight w:val="0"/>
          <w:marTop w:val="0"/>
          <w:marBottom w:val="0"/>
          <w:divBdr>
            <w:top w:val="none" w:sz="0" w:space="0" w:color="auto"/>
            <w:left w:val="none" w:sz="0" w:space="0" w:color="auto"/>
            <w:bottom w:val="none" w:sz="0" w:space="0" w:color="auto"/>
            <w:right w:val="none" w:sz="0" w:space="0" w:color="auto"/>
          </w:divBdr>
        </w:div>
        <w:div w:id="1491100747">
          <w:marLeft w:val="640"/>
          <w:marRight w:val="0"/>
          <w:marTop w:val="0"/>
          <w:marBottom w:val="0"/>
          <w:divBdr>
            <w:top w:val="none" w:sz="0" w:space="0" w:color="auto"/>
            <w:left w:val="none" w:sz="0" w:space="0" w:color="auto"/>
            <w:bottom w:val="none" w:sz="0" w:space="0" w:color="auto"/>
            <w:right w:val="none" w:sz="0" w:space="0" w:color="auto"/>
          </w:divBdr>
        </w:div>
        <w:div w:id="337318981">
          <w:marLeft w:val="640"/>
          <w:marRight w:val="0"/>
          <w:marTop w:val="0"/>
          <w:marBottom w:val="0"/>
          <w:divBdr>
            <w:top w:val="none" w:sz="0" w:space="0" w:color="auto"/>
            <w:left w:val="none" w:sz="0" w:space="0" w:color="auto"/>
            <w:bottom w:val="none" w:sz="0" w:space="0" w:color="auto"/>
            <w:right w:val="none" w:sz="0" w:space="0" w:color="auto"/>
          </w:divBdr>
        </w:div>
        <w:div w:id="386681570">
          <w:marLeft w:val="640"/>
          <w:marRight w:val="0"/>
          <w:marTop w:val="0"/>
          <w:marBottom w:val="0"/>
          <w:divBdr>
            <w:top w:val="none" w:sz="0" w:space="0" w:color="auto"/>
            <w:left w:val="none" w:sz="0" w:space="0" w:color="auto"/>
            <w:bottom w:val="none" w:sz="0" w:space="0" w:color="auto"/>
            <w:right w:val="none" w:sz="0" w:space="0" w:color="auto"/>
          </w:divBdr>
        </w:div>
      </w:divsChild>
    </w:div>
    <w:div w:id="1545828667">
      <w:bodyDiv w:val="1"/>
      <w:marLeft w:val="0"/>
      <w:marRight w:val="0"/>
      <w:marTop w:val="0"/>
      <w:marBottom w:val="0"/>
      <w:divBdr>
        <w:top w:val="none" w:sz="0" w:space="0" w:color="auto"/>
        <w:left w:val="none" w:sz="0" w:space="0" w:color="auto"/>
        <w:bottom w:val="none" w:sz="0" w:space="0" w:color="auto"/>
        <w:right w:val="none" w:sz="0" w:space="0" w:color="auto"/>
      </w:divBdr>
      <w:divsChild>
        <w:div w:id="705103831">
          <w:marLeft w:val="0"/>
          <w:marRight w:val="0"/>
          <w:marTop w:val="0"/>
          <w:marBottom w:val="0"/>
          <w:divBdr>
            <w:top w:val="none" w:sz="0" w:space="0" w:color="auto"/>
            <w:left w:val="none" w:sz="0" w:space="0" w:color="auto"/>
            <w:bottom w:val="none" w:sz="0" w:space="0" w:color="auto"/>
            <w:right w:val="none" w:sz="0" w:space="0" w:color="auto"/>
          </w:divBdr>
        </w:div>
        <w:div w:id="464351909">
          <w:marLeft w:val="0"/>
          <w:marRight w:val="0"/>
          <w:marTop w:val="0"/>
          <w:marBottom w:val="0"/>
          <w:divBdr>
            <w:top w:val="none" w:sz="0" w:space="0" w:color="auto"/>
            <w:left w:val="none" w:sz="0" w:space="0" w:color="auto"/>
            <w:bottom w:val="none" w:sz="0" w:space="0" w:color="auto"/>
            <w:right w:val="none" w:sz="0" w:space="0" w:color="auto"/>
          </w:divBdr>
        </w:div>
        <w:div w:id="10377756">
          <w:marLeft w:val="0"/>
          <w:marRight w:val="0"/>
          <w:marTop w:val="0"/>
          <w:marBottom w:val="0"/>
          <w:divBdr>
            <w:top w:val="none" w:sz="0" w:space="0" w:color="auto"/>
            <w:left w:val="none" w:sz="0" w:space="0" w:color="auto"/>
            <w:bottom w:val="none" w:sz="0" w:space="0" w:color="auto"/>
            <w:right w:val="none" w:sz="0" w:space="0" w:color="auto"/>
          </w:divBdr>
        </w:div>
        <w:div w:id="990214789">
          <w:marLeft w:val="0"/>
          <w:marRight w:val="0"/>
          <w:marTop w:val="0"/>
          <w:marBottom w:val="0"/>
          <w:divBdr>
            <w:top w:val="none" w:sz="0" w:space="0" w:color="auto"/>
            <w:left w:val="none" w:sz="0" w:space="0" w:color="auto"/>
            <w:bottom w:val="none" w:sz="0" w:space="0" w:color="auto"/>
            <w:right w:val="none" w:sz="0" w:space="0" w:color="auto"/>
          </w:divBdr>
        </w:div>
        <w:div w:id="741147960">
          <w:marLeft w:val="0"/>
          <w:marRight w:val="0"/>
          <w:marTop w:val="0"/>
          <w:marBottom w:val="0"/>
          <w:divBdr>
            <w:top w:val="none" w:sz="0" w:space="0" w:color="auto"/>
            <w:left w:val="none" w:sz="0" w:space="0" w:color="auto"/>
            <w:bottom w:val="none" w:sz="0" w:space="0" w:color="auto"/>
            <w:right w:val="none" w:sz="0" w:space="0" w:color="auto"/>
          </w:divBdr>
        </w:div>
        <w:div w:id="1541891100">
          <w:marLeft w:val="0"/>
          <w:marRight w:val="0"/>
          <w:marTop w:val="0"/>
          <w:marBottom w:val="0"/>
          <w:divBdr>
            <w:top w:val="none" w:sz="0" w:space="0" w:color="auto"/>
            <w:left w:val="none" w:sz="0" w:space="0" w:color="auto"/>
            <w:bottom w:val="none" w:sz="0" w:space="0" w:color="auto"/>
            <w:right w:val="none" w:sz="0" w:space="0" w:color="auto"/>
          </w:divBdr>
        </w:div>
        <w:div w:id="569462344">
          <w:marLeft w:val="0"/>
          <w:marRight w:val="0"/>
          <w:marTop w:val="0"/>
          <w:marBottom w:val="0"/>
          <w:divBdr>
            <w:top w:val="none" w:sz="0" w:space="0" w:color="auto"/>
            <w:left w:val="none" w:sz="0" w:space="0" w:color="auto"/>
            <w:bottom w:val="none" w:sz="0" w:space="0" w:color="auto"/>
            <w:right w:val="none" w:sz="0" w:space="0" w:color="auto"/>
          </w:divBdr>
        </w:div>
        <w:div w:id="1789466733">
          <w:marLeft w:val="0"/>
          <w:marRight w:val="0"/>
          <w:marTop w:val="0"/>
          <w:marBottom w:val="0"/>
          <w:divBdr>
            <w:top w:val="none" w:sz="0" w:space="0" w:color="auto"/>
            <w:left w:val="none" w:sz="0" w:space="0" w:color="auto"/>
            <w:bottom w:val="none" w:sz="0" w:space="0" w:color="auto"/>
            <w:right w:val="none" w:sz="0" w:space="0" w:color="auto"/>
          </w:divBdr>
        </w:div>
        <w:div w:id="1457412660">
          <w:marLeft w:val="0"/>
          <w:marRight w:val="0"/>
          <w:marTop w:val="0"/>
          <w:marBottom w:val="0"/>
          <w:divBdr>
            <w:top w:val="none" w:sz="0" w:space="0" w:color="auto"/>
            <w:left w:val="none" w:sz="0" w:space="0" w:color="auto"/>
            <w:bottom w:val="none" w:sz="0" w:space="0" w:color="auto"/>
            <w:right w:val="none" w:sz="0" w:space="0" w:color="auto"/>
          </w:divBdr>
        </w:div>
        <w:div w:id="1996258078">
          <w:marLeft w:val="0"/>
          <w:marRight w:val="0"/>
          <w:marTop w:val="0"/>
          <w:marBottom w:val="0"/>
          <w:divBdr>
            <w:top w:val="none" w:sz="0" w:space="0" w:color="auto"/>
            <w:left w:val="none" w:sz="0" w:space="0" w:color="auto"/>
            <w:bottom w:val="none" w:sz="0" w:space="0" w:color="auto"/>
            <w:right w:val="none" w:sz="0" w:space="0" w:color="auto"/>
          </w:divBdr>
        </w:div>
        <w:div w:id="2123379654">
          <w:marLeft w:val="0"/>
          <w:marRight w:val="0"/>
          <w:marTop w:val="0"/>
          <w:marBottom w:val="0"/>
          <w:divBdr>
            <w:top w:val="none" w:sz="0" w:space="0" w:color="auto"/>
            <w:left w:val="none" w:sz="0" w:space="0" w:color="auto"/>
            <w:bottom w:val="none" w:sz="0" w:space="0" w:color="auto"/>
            <w:right w:val="none" w:sz="0" w:space="0" w:color="auto"/>
          </w:divBdr>
        </w:div>
        <w:div w:id="673385414">
          <w:marLeft w:val="0"/>
          <w:marRight w:val="0"/>
          <w:marTop w:val="0"/>
          <w:marBottom w:val="0"/>
          <w:divBdr>
            <w:top w:val="none" w:sz="0" w:space="0" w:color="auto"/>
            <w:left w:val="none" w:sz="0" w:space="0" w:color="auto"/>
            <w:bottom w:val="none" w:sz="0" w:space="0" w:color="auto"/>
            <w:right w:val="none" w:sz="0" w:space="0" w:color="auto"/>
          </w:divBdr>
        </w:div>
        <w:div w:id="297496225">
          <w:marLeft w:val="0"/>
          <w:marRight w:val="0"/>
          <w:marTop w:val="0"/>
          <w:marBottom w:val="0"/>
          <w:divBdr>
            <w:top w:val="none" w:sz="0" w:space="0" w:color="auto"/>
            <w:left w:val="none" w:sz="0" w:space="0" w:color="auto"/>
            <w:bottom w:val="none" w:sz="0" w:space="0" w:color="auto"/>
            <w:right w:val="none" w:sz="0" w:space="0" w:color="auto"/>
          </w:divBdr>
        </w:div>
        <w:div w:id="78449115">
          <w:marLeft w:val="0"/>
          <w:marRight w:val="0"/>
          <w:marTop w:val="0"/>
          <w:marBottom w:val="0"/>
          <w:divBdr>
            <w:top w:val="none" w:sz="0" w:space="0" w:color="auto"/>
            <w:left w:val="none" w:sz="0" w:space="0" w:color="auto"/>
            <w:bottom w:val="none" w:sz="0" w:space="0" w:color="auto"/>
            <w:right w:val="none" w:sz="0" w:space="0" w:color="auto"/>
          </w:divBdr>
        </w:div>
        <w:div w:id="173151698">
          <w:marLeft w:val="0"/>
          <w:marRight w:val="0"/>
          <w:marTop w:val="0"/>
          <w:marBottom w:val="0"/>
          <w:divBdr>
            <w:top w:val="none" w:sz="0" w:space="0" w:color="auto"/>
            <w:left w:val="none" w:sz="0" w:space="0" w:color="auto"/>
            <w:bottom w:val="none" w:sz="0" w:space="0" w:color="auto"/>
            <w:right w:val="none" w:sz="0" w:space="0" w:color="auto"/>
          </w:divBdr>
        </w:div>
        <w:div w:id="1568833410">
          <w:marLeft w:val="0"/>
          <w:marRight w:val="0"/>
          <w:marTop w:val="0"/>
          <w:marBottom w:val="0"/>
          <w:divBdr>
            <w:top w:val="none" w:sz="0" w:space="0" w:color="auto"/>
            <w:left w:val="none" w:sz="0" w:space="0" w:color="auto"/>
            <w:bottom w:val="none" w:sz="0" w:space="0" w:color="auto"/>
            <w:right w:val="none" w:sz="0" w:space="0" w:color="auto"/>
          </w:divBdr>
        </w:div>
      </w:divsChild>
    </w:div>
    <w:div w:id="1881014724">
      <w:bodyDiv w:val="1"/>
      <w:marLeft w:val="0"/>
      <w:marRight w:val="0"/>
      <w:marTop w:val="0"/>
      <w:marBottom w:val="0"/>
      <w:divBdr>
        <w:top w:val="none" w:sz="0" w:space="0" w:color="auto"/>
        <w:left w:val="none" w:sz="0" w:space="0" w:color="auto"/>
        <w:bottom w:val="none" w:sz="0" w:space="0" w:color="auto"/>
        <w:right w:val="none" w:sz="0" w:space="0" w:color="auto"/>
      </w:divBdr>
      <w:divsChild>
        <w:div w:id="1483964371">
          <w:marLeft w:val="0"/>
          <w:marRight w:val="0"/>
          <w:marTop w:val="0"/>
          <w:marBottom w:val="0"/>
          <w:divBdr>
            <w:top w:val="none" w:sz="0" w:space="0" w:color="auto"/>
            <w:left w:val="none" w:sz="0" w:space="0" w:color="auto"/>
            <w:bottom w:val="none" w:sz="0" w:space="0" w:color="auto"/>
            <w:right w:val="none" w:sz="0" w:space="0" w:color="auto"/>
          </w:divBdr>
          <w:divsChild>
            <w:div w:id="956913739">
              <w:marLeft w:val="0"/>
              <w:marRight w:val="0"/>
              <w:marTop w:val="0"/>
              <w:marBottom w:val="0"/>
              <w:divBdr>
                <w:top w:val="none" w:sz="0" w:space="0" w:color="auto"/>
                <w:left w:val="none" w:sz="0" w:space="0" w:color="auto"/>
                <w:bottom w:val="none" w:sz="0" w:space="0" w:color="auto"/>
                <w:right w:val="none" w:sz="0" w:space="0" w:color="auto"/>
              </w:divBdr>
              <w:divsChild>
                <w:div w:id="121777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178413">
      <w:bodyDiv w:val="1"/>
      <w:marLeft w:val="0"/>
      <w:marRight w:val="0"/>
      <w:marTop w:val="0"/>
      <w:marBottom w:val="0"/>
      <w:divBdr>
        <w:top w:val="none" w:sz="0" w:space="0" w:color="auto"/>
        <w:left w:val="none" w:sz="0" w:space="0" w:color="auto"/>
        <w:bottom w:val="none" w:sz="0" w:space="0" w:color="auto"/>
        <w:right w:val="none" w:sz="0" w:space="0" w:color="auto"/>
      </w:divBdr>
      <w:divsChild>
        <w:div w:id="1154680794">
          <w:marLeft w:val="0"/>
          <w:marRight w:val="0"/>
          <w:marTop w:val="0"/>
          <w:marBottom w:val="0"/>
          <w:divBdr>
            <w:top w:val="none" w:sz="0" w:space="0" w:color="auto"/>
            <w:left w:val="none" w:sz="0" w:space="0" w:color="auto"/>
            <w:bottom w:val="none" w:sz="0" w:space="0" w:color="auto"/>
            <w:right w:val="none" w:sz="0" w:space="0" w:color="auto"/>
          </w:divBdr>
        </w:div>
        <w:div w:id="1284537468">
          <w:marLeft w:val="0"/>
          <w:marRight w:val="0"/>
          <w:marTop w:val="0"/>
          <w:marBottom w:val="0"/>
          <w:divBdr>
            <w:top w:val="none" w:sz="0" w:space="0" w:color="auto"/>
            <w:left w:val="none" w:sz="0" w:space="0" w:color="auto"/>
            <w:bottom w:val="none" w:sz="0" w:space="0" w:color="auto"/>
            <w:right w:val="none" w:sz="0" w:space="0" w:color="auto"/>
          </w:divBdr>
        </w:div>
        <w:div w:id="2047410705">
          <w:marLeft w:val="0"/>
          <w:marRight w:val="0"/>
          <w:marTop w:val="0"/>
          <w:marBottom w:val="0"/>
          <w:divBdr>
            <w:top w:val="none" w:sz="0" w:space="0" w:color="auto"/>
            <w:left w:val="none" w:sz="0" w:space="0" w:color="auto"/>
            <w:bottom w:val="none" w:sz="0" w:space="0" w:color="auto"/>
            <w:right w:val="none" w:sz="0" w:space="0" w:color="auto"/>
          </w:divBdr>
        </w:div>
        <w:div w:id="1208226520">
          <w:marLeft w:val="0"/>
          <w:marRight w:val="0"/>
          <w:marTop w:val="0"/>
          <w:marBottom w:val="0"/>
          <w:divBdr>
            <w:top w:val="none" w:sz="0" w:space="0" w:color="auto"/>
            <w:left w:val="none" w:sz="0" w:space="0" w:color="auto"/>
            <w:bottom w:val="none" w:sz="0" w:space="0" w:color="auto"/>
            <w:right w:val="none" w:sz="0" w:space="0" w:color="auto"/>
          </w:divBdr>
        </w:div>
        <w:div w:id="1519389441">
          <w:marLeft w:val="0"/>
          <w:marRight w:val="0"/>
          <w:marTop w:val="0"/>
          <w:marBottom w:val="0"/>
          <w:divBdr>
            <w:top w:val="none" w:sz="0" w:space="0" w:color="auto"/>
            <w:left w:val="none" w:sz="0" w:space="0" w:color="auto"/>
            <w:bottom w:val="none" w:sz="0" w:space="0" w:color="auto"/>
            <w:right w:val="none" w:sz="0" w:space="0" w:color="auto"/>
          </w:divBdr>
        </w:div>
        <w:div w:id="2089616924">
          <w:marLeft w:val="0"/>
          <w:marRight w:val="0"/>
          <w:marTop w:val="0"/>
          <w:marBottom w:val="0"/>
          <w:divBdr>
            <w:top w:val="none" w:sz="0" w:space="0" w:color="auto"/>
            <w:left w:val="none" w:sz="0" w:space="0" w:color="auto"/>
            <w:bottom w:val="none" w:sz="0" w:space="0" w:color="auto"/>
            <w:right w:val="none" w:sz="0" w:space="0" w:color="auto"/>
          </w:divBdr>
        </w:div>
        <w:div w:id="1639452036">
          <w:marLeft w:val="0"/>
          <w:marRight w:val="0"/>
          <w:marTop w:val="0"/>
          <w:marBottom w:val="0"/>
          <w:divBdr>
            <w:top w:val="none" w:sz="0" w:space="0" w:color="auto"/>
            <w:left w:val="none" w:sz="0" w:space="0" w:color="auto"/>
            <w:bottom w:val="none" w:sz="0" w:space="0" w:color="auto"/>
            <w:right w:val="none" w:sz="0" w:space="0" w:color="auto"/>
          </w:divBdr>
        </w:div>
        <w:div w:id="1015157274">
          <w:marLeft w:val="0"/>
          <w:marRight w:val="0"/>
          <w:marTop w:val="0"/>
          <w:marBottom w:val="0"/>
          <w:divBdr>
            <w:top w:val="none" w:sz="0" w:space="0" w:color="auto"/>
            <w:left w:val="none" w:sz="0" w:space="0" w:color="auto"/>
            <w:bottom w:val="none" w:sz="0" w:space="0" w:color="auto"/>
            <w:right w:val="none" w:sz="0" w:space="0" w:color="auto"/>
          </w:divBdr>
        </w:div>
        <w:div w:id="648174886">
          <w:marLeft w:val="0"/>
          <w:marRight w:val="0"/>
          <w:marTop w:val="0"/>
          <w:marBottom w:val="0"/>
          <w:divBdr>
            <w:top w:val="none" w:sz="0" w:space="0" w:color="auto"/>
            <w:left w:val="none" w:sz="0" w:space="0" w:color="auto"/>
            <w:bottom w:val="none" w:sz="0" w:space="0" w:color="auto"/>
            <w:right w:val="none" w:sz="0" w:space="0" w:color="auto"/>
          </w:divBdr>
        </w:div>
        <w:div w:id="1806121010">
          <w:marLeft w:val="0"/>
          <w:marRight w:val="0"/>
          <w:marTop w:val="0"/>
          <w:marBottom w:val="0"/>
          <w:divBdr>
            <w:top w:val="none" w:sz="0" w:space="0" w:color="auto"/>
            <w:left w:val="none" w:sz="0" w:space="0" w:color="auto"/>
            <w:bottom w:val="none" w:sz="0" w:space="0" w:color="auto"/>
            <w:right w:val="none" w:sz="0" w:space="0" w:color="auto"/>
          </w:divBdr>
        </w:div>
        <w:div w:id="49112162">
          <w:marLeft w:val="0"/>
          <w:marRight w:val="0"/>
          <w:marTop w:val="0"/>
          <w:marBottom w:val="0"/>
          <w:divBdr>
            <w:top w:val="none" w:sz="0" w:space="0" w:color="auto"/>
            <w:left w:val="none" w:sz="0" w:space="0" w:color="auto"/>
            <w:bottom w:val="none" w:sz="0" w:space="0" w:color="auto"/>
            <w:right w:val="none" w:sz="0" w:space="0" w:color="auto"/>
          </w:divBdr>
        </w:div>
        <w:div w:id="1048607224">
          <w:marLeft w:val="0"/>
          <w:marRight w:val="0"/>
          <w:marTop w:val="0"/>
          <w:marBottom w:val="0"/>
          <w:divBdr>
            <w:top w:val="none" w:sz="0" w:space="0" w:color="auto"/>
            <w:left w:val="none" w:sz="0" w:space="0" w:color="auto"/>
            <w:bottom w:val="none" w:sz="0" w:space="0" w:color="auto"/>
            <w:right w:val="none" w:sz="0" w:space="0" w:color="auto"/>
          </w:divBdr>
        </w:div>
        <w:div w:id="1663503545">
          <w:marLeft w:val="0"/>
          <w:marRight w:val="0"/>
          <w:marTop w:val="0"/>
          <w:marBottom w:val="0"/>
          <w:divBdr>
            <w:top w:val="none" w:sz="0" w:space="0" w:color="auto"/>
            <w:left w:val="none" w:sz="0" w:space="0" w:color="auto"/>
            <w:bottom w:val="none" w:sz="0" w:space="0" w:color="auto"/>
            <w:right w:val="none" w:sz="0" w:space="0" w:color="auto"/>
          </w:divBdr>
        </w:div>
        <w:div w:id="1400247978">
          <w:marLeft w:val="0"/>
          <w:marRight w:val="0"/>
          <w:marTop w:val="0"/>
          <w:marBottom w:val="0"/>
          <w:divBdr>
            <w:top w:val="none" w:sz="0" w:space="0" w:color="auto"/>
            <w:left w:val="none" w:sz="0" w:space="0" w:color="auto"/>
            <w:bottom w:val="none" w:sz="0" w:space="0" w:color="auto"/>
            <w:right w:val="none" w:sz="0" w:space="0" w:color="auto"/>
          </w:divBdr>
        </w:div>
        <w:div w:id="705717942">
          <w:marLeft w:val="0"/>
          <w:marRight w:val="0"/>
          <w:marTop w:val="0"/>
          <w:marBottom w:val="0"/>
          <w:divBdr>
            <w:top w:val="none" w:sz="0" w:space="0" w:color="auto"/>
            <w:left w:val="none" w:sz="0" w:space="0" w:color="auto"/>
            <w:bottom w:val="none" w:sz="0" w:space="0" w:color="auto"/>
            <w:right w:val="none" w:sz="0" w:space="0" w:color="auto"/>
          </w:divBdr>
        </w:div>
        <w:div w:id="61421723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hyperlink" Target="mailto:silviapaola.caminiti@unipv.it"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C660B6E7644444508D3BA60292E73839"/>
        <w:category>
          <w:name w:val="Generale"/>
          <w:gallery w:val="placeholder"/>
        </w:category>
        <w:types>
          <w:type w:val="bbPlcHdr"/>
        </w:types>
        <w:behaviors>
          <w:behavior w:val="content"/>
        </w:behaviors>
        <w:guid w:val="{9C76542E-50B7-4D27-85B4-37766C7C9E1E}"/>
      </w:docPartPr>
      <w:docPartBody>
        <w:p w:rsidR="00632790" w:rsidRDefault="00007DD6" w:rsidP="00007DD6">
          <w:pPr>
            <w:pStyle w:val="C660B6E7644444508D3BA60292E73839"/>
          </w:pPr>
          <w:r w:rsidRPr="0014248A">
            <w:rPr>
              <w:rStyle w:val="Testosegnaposto"/>
            </w:rPr>
            <w:t>Fare clic o toccare qui per immettere il testo.</w:t>
          </w:r>
        </w:p>
      </w:docPartBody>
    </w:docPart>
    <w:docPart>
      <w:docPartPr>
        <w:name w:val="782F20D0BD734202A7B482E3C1933D7E"/>
        <w:category>
          <w:name w:val="Generale"/>
          <w:gallery w:val="placeholder"/>
        </w:category>
        <w:types>
          <w:type w:val="bbPlcHdr"/>
        </w:types>
        <w:behaviors>
          <w:behavior w:val="content"/>
        </w:behaviors>
        <w:guid w:val="{2B846B49-6B17-40DE-9886-9EA97B8CB4B9}"/>
      </w:docPartPr>
      <w:docPartBody>
        <w:p w:rsidR="00AA4BE3" w:rsidRDefault="00632790" w:rsidP="00632790">
          <w:pPr>
            <w:pStyle w:val="782F20D0BD734202A7B482E3C1933D7E"/>
          </w:pPr>
          <w:r w:rsidRPr="0014248A">
            <w:rPr>
              <w:rStyle w:val="Testosegnaposto"/>
            </w:rPr>
            <w:t>Fare clic o toccare qui per immettere il testo.</w:t>
          </w:r>
        </w:p>
      </w:docPartBody>
    </w:docPart>
    <w:docPart>
      <w:docPartPr>
        <w:name w:val="DefaultPlaceholder_-1854013440"/>
        <w:category>
          <w:name w:val="Generale"/>
          <w:gallery w:val="placeholder"/>
        </w:category>
        <w:types>
          <w:type w:val="bbPlcHdr"/>
        </w:types>
        <w:behaviors>
          <w:behavior w:val="content"/>
        </w:behaviors>
        <w:guid w:val="{28F69E3A-62D3-9747-8BC2-3278501BC9E3}"/>
      </w:docPartPr>
      <w:docPartBody>
        <w:p w:rsidR="00676077" w:rsidRDefault="00AA4BE3">
          <w:r w:rsidRPr="00F01E77">
            <w:rPr>
              <w:rStyle w:val="Testosegnaposto"/>
            </w:rPr>
            <w:t>Fare clic o toccare qui per immettere il testo.</w:t>
          </w:r>
        </w:p>
      </w:docPartBody>
    </w:docPart>
    <w:docPart>
      <w:docPartPr>
        <w:name w:val="3F4CA6B40127454FB4592FFE3E9D4969"/>
        <w:category>
          <w:name w:val="Generale"/>
          <w:gallery w:val="placeholder"/>
        </w:category>
        <w:types>
          <w:type w:val="bbPlcHdr"/>
        </w:types>
        <w:behaviors>
          <w:behavior w:val="content"/>
        </w:behaviors>
        <w:guid w:val="{5B4665FD-3811-024B-95D4-CBCA43965822}"/>
      </w:docPartPr>
      <w:docPartBody>
        <w:p w:rsidR="00A57D93" w:rsidRDefault="00676077" w:rsidP="00676077">
          <w:pPr>
            <w:pStyle w:val="3F4CA6B40127454FB4592FFE3E9D4969"/>
          </w:pPr>
          <w:r w:rsidRPr="0014248A">
            <w:rPr>
              <w:rStyle w:val="Testosegnaposto"/>
            </w:rPr>
            <w:t>Fare clic o toccare qui per immettere il testo.</w:t>
          </w:r>
        </w:p>
      </w:docPartBody>
    </w:docPart>
    <w:docPart>
      <w:docPartPr>
        <w:name w:val="B8EC0399871E8549BA1BCEA5484BFF21"/>
        <w:category>
          <w:name w:val="Generale"/>
          <w:gallery w:val="placeholder"/>
        </w:category>
        <w:types>
          <w:type w:val="bbPlcHdr"/>
        </w:types>
        <w:behaviors>
          <w:behavior w:val="content"/>
        </w:behaviors>
        <w:guid w:val="{33949920-6DF8-6C4F-9170-EC76B497B889}"/>
      </w:docPartPr>
      <w:docPartBody>
        <w:p w:rsidR="00A57D93" w:rsidRDefault="00676077" w:rsidP="00676077">
          <w:pPr>
            <w:pStyle w:val="B8EC0399871E8549BA1BCEA5484BFF21"/>
          </w:pPr>
          <w:r w:rsidRPr="0014248A">
            <w:rPr>
              <w:rStyle w:val="Testosegnaposto"/>
            </w:rPr>
            <w:t>Fare clic o toccare qui per immettere il testo.</w:t>
          </w:r>
        </w:p>
      </w:docPartBody>
    </w:docPart>
    <w:docPart>
      <w:docPartPr>
        <w:name w:val="EF1C2CFC569A534091EE1302F95DF233"/>
        <w:category>
          <w:name w:val="Generale"/>
          <w:gallery w:val="placeholder"/>
        </w:category>
        <w:types>
          <w:type w:val="bbPlcHdr"/>
        </w:types>
        <w:behaviors>
          <w:behavior w:val="content"/>
        </w:behaviors>
        <w:guid w:val="{FDEB39CB-88FC-3B46-A99E-9CAE10D2CB42}"/>
      </w:docPartPr>
      <w:docPartBody>
        <w:p w:rsidR="00A57D93" w:rsidRDefault="00676077" w:rsidP="00676077">
          <w:pPr>
            <w:pStyle w:val="EF1C2CFC569A534091EE1302F95DF233"/>
          </w:pPr>
          <w:r w:rsidRPr="0014248A">
            <w:rPr>
              <w:rStyle w:val="Testosegnaposto"/>
            </w:rPr>
            <w:t>Fare clic o toccare qui per immettere il testo.</w:t>
          </w:r>
        </w:p>
      </w:docPartBody>
    </w:docPart>
    <w:docPart>
      <w:docPartPr>
        <w:name w:val="E07E283AA960744DA9CA11D5A387E695"/>
        <w:category>
          <w:name w:val="Generale"/>
          <w:gallery w:val="placeholder"/>
        </w:category>
        <w:types>
          <w:type w:val="bbPlcHdr"/>
        </w:types>
        <w:behaviors>
          <w:behavior w:val="content"/>
        </w:behaviors>
        <w:guid w:val="{280AC98F-B76A-EF4E-A62D-0C40F5E8B3DC}"/>
      </w:docPartPr>
      <w:docPartBody>
        <w:p w:rsidR="00A57D93" w:rsidRDefault="00676077" w:rsidP="00676077">
          <w:pPr>
            <w:pStyle w:val="E07E283AA960744DA9CA11D5A387E695"/>
          </w:pPr>
          <w:r w:rsidRPr="0014248A">
            <w:rPr>
              <w:rStyle w:val="Testosegnaposto"/>
            </w:rPr>
            <w:t>Fare clic o toccare qui per immettere il testo.</w:t>
          </w:r>
        </w:p>
      </w:docPartBody>
    </w:docPart>
    <w:docPart>
      <w:docPartPr>
        <w:name w:val="E63E8B643B93FF4289CA3FB677C0D268"/>
        <w:category>
          <w:name w:val="Generale"/>
          <w:gallery w:val="placeholder"/>
        </w:category>
        <w:types>
          <w:type w:val="bbPlcHdr"/>
        </w:types>
        <w:behaviors>
          <w:behavior w:val="content"/>
        </w:behaviors>
        <w:guid w:val="{2ABC379E-C48C-CE4F-BAA5-688BB1C6B9D9}"/>
      </w:docPartPr>
      <w:docPartBody>
        <w:p w:rsidR="00A57D93" w:rsidRDefault="00676077" w:rsidP="00676077">
          <w:pPr>
            <w:pStyle w:val="E63E8B643B93FF4289CA3FB677C0D268"/>
          </w:pPr>
          <w:r w:rsidRPr="0014248A">
            <w:rPr>
              <w:rStyle w:val="Testosegnaposto"/>
            </w:rPr>
            <w:t>Fare clic o toccare qui per immettere il testo.</w:t>
          </w:r>
        </w:p>
      </w:docPartBody>
    </w:docPart>
    <w:docPart>
      <w:docPartPr>
        <w:name w:val="0516E880F26DF9438E76DC2F9656E254"/>
        <w:category>
          <w:name w:val="Generale"/>
          <w:gallery w:val="placeholder"/>
        </w:category>
        <w:types>
          <w:type w:val="bbPlcHdr"/>
        </w:types>
        <w:behaviors>
          <w:behavior w:val="content"/>
        </w:behaviors>
        <w:guid w:val="{7EA3A4A8-EC76-BD42-BCE3-5B07502A0D8E}"/>
      </w:docPartPr>
      <w:docPartBody>
        <w:p w:rsidR="00A57D93" w:rsidRDefault="00676077" w:rsidP="00676077">
          <w:pPr>
            <w:pStyle w:val="0516E880F26DF9438E76DC2F9656E254"/>
          </w:pPr>
          <w:r w:rsidRPr="0014248A">
            <w:rPr>
              <w:rStyle w:val="Testosegnaposto"/>
            </w:rPr>
            <w:t>Fare clic o toccare qui per immettere il testo.</w:t>
          </w:r>
        </w:p>
      </w:docPartBody>
    </w:docPart>
    <w:docPart>
      <w:docPartPr>
        <w:name w:val="2BEE7DAB8C69274790362D385F4819B0"/>
        <w:category>
          <w:name w:val="Generale"/>
          <w:gallery w:val="placeholder"/>
        </w:category>
        <w:types>
          <w:type w:val="bbPlcHdr"/>
        </w:types>
        <w:behaviors>
          <w:behavior w:val="content"/>
        </w:behaviors>
        <w:guid w:val="{6B58F294-5B93-9944-AD55-D735CFFA4CC4}"/>
      </w:docPartPr>
      <w:docPartBody>
        <w:p w:rsidR="00A57D93" w:rsidRDefault="00676077" w:rsidP="00676077">
          <w:pPr>
            <w:pStyle w:val="2BEE7DAB8C69274790362D385F4819B0"/>
          </w:pPr>
          <w:r w:rsidRPr="0014248A">
            <w:rPr>
              <w:rStyle w:val="Testosegnaposto"/>
            </w:rPr>
            <w:t>Fare clic o toccare qui per immettere il testo.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Times">
    <w:altName w:val="Times New Roman"/>
    <w:panose1 w:val="020B0604020202020204"/>
    <w:charset w:val="00"/>
    <w:family w:val="roman"/>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7DD6"/>
    <w:rsid w:val="000071B8"/>
    <w:rsid w:val="00007DD6"/>
    <w:rsid w:val="0009153E"/>
    <w:rsid w:val="00132E07"/>
    <w:rsid w:val="001469F8"/>
    <w:rsid w:val="00150EBF"/>
    <w:rsid w:val="0026755B"/>
    <w:rsid w:val="003634F3"/>
    <w:rsid w:val="003A1185"/>
    <w:rsid w:val="00407404"/>
    <w:rsid w:val="0046760A"/>
    <w:rsid w:val="00547B58"/>
    <w:rsid w:val="005538A8"/>
    <w:rsid w:val="00560DC0"/>
    <w:rsid w:val="00632790"/>
    <w:rsid w:val="00671C04"/>
    <w:rsid w:val="00676077"/>
    <w:rsid w:val="006D1F6C"/>
    <w:rsid w:val="00772FF0"/>
    <w:rsid w:val="007C09A0"/>
    <w:rsid w:val="008438CB"/>
    <w:rsid w:val="00961061"/>
    <w:rsid w:val="00A57D93"/>
    <w:rsid w:val="00A611ED"/>
    <w:rsid w:val="00AA4BE3"/>
    <w:rsid w:val="00AF2DA7"/>
    <w:rsid w:val="00B22906"/>
    <w:rsid w:val="00C06113"/>
    <w:rsid w:val="00D00181"/>
    <w:rsid w:val="00DF3A04"/>
    <w:rsid w:val="00E11163"/>
    <w:rsid w:val="00E3778B"/>
    <w:rsid w:val="00EE0529"/>
    <w:rsid w:val="00EF0FDF"/>
    <w:rsid w:val="00F3644E"/>
    <w:rsid w:val="00F67A1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it-IT" w:eastAsia="it-IT"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Testosegnaposto">
    <w:name w:val="Placeholder Text"/>
    <w:basedOn w:val="Carpredefinitoparagrafo"/>
    <w:uiPriority w:val="99"/>
    <w:semiHidden/>
    <w:rsid w:val="00676077"/>
    <w:rPr>
      <w:color w:val="666666"/>
    </w:rPr>
  </w:style>
  <w:style w:type="paragraph" w:customStyle="1" w:styleId="C660B6E7644444508D3BA60292E73839">
    <w:name w:val="C660B6E7644444508D3BA60292E73839"/>
    <w:rsid w:val="00007DD6"/>
  </w:style>
  <w:style w:type="paragraph" w:customStyle="1" w:styleId="782F20D0BD734202A7B482E3C1933D7E">
    <w:name w:val="782F20D0BD734202A7B482E3C1933D7E"/>
    <w:rsid w:val="00632790"/>
  </w:style>
  <w:style w:type="paragraph" w:customStyle="1" w:styleId="3F4CA6B40127454FB4592FFE3E9D4969">
    <w:name w:val="3F4CA6B40127454FB4592FFE3E9D4969"/>
    <w:rsid w:val="00676077"/>
    <w:rPr>
      <w:lang w:val="it-CH"/>
    </w:rPr>
  </w:style>
  <w:style w:type="paragraph" w:customStyle="1" w:styleId="B8EC0399871E8549BA1BCEA5484BFF21">
    <w:name w:val="B8EC0399871E8549BA1BCEA5484BFF21"/>
    <w:rsid w:val="00676077"/>
    <w:rPr>
      <w:lang w:val="it-CH"/>
    </w:rPr>
  </w:style>
  <w:style w:type="paragraph" w:customStyle="1" w:styleId="EF1C2CFC569A534091EE1302F95DF233">
    <w:name w:val="EF1C2CFC569A534091EE1302F95DF233"/>
    <w:rsid w:val="00676077"/>
    <w:rPr>
      <w:lang w:val="it-CH"/>
    </w:rPr>
  </w:style>
  <w:style w:type="paragraph" w:customStyle="1" w:styleId="E07E283AA960744DA9CA11D5A387E695">
    <w:name w:val="E07E283AA960744DA9CA11D5A387E695"/>
    <w:rsid w:val="00676077"/>
    <w:rPr>
      <w:lang w:val="it-CH"/>
    </w:rPr>
  </w:style>
  <w:style w:type="paragraph" w:customStyle="1" w:styleId="E63E8B643B93FF4289CA3FB677C0D268">
    <w:name w:val="E63E8B643B93FF4289CA3FB677C0D268"/>
    <w:rsid w:val="00676077"/>
    <w:rPr>
      <w:lang w:val="it-CH"/>
    </w:rPr>
  </w:style>
  <w:style w:type="paragraph" w:customStyle="1" w:styleId="0516E880F26DF9438E76DC2F9656E254">
    <w:name w:val="0516E880F26DF9438E76DC2F9656E254"/>
    <w:rsid w:val="00676077"/>
    <w:rPr>
      <w:lang w:val="it-CH"/>
    </w:rPr>
  </w:style>
  <w:style w:type="paragraph" w:customStyle="1" w:styleId="2BEE7DAB8C69274790362D385F4819B0">
    <w:name w:val="2BEE7DAB8C69274790362D385F4819B0"/>
    <w:rsid w:val="00676077"/>
    <w:rPr>
      <w:lang w:val="it-CH"/>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7F3C1B6-53DA-DF41-94D4-471A224BBE38}">
  <we:reference id="wa104382081" version="1.55.1.0" store="it-IT" storeType="OMEX"/>
  <we:alternateReferences>
    <we:reference id="wa104382081" version="1.55.1.0" store="it-IT" storeType="OMEX"/>
  </we:alternateReferences>
  <we:properties>
    <we:property name="MENDELEY_CITATIONS" value="[{&quot;citationID&quot;:&quot;MENDELEY_CITATION_671c4aff-a55d-49c4-bc61-c584dc8090d5&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&quot;,&quot;citationItems&quot;:[{&quot;id&quot;:&quot;2e81fab2-745d-3a80-89bb-c401436e36b8&quot;,&quot;itemData&quot;:{&quot;type&quot;:&quot;article-journal&quot;,&quot;id&quot;:&quot;2e81fab2-745d-3a80-89bb-c401436e36b8&quot;,&quot;title&quot;:&quot;MDS research criteria for prodromal Parkinson's disease&quot;,&quot;author&quot;:[{&quot;family&quot;:&quot;Berg&quot;,&quot;given&quot;:&quot;Daniela&quot;,&quot;parse-names&quot;:false,&quot;dropping-particle&quot;:&quot;&quot;,&quot;non-dropping-particle&quot;:&quot;&quot;},{&quot;family&quot;:&quot;Postuma&quot;,&quot;given&quot;:&quot;Ronald B.&quot;,&quot;parse-names&quot;:false,&quot;dropping-particle&quot;:&quot;&quot;,&quot;non-dropping-particle&quot;:&quot;&quot;},{&quot;family&quot;:&quot;Adler&quot;,&quot;given&quot;:&quot;Charles H.&quot;,&quot;parse-names&quot;:false,&quot;dropping-particle&quot;:&quot;&quot;,&quot;non-dropping-particle&quot;:&quot;&quot;},{&quot;family&quot;:&quot;Bloem&quot;,&quot;given&quot;:&quot;Bastiaan R.&quot;,&quot;parse-names&quot;:false,&quot;dropping-particle&quot;:&quot;&quot;,&quot;non-dropping-particle&quot;:&quot;&quot;},{&quot;family&quot;:&quot;Chan&quot;,&quot;given&quot;:&quot;Piu&quot;,&quot;parse-names&quot;:false,&quot;dropping-particle&quot;:&quot;&quot;,&quot;non-dropping-particle&quot;:&quot;&quot;},{&quot;family&quot;:&quot;Dubois&quot;,&quot;given&quot;:&quot;Bruno&quot;,&quot;parse-names&quot;:false,&quot;dropping-particle&quot;:&quot;&quot;,&quot;non-dropping-particle&quot;:&quot;&quot;},{&quot;family&quot;:&quot;Gasser&quot;,&quot;given&quot;:&quot;Thomas&quot;,&quot;parse-names&quot;:false,&quot;dropping-particle&quot;:&quot;&quot;,&quot;non-dropping-particle&quot;:&quot;&quot;},{&quot;family&quot;:&quot;Goetz&quot;,&quot;given&quot;:&quot;Christopher G.&quot;,&quot;parse-names&quot;:false,&quot;dropping-particle&quot;:&quot;&quot;,&quot;non-dropping-particle&quot;:&quot;&quot;},{&quot;family&quot;:&quot;Halliday&quot;,&quot;given&quot;:&quot;Glenda&quot;,&quot;parse-names&quot;:false,&quot;dropping-particle&quot;:&quot;&quot;,&quot;non-dropping-particle&quot;:&quot;&quot;},{&quot;family&quot;:&quot;Joseph&quot;,&quot;given&quot;:&quot;Lawrence&quot;,&quot;parse-names&quot;:false,&quot;dropping-particle&quot;:&quot;&quot;,&quot;non-dropping-particle&quot;:&quot;&quot;},{&quot;family&quot;:&quot;Lang&quot;,&quot;given&quot;:&quot;Anthony E.&quot;,&quot;parse-names&quot;:false,&quot;dropping-particle&quot;:&quot;&quot;,&quot;non-dropping-particle&quot;:&quot;&quot;},{&quot;family&quot;:&quot;Liepelt-Scarfone&quot;,&quot;given&quot;:&quot;Inga&quot;,&quot;parse-names&quot;:false,&quot;dropping-particle&quot;:&quot;&quot;,&quot;non-dropping-particle&quot;:&quot;&quot;},{&quot;family&quot;:&quot;Litvan&quot;,&quot;given&quot;:&quot;Irene&quot;,&quot;parse-names&quot;:false,&quot;dropping-particle&quot;:&quot;&quot;,&quot;non-dropping-particle&quot;:&quot;&quot;},{&quot;family&quot;:&quot;Marek&quot;,&quot;given&quot;:&quot;Kenneth&quot;,&quot;parse-names&quot;:false,&quot;dropping-particle&quot;:&quot;&quot;,&quot;non-dropping-particle&quot;:&quot;&quot;},{&quot;family&quot;:&quot;Obeso&quot;,&quot;given&quot;:&quot;José&quot;,&quot;parse-names&quot;:false,&quot;dropping-particle&quot;:&quot;&quot;,&quot;non-dropping-particle&quot;:&quot;&quot;},{&quot;family&quot;:&quot;Oertel&quot;,&quot;given&quot;:&quot;Wolfgang&quot;,&quot;parse-names&quot;:false,&quot;dropping-particle&quot;:&quot;&quot;,&quot;non-dropping-particle&quot;:&quot;&quot;},{&quot;family&quot;:&quot;Olanow&quot;,&quot;given&quot;:&quot;C. Warren&quot;,&quot;parse-names&quot;:false,&quot;dropping-particle&quot;:&quot;&quot;,&quot;non-dropping-particle&quot;:&quot;&quot;},{&quot;family&quot;:&quot;Poewe&quot;,&quot;given&quot;:&quot;Werner&quot;,&quot;parse-names&quot;:false,&quot;dropping-particle&quot;:&quot;&quot;,&quot;non-dropping-particle&quot;:&quot;&quot;},{&quot;family&quot;:&quot;Stern&quot;,&quot;given&quot;:&quot;Matthew&quot;,&quot;parse-names&quot;:false,&quot;dropping-particle&quot;:&quot;&quot;,&quot;non-dropping-particle&quot;:&quot;&quot;},{&quot;family&quot;:&quot;Deuschl&quot;,&quot;given&quot;:&quot;Günther&quot;,&quot;parse-names&quot;:false,&quot;dropping-particle&quot;:&quot;&quot;,&quot;non-dropping-particle&quot;:&quot;&quot;}],&quot;container-title&quot;:&quot;Movement Disorders&quot;,&quot;DOI&quot;:&quot;10.1002/mds.26431&quot;,&quot;ISSN&quot;:&quot;08853185&quot;,&quot;issued&quot;:{&quot;date-parts&quot;:[[2015,10]]},&quot;page&quot;:&quot;1600-1611&quot;,&quot;issue&quot;:&quot;12&quot;,&quot;volume&quot;:&quot;30&quot;,&quot;container-title-short&quot;:&quot;&quot;},&quot;isTemporary&quot;:false}]},{&quot;citationID&quot;:&quot;MENDELEY_CITATION_d98e1122-f5db-4b28-88a5-6e189f188b4d&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&quot;,&quot;citationItems&quot;:[{&quot;id&quot;:&quot;6b98321c-886b-3fc7-8744-037029ba9715&quot;,&quot;itemData&quot;:{&quot;type&quot;:&quot;article-journal&quot;,&quot;id&quot;:&quot;6b98321c-886b-3fc7-8744-037029ba9715&quot;,&quot;title&quot;:&quot;GBA‐Related Parkinson's Disease: Dissection of Genotype–Phenotype Correlates in a Large Italian Cohort&quot;,&quot;author&quot;:[{&quot;family&quot;:&quot;Petrucci&quot;,&quot;given&quot;:&quot;Simona&quot;,&quot;parse-names&quot;:false,&quot;dropping-particle&quot;:&quot;&quot;,&quot;non-dropping-particle&quot;:&quot;&quot;},{&quot;family&quot;:&quot;Ginevrino&quot;,&quot;given&quot;:&quot;Monia&quot;,&quot;parse-names&quot;:false,&quot;dropping-particle&quot;:&quot;&quot;,&quot;non-dropping-particle&quot;:&quot;&quot;},{&quot;family&quot;:&quot;Trezzi&quot;,&quot;given&quot;:&quot;Ilaria&quot;,&quot;parse-names&quot;:false,&quot;dropping-particle&quot;:&quot;&quot;,&quot;non-dropping-particle&quot;:&quot;&quot;},{&quot;family&quot;:&quot;Monfrini&quot;,&quot;given&quot;:&quot;Edoardo&quot;,&quot;parse-names&quot;:false,&quot;dropping-particle&quot;:&quot;&quot;,&quot;non-dropping-particle&quot;:&quot;&quot;},{&quot;family&quot;:&quot;Ricciardi&quot;,&quot;given&quot;:&quot;Lucia&quot;,&quot;parse-names&quot;:false,&quot;dropping-particle&quot;:&quot;&quot;,&quot;non-dropping-particle&quot;:&quot;&quot;},{&quot;family&quot;:&quot;Albanese&quot;,&quot;given&quot;:&quot;Alberto&quot;,&quot;parse-names&quot;:false,&quot;dropping-particle&quot;:&quot;&quot;,&quot;non-dropping-particle&quot;:&quot;&quot;},{&quot;family&quot;:&quot;Avenali&quot;,&quot;given&quot;:&quot;Micol&quot;,&quot;parse-names&quot;:false,&quot;dropping-particle&quot;:&quot;&quot;,&quot;non-dropping-particle&quot;:&quot;&quot;},{&quot;family&quot;:&quot;Barone&quot;,&quot;given&quot;:&quot;Paolo&quot;,&quot;parse-names&quot;:false,&quot;dropping-particle&quot;:&quot;&quot;,&quot;non-dropping-particle&quot;:&quot;&quot;},{&quot;family&quot;:&quot;Bentivoglio&quot;,&quot;given&quot;:&quot;Anna Rita&quot;,&quot;parse-names&quot;:false,&quot;dropping-particle&quot;:&quot;&quot;,&quot;non-dropping-particle&quot;:&quot;&quot;},{&quot;family&quot;:&quot;Bonifati&quot;,&quot;given&quot;:&quot;Vincenzo&quot;,&quot;parse-names&quot;:false,&quot;dropping-particle&quot;:&quot;&quot;,&quot;non-dropping-particle&quot;:&quot;&quot;},{&quot;family&quot;:&quot;Bove&quot;,&quot;given&quot;:&quot;Francesco&quot;,&quot;parse-names&quot;:false,&quot;dropping-particle&quot;:&quot;&quot;,&quot;non-dropping-particle&quot;:&quot;&quot;},{&quot;family&quot;:&quot;Bonanni&quot;,&quot;given&quot;:&quot;Laura&quot;,&quot;parse-names&quot;:false,&quot;dropping-particle&quot;:&quot;&quot;,&quot;non-dropping-particle&quot;:&quot;&quot;},{&quot;family&quot;:&quot;Brusa&quot;,&quot;given&quot;:&quot;Livia&quot;,&quot;parse-names&quot;:false,&quot;dropping-particle&quot;:&quot;&quot;,&quot;non-dropping-particle&quot;:&quot;&quot;},{&quot;family&quot;:&quot;Cereda&quot;,&quot;given&quot;:&quot;Cristina&quot;,&quot;parse-names&quot;:false,&quot;dropping-particle&quot;:&quot;&quot;,&quot;non-dropping-particle&quot;:&quot;&quot;},{&quot;family&quot;:&quot;Cossu&quot;,&quot;given&quot;:&quot;Giovanni&quot;,&quot;parse-names&quot;:false,&quot;dropping-particle&quot;:&quot;&quot;,&quot;non-dropping-particle&quot;:&quot;&quot;},{&quot;family&quot;:&quot;Criscuolo&quot;,&quot;given&quot;:&quot;Chiara&quot;,&quot;parse-names&quot;:false,&quot;dropping-particle&quot;:&quot;&quot;,&quot;non-dropping-particle&quot;:&quot;&quot;},{&quot;family&quot;:&quot;Dati&quot;,&quot;given&quot;:&quot;Giovanna&quot;,&quot;parse-names&quot;:false,&quot;dropping-particle&quot;:&quot;&quot;,&quot;non-dropping-particle&quot;:&quot;&quot;},{&quot;family&quot;:&quot;Rosa&quot;,&quot;given&quot;:&quot;Anna&quot;,&quot;parse-names&quot;:false,&quot;dropping-particle&quot;:&quot;&quot;,&quot;non-dropping-particle&quot;:&quot;De&quot;},{&quot;family&quot;:&quot;Eleopra&quot;,&quot;given&quot;:&quot;Roberto&quot;,&quot;parse-names&quot;:false,&quot;dropping-particle&quot;:&quot;&quot;,&quot;non-dropping-particle&quot;:&quot;&quot;},{&quot;family&quot;:&quot;Fabbrini&quot;,&quot;given&quot;:&quot;Giovanni&quot;,&quot;parse-names&quot;:false,&quot;dropping-particle&quot;:&quot;&quot;,&quot;non-dropping-particle&quot;:&quot;&quot;},{&quot;family&quot;:&quot;Fadda&quot;,&quot;given&quot;:&quot;Laura&quot;,&quot;parse-names&quot;:false,&quot;dropping-particle&quot;:&quot;&quot;,&quot;non-dropping-particle&quot;:&quot;&quot;},{&quot;family&quot;:&quot;Garbellini&quot;,&quot;given&quot;:&quot;Manuela&quot;,&quot;parse-names&quot;:false,&quot;dropping-particle&quot;:&quot;&quot;,&quot;non-dropping-particle&quot;:&quot;&quot;},{&quot;family&quot;:&quot;Minafra&quot;,&quot;given&quot;:&quot;Brigida&quot;,&quot;parse-names&quot;:false,&quot;dropping-particle&quot;:&quot;&quot;,&quot;non-dropping-particle&quot;:&quot;&quot;},{&quot;family&quot;:&quot;Onofrj&quot;,&quot;given&quot;:&quot;Marco&quot;,&quot;parse-names&quot;:false,&quot;dropping-particle&quot;:&quot;&quot;,&quot;non-dropping-particle&quot;:&quot;&quot;},{&quot;family&quot;:&quot;Pacchetti&quot;,&quot;given&quot;:&quot;Claudio&quot;,&quot;parse-names&quot;:false,&quot;dropping-particle&quot;:&quot;&quot;,&quot;non-dropping-particle&quot;:&quot;&quot;},{&quot;family&quot;:&quot;Palmieri&quot;,&quot;given&quot;:&quot;Ilaria&quot;,&quot;parse-names&quot;:false,&quot;dropping-particle&quot;:&quot;&quot;,&quot;non-dropping-particle&quot;:&quot;&quot;},{&quot;family&quot;:&quot;Pellecchia&quot;,&quot;given&quot;:&quot;Maria Teresa&quot;,&quot;parse-names&quot;:false,&quot;dropping-particle&quot;:&quot;&quot;,&quot;non-dropping-particle&quot;:&quot;&quot;},{&quot;family&quot;:&quot;Petracca&quot;,&quot;given&quot;:&quot;Martina&quot;,&quot;parse-names&quot;:false,&quot;dropping-particle&quot;:&quot;&quot;,&quot;non-dropping-particle&quot;:&quot;&quot;},{&quot;family&quot;:&quot;Picillo&quot;,&quot;given&quot;:&quot;Marina&quot;,&quot;parse-names&quot;:false,&quot;dropping-particle&quot;:&quot;&quot;,&quot;non-dropping-particle&quot;:&quot;&quot;},{&quot;family&quot;:&quot;Pisani&quot;,&quot;given&quot;:&quot;Antonio&quot;,&quot;parse-names&quot;:false,&quot;dropping-particle&quot;:&quot;&quot;,&quot;non-dropping-particle&quot;:&quot;&quot;},{&quot;family&quot;:&quot;Vallelunga&quot;,&quot;given&quot;:&quot;Annamaria&quot;,&quot;parse-names&quot;:false,&quot;dropping-particle&quot;:&quot;&quot;,&quot;non-dropping-particle&quot;:&quot;&quot;},{&quot;family&quot;:&quot;Zangaglia&quot;,&quot;given&quot;:&quot;Roberta&quot;,&quot;parse-names&quot;:false,&quot;dropping-particle&quot;:&quot;&quot;,&quot;non-dropping-particle&quot;:&quot;&quot;},{&quot;family&quot;:&quot;Fonzo&quot;,&quot;given&quot;:&quot;Alessio&quot;,&quot;parse-names&quot;:false,&quot;dropping-particle&quot;:&quot;&quot;,&quot;non-dropping-particle&quot;:&quot;Di&quot;},{&quot;family&quot;:&quot;Morgante&quot;,&quot;given&quot;:&quot;Francesca&quot;,&quot;parse-names&quot;:false,&quot;dropping-particle&quot;:&quot;&quot;,&quot;non-dropping-particle&quot;:&quot;&quot;},{&quot;family&quot;:&quot;Valente&quot;,&quot;given&quot;:&quot;Enza Maria&quot;,&quot;parse-names&quot;:false,&quot;dropping-particle&quot;:&quot;&quot;,&quot;non-dropping-particle&quot;:&quot;&quot;}],&quot;container-title&quot;:&quot;Movement Disorders&quot;,&quot;DOI&quot;:&quot;10.1002/mds.28195&quot;,&quot;ISSN&quot;:&quot;0885-3185&quot;,&quot;issued&quot;:{&quot;date-parts&quot;:[[2020,11,13]]},&quot;page&quot;:&quot;2106-2111&quot;,&quot;issue&quot;:&quot;11&quot;,&quot;volume&quot;:&quot;35&quot;,&quot;container-title-short&quot;:&quot;&quot;},&quot;isTemporary&quot;:false}]},{&quot;citationID&quot;:&quot;MENDELEY_CITATION_e9375aa8-d3c8-4d9e-9ac8-5b75b94fe599&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&quot;,&quot;citationItems&quot;:[{&quot;id&quot;:&quot;a5a090bb-d1d9-3471-9308-396e45c63ea4&quot;,&quot;itemData&quot;:{&quot;type&quot;:&quot;article-journal&quot;,&quot;id&quot;:&quot;a5a090bb-d1d9-3471-9308-396e45c63ea4&quot;,&quot;title&quot;:&quot;LRRK2 and GBA1 variant carriers have higher urinary bis(monacylglycerol) phosphate concentrations in PPMI cohorts&quot;,&quot;author&quot;:[{&quot;family&quot;:&quot;Merchant&quot;,&quot;given&quot;:&quot;Kalpana M.&quot;,&quot;parse-names&quot;:false,&quot;dropping-particle&quot;:&quot;&quot;,&quot;non-dropping-particle&quot;:&quot;&quot;},{&quot;family&quot;:&quot;Simuni&quot;,&quot;given&quot;:&quot;Tanya&quot;,&quot;parse-names&quot;:false,&quot;dropping-particle&quot;:&quot;&quot;,&quot;non-dropping-particle&quot;:&quot;&quot;},{&quot;family&quot;:&quot;Fedler&quot;,&quot;given&quot;:&quot;Janel&quot;,&quot;parse-names&quot;:false,&quot;dropping-particle&quot;:&quot;&quot;,&quot;non-dropping-particle&quot;:&quot;&quot;},{&quot;family&quot;:&quot;Caspell-Garcia&quot;,&quot;given&quot;:&quot;Chelsea&quot;,&quot;parse-names&quot;:false,&quot;dropping-particle&quot;:&quot;&quot;,&quot;non-dropping-particle&quot;:&quot;&quot;},{&quot;family&quot;:&quot;Brumm&quot;,&quot;given&quot;:&quot;Michael&quot;,&quot;parse-names&quot;:false,&quot;dropping-particle&quot;:&quot;&quot;,&quot;non-dropping-particle&quot;:&quot;&quot;},{&quot;family&quot;:&quot;Nudelman&quot;,&quot;given&quot;:&quot;Kelly N. H.&quot;,&quot;parse-names&quot;:false,&quot;dropping-particle&quot;:&quot;&quot;,&quot;non-dropping-particle&quot;:&quot;&quot;},{&quot;family&quot;:&quot;Tengstrandt&quot;,&quot;given&quot;:&quot;Elizabeth&quot;,&quot;parse-names&quot;:false,&quot;dropping-particle&quot;:&quot;&quot;,&quot;non-dropping-particle&quot;:&quot;&quot;},{&quot;family&quot;:&quot;Hsieh&quot;,&quot;given&quot;:&quot;Frank&quot;,&quot;parse-names&quot;:false,&quot;dropping-particle&quot;:&quot;&quot;,&quot;non-dropping-particle&quot;:&quot;&quot;},{&quot;family&quot;:&quot;Alcalay&quot;,&quot;given&quot;:&quot;Roy N.&quot;,&quot;parse-names&quot;:false,&quot;dropping-particle&quot;:&quot;&quot;,&quot;non-dropping-particle&quot;:&quot;&quot;},{&quot;family&quot;:&quot;Coffey&quot;,&quot;given&quot;:&quot;Christopher&quot;,&quot;parse-names&quot;:false,&quot;dropping-particle&quot;:&quot;&quot;,&quot;non-dropping-particle&quot;:&quot;&quot;},{&quot;family&quot;:&quot;Chahine&quot;,&quot;given&quot;:&quot;Lana&quot;,&quot;parse-names&quot;:false,&quot;dropping-particle&quot;:&quot;&quot;,&quot;non-dropping-particle&quot;:&quot;&quot;},{&quot;family&quot;:&quot;Foroud&quot;,&quot;given&quot;:&quot;Tatiana&quot;,&quot;parse-names&quot;:false,&quot;dropping-particle&quot;:&quot;&quot;,&quot;non-dropping-particle&quot;:&quot;&quot;},{&quot;family&quot;:&quot;Singleton&quot;,&quot;given&quot;:&quot;Andrew&quot;,&quot;parse-names&quot;:false,&quot;dropping-particle&quot;:&quot;&quot;,&quot;non-dropping-particle&quot;:&quot;&quot;},{&quot;family&quot;:&quot;Weintraub&quot;,&quot;given&quot;:&quot;Daniel&quot;,&quot;parse-names&quot;:false,&quot;dropping-particle&quot;:&quot;&quot;,&quot;non-dropping-particle&quot;:&quot;&quot;},{&quot;family&quot;:&quot;Hutten&quot;,&quot;given&quot;:&quot;Samantha&quot;,&quot;parse-names&quot;:false,&quot;dropping-particle&quot;:&quot;&quot;,&quot;non-dropping-particle&quot;:&quot;&quot;},{&quot;family&quot;:&quot;Sherer&quot;,&quot;given&quot;:&quot;Todd&quot;,&quot;parse-names&quot;:false,&quot;dropping-particle&quot;:&quot;&quot;,&quot;non-dropping-particle&quot;:&quot;&quot;},{&quot;family&quot;:&quot;Mollenhauer&quot;,&quot;given&quot;:&quot;Brit&quot;,&quot;parse-names&quot;:false,&quot;dropping-particle&quot;:&quot;&quot;,&quot;non-dropping-particle&quot;:&quot;&quot;},{&quot;family&quot;:&quot;Siderowf&quot;,&quot;given&quot;:&quot;Andrew&quot;,&quot;parse-names&quot;:false,&quot;dropping-particle&quot;:&quot;&quot;,&quot;non-dropping-particle&quot;:&quot;&quot;},{&quot;family&quot;:&quot;Tanner&quot;,&quot;given&quot;:&quot;Caroline&quot;,&quot;parse-names&quot;:false,&quot;dropping-particle&quot;:&quot;&quot;,&quot;non-dropping-particle&quot;:&quot;&quot;},{&quot;family&quot;:&quot;Marek&quot;,&quot;given&quot;:&quot;Ken&quot;,&quot;parse-names&quot;:false,&quot;dropping-particle&quot;:&quot;&quot;,&quot;non-dropping-particle&quot;:&quot;&quot;}],&quot;container-title&quot;:&quot;npj Parkinson's Disease&quot;,&quot;container-title-short&quot;:&quot;NPJ Parkinsons Dis&quot;,&quot;DOI&quot;:&quot;10.1038/s41531-023-00468-2&quot;,&quot;ISSN&quot;:&quot;2373-8057&quot;,&quot;issued&quot;:{&quot;date-parts&quot;:[[2023,2,28]]},&quot;page&quot;:&quot;30&quot;,&quot;abstract&quot;:&quot;&lt;p&gt; We quantified concentrations of three isoforms of the endolysosomal lipid, bis(monoacylglycerol) phosphate (BMP) in the urine of deeply phenotyped cohorts in the Parkinson’s Progression Markers Initiative: &lt;italic&gt;LRRK2&lt;/italic&gt; G2019S PD ( &lt;italic&gt;N&lt;/italic&gt;  = 134) and non-manifesting carriers (NMC) (G2019S+ NMC; &lt;italic&gt;N&lt;/italic&gt;  = 182), &lt;italic&gt;LRRK2&lt;/italic&gt; R1441G PD ( &lt;italic&gt;N&lt;/italic&gt;  = 15) and R1441G+ NMC ( &lt;italic&gt;N&lt;/italic&gt;  = 15), &lt;italic&gt;GBA1&lt;/italic&gt; N409S PD ( &lt;italic&gt;N&lt;/italic&gt;  = 76) and N409S+ NMC ( &lt;italic&gt;N&lt;/italic&gt;  = 178), sporadic PD (sPD, &lt;italic&gt;N&lt;/italic&gt;  = 379) and healthy controls (HC) ( &lt;italic&gt;N&lt;/italic&gt;  = 190). The effects of each mutation and disease status were analyzed using nonparametric methods. Longitudinal changes in BMP levels were analyzed using linear mixed models. At baseline, all &lt;italic&gt;LRRK2&lt;/italic&gt; carriers had 3–7× higher BMP levels compared to HC, irrespective of the disease status. &lt;italic&gt;GBA1&lt;/italic&gt; N409S carriers also showed significant, albeit smaller, elevation (~30–40%) in BMP levels compared to HC. In &lt;italic&gt;LRRK2&lt;/italic&gt; G2019S PD, urinary BMP levels remained stable over two years. Furthermore, baseline BMP levels did not predict disease progression as measured by striatal DaT imaging, MDS-UPDRS III Off, or MoCA in any of the cohorts. These data support the utility of BMP as a target modulation biomarker in therapeutic trials of genetic and sPD but not as a prognostic or disease progression biomarker. &lt;/p&gt;&quot;,&quot;issue&quot;:&quot;1&quot;,&quot;volume&quot;:&quot;9&quot;},&quot;isTemporary&quot;:false}]},{&quot;citationID&quot;:&quot;MENDELEY_CITATION_3765753a-b271-40ba-9120-bd67329a8bc3&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&quot;,&quot;citationItems&quot;:[{&quot;id&quot;:&quot;454fc488-fd55-3be5-9faf-7b042b07f0f0&quot;,&quot;itemData&quot;:{&quot;type&quot;:&quot;article-journal&quot;,&quot;id&quot;:&quot;454fc488-fd55-3be5-9faf-7b042b07f0f0&quot;,&quot;title&quot;:&quot;Movement Disorder Society‐sponsored revision of the Unified Parkinson's Disease Rating Scale (MDS‐UPDRS): Scale presentation and clinimetric testing results&quot;,&quot;author&quot;:[{&quot;family&quot;:&quot;Goetz&quot;,&quot;given&quot;:&quot;Christopher G.&quot;,&quot;parse-names&quot;:false,&quot;dropping-particle&quot;:&quot;&quot;,&quot;non-dropping-particle&quot;:&quot;&quot;},{&quot;family&quot;:&quot;Tilley&quot;,&quot;given&quot;:&quot;Barbara C.&quot;,&quot;parse-names&quot;:false,&quot;dropping-particle&quot;:&quot;&quot;,&quot;non-dropping-particle&quot;:&quot;&quot;},{&quot;family&quot;:&quot;Shaftman&quot;,&quot;given&quot;:&quot;Stephanie R.&quot;,&quot;parse-names&quot;:false,&quot;dropping-particle&quot;:&quot;&quot;,&quot;non-dropping-particle&quot;:&quot;&quot;},{&quot;family&quot;:&quot;Stebbins&quot;,&quot;given&quot;:&quot;Glenn T.&quot;,&quot;parse-names&quot;:false,&quot;dropping-particle&quot;:&quot;&quot;,&quot;non-dropping-particle&quot;:&quot;&quot;},{&quot;family&quot;:&quot;Fahn&quot;,&quot;given&quot;:&quot;Stanley&quot;,&quot;parse-names&quot;:false,&quot;dropping-particle&quot;:&quot;&quot;,&quot;non-dropping-particle&quot;:&quot;&quot;},{&quot;family&quot;:&quot;Martinez‐Martin&quot;,&quot;given&quot;:&quot;Pablo&quot;,&quot;parse-names&quot;:false,&quot;dropping-particle&quot;:&quot;&quot;,&quot;non-dropping-particle&quot;:&quot;&quot;},{&quot;family&quot;:&quot;Poewe&quot;,&quot;given&quot;:&quot;Werner&quot;,&quot;parse-names&quot;:false,&quot;dropping-particle&quot;:&quot;&quot;,&quot;non-dropping-particle&quot;:&quot;&quot;},{&quot;family&quot;:&quot;Sampaio&quot;,&quot;given&quot;:&quot;Cristina&quot;,&quot;parse-names&quot;:false,&quot;dropping-particle&quot;:&quot;&quot;,&quot;non-dropping-particle&quot;:&quot;&quot;},{&quot;family&quot;:&quot;Stern&quot;,&quot;given&quot;:&quot;Matthew B.&quot;,&quot;parse-names&quot;:false,&quot;dropping-particle&quot;:&quot;&quot;,&quot;non-dropping-particle&quot;:&quot;&quot;},{&quot;family&quot;:&quot;Dodel&quot;,&quot;given&quot;:&quot;Richard&quot;,&quot;parse-names&quot;:false,&quot;dropping-particle&quot;:&quot;&quot;,&quot;non-dropping-particle&quot;:&quot;&quot;},{&quot;family&quot;:&quot;Dubois&quot;,&quot;given&quot;:&quot;Bruno&quot;,&quot;parse-names&quot;:false,&quot;dropping-particle&quot;:&quot;&quot;,&quot;non-dropping-particle&quot;:&quot;&quot;},{&quot;family&quot;:&quot;Holloway&quot;,&quot;given&quot;:&quot;Robert&quot;,&quot;parse-names&quot;:false,&quot;dropping-particle&quot;:&quot;&quot;,&quot;non-dropping-particle&quot;:&quot;&quot;},{&quot;family&quot;:&quot;Jankovic&quot;,&quot;given&quot;:&quot;Joseph&quot;,&quot;parse-names&quot;:false,&quot;dropping-particle&quot;:&quot;&quot;,&quot;non-dropping-particle&quot;:&quot;&quot;},{&quot;family&quot;:&quot;Kulisevsky&quot;,&quot;given&quot;:&quot;Jaime&quot;,&quot;parse-names&quot;:false,&quot;dropping-particle&quot;:&quot;&quot;,&quot;non-dropping-particle&quot;:&quot;&quot;},{&quot;family&quot;:&quot;Lang&quot;,&quot;given&quot;:&quot;Anthony E.&quot;,&quot;parse-names&quot;:false,&quot;dropping-particle&quot;:&quot;&quot;,&quot;non-dropping-particle&quot;:&quot;&quot;},{&quot;family&quot;:&quot;Lees&quot;,&quot;given&quot;:&quot;Andrew&quot;,&quot;parse-names&quot;:false,&quot;dropping-particle&quot;:&quot;&quot;,&quot;non-dropping-particle&quot;:&quot;&quot;},{&quot;family&quot;:&quot;Leurgans&quot;,&quot;given&quot;:&quot;Sue&quot;,&quot;parse-names&quot;:false,&quot;dropping-particle&quot;:&quot;&quot;,&quot;non-dropping-particle&quot;:&quot;&quot;},{&quot;family&quot;:&quot;LeWitt&quot;,&quot;given&quot;:&quot;Peter A.&quot;,&quot;parse-names&quot;:false,&quot;dropping-particle&quot;:&quot;&quot;,&quot;non-dropping-particle&quot;:&quot;&quot;},{&quot;family&quot;:&quot;Nyenhuis&quot;,&quot;given&quot;:&quot;David&quot;,&quot;parse-names&quot;:false,&quot;dropping-particle&quot;:&quot;&quot;,&quot;non-dropping-particle&quot;:&quot;&quot;},{&quot;family&quot;:&quot;Olanow&quot;,&quot;given&quot;:&quot;C. Warren&quot;,&quot;parse-names&quot;:false,&quot;dropping-particle&quot;:&quot;&quot;,&quot;non-dropping-particle&quot;:&quot;&quot;},{&quot;family&quot;:&quot;Rascol&quot;,&quot;given&quot;:&quot;Olivier&quot;,&quot;parse-names&quot;:false,&quot;dropping-particle&quot;:&quot;&quot;,&quot;non-dropping-particle&quot;:&quot;&quot;},{&quot;family&quot;:&quot;Schrag&quot;,&quot;given&quot;:&quot;Anette&quot;,&quot;parse-names&quot;:false,&quot;dropping-particle&quot;:&quot;&quot;,&quot;non-dropping-particle&quot;:&quot;&quot;},{&quot;family&quot;:&quot;Teresi&quot;,&quot;given&quot;:&quot;Jeanne A.&quot;,&quot;parse-names&quot;:false,&quot;dropping-particle&quot;:&quot;&quot;,&quot;non-dropping-particle&quot;:&quot;&quot;},{&quot;family&quot;:&quot;Hilten&quot;,&quot;given&quot;:&quot;Jacobus J.&quot;,&quot;parse-names&quot;:false,&quot;dropping-particle&quot;:&quot;&quot;,&quot;non-dropping-particle&quot;:&quot;van&quot;},{&quot;family&quot;:&quot;LaPelle&quot;,&quot;given&quot;:&quot;Nancy&quot;,&quot;parse-names&quot;:false,&quot;dropping-particle&quot;:&quot;&quot;,&quot;non-dropping-particle&quot;:&quot;&quot;}],&quot;container-title&quot;:&quot;Movement Disorders&quot;,&quot;DOI&quot;:&quot;10.1002/mds.22340&quot;,&quot;ISSN&quot;:&quot;0885-3185&quot;,&quot;issued&quot;:{&quot;date-parts&quot;:[[2008,11,15]]},&quot;page&quot;:&quot;2129-2170&quot;,&quot;abstract&quot;:&quot;&lt;p&gt;We present a clinimetric assessment of the Movement Disorder Society (MDS)‐sponsored revision of the Unified Parkinson's Disease Rating Scale (MDS‐UPDRS). The MDS‐UDPRS Task Force revised and expanded the UPDRS using recommendations from a published critique. The MDS‐UPDRS has four parts, namely, I: Non‐motor Experiences of Daily Living; II: Motor Experiences of Daily Living; III: Motor Examination; IV: Motor Complications. Twenty questions are completed by the patient/caregiver. Item‐specific instructions and an appendix of complementary additional scales are provided. Movement disorder specialists and study coordinators administered the UPDRS (55 items) and MDS‐UPDRS (65 items) to 877 English speaking (78% non‐Latino Caucasian) patients with Parkinson's disease from 39 sites. We compared the two scales using correlative techniques and factor analysis. The MDS‐UPDRS showed high internal consistency (Cronbach's alpha = 0.79–0.93 across parts) and correlated with the original UPDRS (ρ = 0.96). MDS‐UPDRS across‐part correlations ranged from 0.22 to 0.66. Reliable factor structures for each part were obtained (comparative fit index &amp;gt; 0.90 for each part), which support the use of sum scores for each part in preference to a total score of all parts. The combined clinimetric results of this study support the validity of the MDS‐UPDRS for rating PD. © 2008 Movement Disorder Society&lt;/p&gt;&quot;,&quot;issue&quot;:&quot;15&quot;,&quot;volume&quot;:&quot;23&quot;,&quot;container-title-short&quot;:&quot;&quot;},&quot;isTemporary&quot;:false}]},{&quot;citationID&quot;:&quot;MENDELEY_CITATION_c259f35b-d327-44e3-b31d-53cab1932b64&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&quot;,&quot;citationItems&quot;:[{&quot;id&quot;:&quot;e8def684-1e18-3a89-aedc-02f1f39cd987&quot;,&quot;itemData&quot;:{&quot;type&quot;:&quot;article-journal&quot;,&quot;id&quot;:&quot;e8def684-1e18-3a89-aedc-02f1f39cd987&quot;,&quot;title&quot;:&quot;The REM sleep behavior disorder screening questionnaire--a new diagnostic instrument.&quot;,&quot;author&quot;:[{&quot;family&quot;:&quot;Stiasny-Kolster&quot;,&quot;given&quot;:&quot;Karin&quot;,&quot;parse-names&quot;:false,&quot;dropping-particle&quot;:&quot;&quot;,&quot;non-dropping-particle&quot;:&quot;&quot;},{&quot;family&quot;:&quot;Mayer&quot;,&quot;given&quot;:&quot;Geert&quot;,&quot;parse-names&quot;:false,&quot;dropping-particle&quot;:&quot;&quot;,&quot;non-dropping-particle&quot;:&quot;&quot;},{&quot;family&quot;:&quot;Schäfer&quot;,&quot;given&quot;:&quot;Sylvia&quot;,&quot;parse-names&quot;:false,&quot;dropping-particle&quot;:&quot;&quot;,&quot;non-dropping-particle&quot;:&quot;&quot;},{&quot;family&quot;:&quot;Möller&quot;,&quot;given&quot;:&quot;Jens Carsten&quot;,&quot;parse-names&quot;:false,&quot;dropping-particle&quot;:&quot;&quot;,&quot;non-dropping-particle&quot;:&quot;&quot;},{&quot;family&quot;:&quot;Heinzel-Gutenbrunner&quot;,&quot;given&quot;:&quot;Monika&quot;,&quot;parse-names&quot;:false,&quot;dropping-particle&quot;:&quot;&quot;,&quot;non-dropping-particle&quot;:&quot;&quot;},{&quot;family&quot;:&quot;Oertel&quot;,&quot;given&quot;:&quot;Wolfgang H&quot;,&quot;parse-names&quot;:false,&quot;dropping-particle&quot;:&quot;&quot;,&quot;non-dropping-particle&quot;:&quot;&quot;}],&quot;container-title&quot;:&quot;Movement disorders : official journal of the Movement Disorder Society&quot;,&quot;container-title-short&quot;:&quot;Mov Disord&quot;,&quot;DOI&quot;:&quot;10.1002/mds.21740&quot;,&quot;ISSN&quot;:&quot;0885-3185&quot;,&quot;PMID&quot;:&quot;17894337&quot;,&quot;issued&quot;:{&quot;date-parts&quot;:[[2007,12]]},&quot;page&quot;:&quot;2386-93&quot;,&quot;abstract&quot;:&quot;Many patients with assumed idiopathic REM sleep behavior disorder (RBD) may actually represent an early clinical manifestation of an evolving neurodegenerative disorder, such as the alpha-synucleinopathies, Parkinson's disease or multiple system atrophy. Early detection of these patients is clinically relevant for long-term prospective as well as future neuroprotective studies. For this purpose, we validated a 10-item patient self-rating questionnaire (maximum total score 13 points) covering the clinical features of RBD. The RBD screening questionnaire (RBDSQ) was applied to 54 patients with polysomnographically confirmed RBD (29 men; mean age 53.7 +/- 15.8 years), 160 control subjects (81 men; mean age 50.8 +/- 15.5 years) in whom RBD was excluded by history and polysomnography (PSG, control group 1) and 133 unselected healthy subjects (58 men; mean age 46.9 +/- 12.3 years; no PSG, control group 2). In most subjects (n = 153) of control group 1, other sleep-wake disturbances were present. The mean RBDSQ score in the RBD group was 9.5 +/- 2.8 points compared with 4.6 +/- 3.0 points in control group 1 (P &lt; 0.0001). Considering an RBDSQ score of five points as a positive test result, we found a sensitivity of 0.96 and a specificity of 0.56. The RBDSQ poorly discriminated patients with the most challenging differential diagnoses such as sleepwalking or epilepsy. In control group 2, the mean RBDSQ score (2.02 +/- 1.78) was significantly lower than in the RBD group (P &lt; 0.0005), revealing a specificity of 0.92. Due to its high sensitivity, the RBDSQ appears to be particularly useful as a screening tool.&quot;,&quot;issue&quot;:&quot;16&quot;,&quot;volume&quot;:&quot;22&quot;},&quot;isTemporary&quot;:false}]},{&quot;citationID&quot;:&quot;MENDELEY_CITATION_bd0ac03b-b3de-4d27-92fd-bb7a0a9dda44&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&quot;,&quot;citationItems&quot;:[{&quot;id&quot;:&quot;26e1366f-87b9-3e5f-b916-e209bbedcd51&quot;,&quot;itemData&quot;:{&quot;type&quot;:&quot;article-journal&quot;,&quot;id&quot;:&quot;26e1366f-87b9-3e5f-b916-e209bbedcd51&quot;,&quot;title&quot;:&quot;REM sleep behaviour disorder is associated with worse quality of life and other non-motor features in early Parkinson's disease&quot;,&quot;author&quot;:[{&quot;family&quot;:&quot;Rolinski&quot;,&quot;given&quot;:&quot;M.&quot;,&quot;parse-names&quot;:false,&quot;dropping-particle&quot;:&quot;&quot;,&quot;non-dropping-particle&quot;:&quot;&quot;},{&quot;family&quot;:&quot;Szewczyk-Krolikowski&quot;,&quot;given&quot;:&quot;K.&quot;,&quot;parse-names&quot;:false,&quot;dropping-particle&quot;:&quot;&quot;,&quot;non-dropping-particle&quot;:&quot;&quot;},{&quot;family&quot;:&quot;Tomlinson&quot;,&quot;given&quot;:&quot;P. R.&quot;,&quot;parse-names&quot;:false,&quot;dropping-particle&quot;:&quot;&quot;,&quot;non-dropping-particle&quot;:&quot;&quot;},{&quot;family&quot;:&quot;Nithi&quot;,&quot;given&quot;:&quot;K.&quot;,&quot;parse-names&quot;:false,&quot;dropping-particle&quot;:&quot;&quot;,&quot;non-dropping-particle&quot;:&quot;&quot;},{&quot;family&quot;:&quot;Talbot&quot;,&quot;given&quot;:&quot;K.&quot;,&quot;parse-names&quot;:false,&quot;dropping-particle&quot;:&quot;&quot;,&quot;non-dropping-particle&quot;:&quot;&quot;},{&quot;family&quot;:&quot;Ben-Shlomo&quot;,&quot;given&quot;:&quot;Y.&quot;,&quot;parse-names&quot;:false,&quot;dropping-particle&quot;:&quot;&quot;,&quot;non-dropping-particle&quot;:&quot;&quot;},{&quot;family&quot;:&quot;Hu&quot;,&quot;given&quot;:&quot;M. T.&quot;,&quot;parse-names&quot;:false,&quot;dropping-particle&quot;:&quot;&quot;,&quot;non-dropping-particle&quot;:&quot;&quot;}],&quot;container-title&quot;:&quot;Journal of Neurology, Neurosurgery &amp; Psychiatry&quot;,&quot;container-title-short&quot;:&quot;J Neurol Neurosurg Psychiatry&quot;,&quot;DOI&quot;:&quot;10.1136/jnnp-2013-306104&quot;,&quot;ISSN&quot;:&quot;0022-3050&quot;,&quot;issued&quot;:{&quot;date-parts&quot;:[[2014,5,1]]},&quot;page&quot;:&quot;560-566&quot;,&quot;issue&quot;:&quot;5&quot;,&quot;volume&quot;:&quot;85&quot;},&quot;isTemporary&quot;:false}]},{&quot;citationID&quot;:&quot;MENDELEY_CITATION_e91af0dc-f5ac-4bff-8dd3-c44d40555fdb&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&quot;,&quot;citationItems&quot;:[{&quot;id&quot;:&quot;6d26553a-4b40-3215-9ac9-959817729d0b&quot;,&quot;itemData&quot;:{&quot;type&quot;:&quot;article-journal&quot;,&quot;id&quot;:&quot;6d26553a-4b40-3215-9ac9-959817729d0b&quot;,&quot;title&quot;:&quot;Assessment of autonomic dysfunction in Parkinson's disease: the SCOPA-AUT.&quot;,&quot;author&quot;:[{&quot;family&quot;:&quot;Visser&quot;,&quot;given&quot;:&quot;Martine&quot;,&quot;parse-names&quot;:false,&quot;dropping-particle&quot;:&quot;&quot;,&quot;non-dropping-particle&quot;:&quot;&quot;},{&quot;family&quot;:&quot;Marinus&quot;,&quot;given&quot;:&quot;Johan&quot;,&quot;parse-names&quot;:false,&quot;dropping-particle&quot;:&quot;&quot;,&quot;non-dropping-particle&quot;:&quot;&quot;},{&quot;family&quot;:&quot;Stiggelbout&quot;,&quot;given&quot;:&quot;Anne M&quot;,&quot;parse-names&quot;:false,&quot;dropping-particle&quot;:&quot;&quot;,&quot;non-dropping-particle&quot;:&quot;&quot;},{&quot;family&quot;:&quot;Hilten&quot;,&quot;given&quot;:&quot;Jacobus J&quot;,&quot;parse-names&quot;:false,&quot;dropping-particle&quot;:&quot;&quot;,&quot;non-dropping-particle&quot;:&quot;Van&quot;}],&quot;container-title&quot;:&quot;Movement disorders : official journal of the Movement Disorder Society&quot;,&quot;container-title-short&quot;:&quot;Mov Disord&quot;,&quot;DOI&quot;:&quot;10.1002/mds.20153&quot;,&quot;ISSN&quot;:&quot;0885-3185&quot;,&quot;PMID&quot;:&quot;15390007&quot;,&quot;issued&quot;:{&quot;date-parts&quot;:[[2004,11]]},&quot;page&quot;:&quot;1306-12&quot;,&quot;abstract&quot;:&quot;We developed a questionnaire to assess autonomic symptoms in patients with Parkinson's disease (PD) and evaluated its reliability and validity. Based on the results of a postal survey in 46 PD patients, 21 multiple system atrophy patients, and 8 movement disorders specialists, items were included according to their frequency, burden, and clinical relevance. The questionnaire was evaluated in 140 PD patients and 100 controls, and test-retest reliability was established in a sample of 55 PD patients. The SCOPA-AUT consists of 25 items assessing the following regions: gastrointestinal (7), urinary (6), cardiovascular (3), thermoregulatory (4), pupillomotor (1), and sexual (2 items for men and 2 items for women) dysfunction. Test-retest reliability was good. Autonomic problems increased significantly with increasing disease severity for all autonomic regions, except sexual dysfunction. We conclude that SCOPA-AUT is a reliable and valid questionnaire that evaluates autonomic dysfunction in PD.&quot;,&quot;issue&quot;:&quot;11&quot;,&quot;volume&quot;:&quot;19&quot;},&quot;isTemporary&quot;:false}]},{&quot;citationID&quot;:&quot;MENDELEY_CITATION_16ca231b-882f-49db-8681-956c19a98f25&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&quot;,&quot;citationItems&quot;:[{&quot;id&quot;:&quot;166c2e52-b2a3-3200-a19e-c6d182ac57f3&quot;,&quot;itemData&quot;:{&quot;type&quot;:&quot;article-journal&quot;,&quot;id&quot;:&quot;166c2e52-b2a3-3200-a19e-c6d182ac57f3&quot;,&quot;title&quot;:&quot;9/Geriatric Depression Scale (GDS)&quot;,&quot;author&quot;:[{&quot;family&quot;:&quot;Yesavage&quot;,&quot;given&quot;:&quot;Jerome A.&quot;,&quot;parse-names&quot;:false,&quot;dropping-particle&quot;:&quot;&quot;,&quot;non-dropping-particle&quot;:&quot;&quot;},{&quot;family&quot;:&quot;Sheikh&quot;,&quot;given&quot;:&quot;Javaid I.&quot;,&quot;parse-names&quot;:false,&quot;dropping-particle&quot;:&quot;&quot;,&quot;non-dropping-particle&quot;:&quot;&quot;}],&quot;container-title&quot;:&quot;Clinical Gerontologist&quot;,&quot;container-title-short&quot;:&quot;Clin Gerontol&quot;,&quot;DOI&quot;:&quot;10.1300/J018v05n01_09&quot;,&quot;ISSN&quot;:&quot;0731-7115&quot;,&quot;issued&quot;:{&quot;date-parts&quot;:[[1986,11,18]]},&quot;page&quot;:&quot;165-173&quot;,&quot;issue&quot;:&quot;1-2&quot;,&quot;volume&quot;:&quot;5&quot;},&quot;isTemporary&quot;:false}]},{&quot;citationID&quot;:&quot;MENDELEY_CITATION_2557dfeb-79bd-4ea7-b9a1-a9e0ba9c7168&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&quot;,&quot;citationItems&quot;:[{&quot;id&quot;:&quot;5945de16-79d0-3e08-ba46-cfc66bdfe358&quot;,&quot;itemData&quot;:{&quot;type&quot;:&quot;article-journal&quot;,&quot;id&quot;:&quot;5945de16-79d0-3e08-ba46-cfc66bdfe358&quot;,&quot;title&quot;:&quot;The Montreal Cognitive Assessment, MoCA: a brief screening tool for mild cognitive impairment.&quot;,&quot;author&quot;:[{&quot;family&quot;:&quot;Nasreddine&quot;,&quot;given&quot;:&quot;Ziad S&quot;,&quot;parse-names&quot;:false,&quot;dropping-particle&quot;:&quot;&quot;,&quot;non-dropping-particle&quot;:&quot;&quot;},{&quot;family&quot;:&quot;Phillips&quot;,&quot;given&quot;:&quot;Natalie A&quot;,&quot;parse-names&quot;:false,&quot;dropping-particle&quot;:&quot;&quot;,&quot;non-dropping-particle&quot;:&quot;&quot;},{&quot;family&quot;:&quot;Bédirian&quot;,&quot;given&quot;:&quot;Valérie&quot;,&quot;parse-names&quot;:false,&quot;dropping-particle&quot;:&quot;&quot;,&quot;non-dropping-particle&quot;:&quot;&quot;},{&quot;family&quot;:&quot;Charbonneau&quot;,&quot;given&quot;:&quot;Simon&quot;,&quot;parse-names&quot;:false,&quot;dropping-particle&quot;:&quot;&quot;,&quot;non-dropping-particle&quot;:&quot;&quot;},{&quot;family&quot;:&quot;Whitehead&quot;,&quot;given&quot;:&quot;Victor&quot;,&quot;parse-names&quot;:false,&quot;dropping-particle&quot;:&quot;&quot;,&quot;non-dropping-particle&quot;:&quot;&quot;},{&quot;family&quot;:&quot;Collin&quot;,&quot;given&quot;:&quot;Isabelle&quot;,&quot;parse-names&quot;:false,&quot;dropping-particle&quot;:&quot;&quot;,&quot;non-dropping-particle&quot;:&quot;&quot;},{&quot;family&quot;:&quot;Cummings&quot;,&quot;given&quot;:&quot;Jeffrey L&quot;,&quot;parse-names&quot;:false,&quot;dropping-particle&quot;:&quot;&quot;,&quot;non-dropping-particle&quot;:&quot;&quot;},{&quot;family&quot;:&quot;Chertkow&quot;,&quot;given&quot;:&quot;Howard&quot;,&quot;parse-names&quot;:false,&quot;dropping-particle&quot;:&quot;&quot;,&quot;non-dropping-particle&quot;:&quot;&quot;}],&quot;container-title&quot;:&quot;Journal of the American Geriatrics Society&quot;,&quot;container-title-short&quot;:&quot;J Am Geriatr Soc&quot;,&quot;DOI&quot;:&quot;10.1111/j.1532-5415.2005.53221.x&quot;,&quot;ISSN&quot;:&quot;0002-8614&quot;,&quot;PMID&quot;:&quot;15817019&quot;,&quot;issued&quot;:{&quot;date-parts&quot;:[[2005,4]]},&quot;page&quot;:&quot;695-9&quot;,&quot;abstract&quot;:&quot;OBJECTIVES To develop a 10-minute cognitive screening tool (Montreal Cognitive Assessment, MoCA) to assist first-line physicians in detection of mild cognitive impairment (MCI), a clinical state that often progresses to dementia. DESIGN Validation study. SETTING A community clinic and an academic center. PARTICIPANTS Ninety-four patients meeting MCI clinical criteria supported by psychometric measures, 93 patients with mild Alzheimer's disease (AD) (Mini-Mental State Examination (MMSE) score &gt; or =17), and 90 healthy elderly controls (NC). MEASUREMENTS The MoCA and MMSE were administered to all participants, and sensitivity and specificity of both measures were assessed for detection of MCI and mild AD. RESULTS Using a cutoff score 26, the MMSE had a sensitivity of 18% to detect MCI, whereas the MoCA detected 90% of MCI subjects. In the mild AD group, the MMSE had a sensitivity of 78%, whereas the MoCA detected 100%. Specificity was excellent for both MMSE and MoCA (100% and 87%, respectively). CONCLUSION MCI as an entity is evolving and somewhat controversial. The MoCA is a brief cognitive screening tool with high sensitivity and specificity for detecting MCI as currently conceptualized in patients performing in the normal range on the MMSE.&quot;,&quot;issue&quot;:&quot;4&quot;,&quot;volume&quot;:&quot;53&quot;},&quot;isTemporary&quot;:false}]},{&quot;citationID&quot;:&quot;MENDELEY_CITATION_6ff53bbf-927a-4343-9eda-e316c599227f&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&quot;,&quot;citationItems&quot;:[{&quot;id&quot;:&quot;2b321818-dd96-3d55-a782-6ae4d3b7cf4b&quot;,&quot;itemData&quot;:{&quot;type&quot;:&quot;article-journal&quot;,&quot;id&quot;:&quot;2b321818-dd96-3d55-a782-6ae4d3b7cf4b&quot;,&quot;title&quot;:&quot;Hopkins Verbal Learning Test – Revised: Normative Data and Analysis of Inter-Form and Test-Retest Reliability&quot;,&quot;author&quot;:[{&quot;family&quot;:&quot;Benedict&quot;,&quot;given&quot;:&quot;Ralph H.B.&quot;,&quot;parse-names&quot;:false,&quot;dropping-particle&quot;:&quot;&quot;,&quot;non-dropping-particle&quot;:&quot;&quot;},{&quot;family&quot;:&quot;Schretlen&quot;,&quot;given&quot;:&quot;David&quot;,&quot;parse-names&quot;:false,&quot;dropping-particle&quot;:&quot;&quot;,&quot;non-dropping-particle&quot;:&quot;&quot;},{&quot;family&quot;:&quot;Groninger&quot;,&quot;given&quot;:&quot;Lowell&quot;,&quot;parse-names&quot;:false,&quot;dropping-particle&quot;:&quot;&quot;,&quot;non-dropping-particle&quot;:&quot;&quot;},{&quot;family&quot;:&quot;Brandt&quot;,&quot;given&quot;:&quot;Jason&quot;,&quot;parse-names&quot;:false,&quot;dropping-particle&quot;:&quot;&quot;,&quot;non-dropping-particle&quot;:&quot;&quot;}],&quot;container-title&quot;:&quot;The Clinical Neuropsychologist&quot;,&quot;container-title-short&quot;:&quot;Clin Neuropsychol&quot;,&quot;DOI&quot;:&quot;10.1076/clin.12.1.43.1726&quot;,&quot;ISSN&quot;:&quot;1385-4046&quot;,&quot;issued&quot;:{&quot;date-parts&quot;:[[1998,2,9]]},&quot;page&quot;:&quot;43-55&quot;,&quot;issue&quot;:&quot;1&quot;,&quot;volume&quot;:&quot;12&quot;},&quot;isTemporary&quot;:false}]},{&quot;citationID&quot;:&quot;MENDELEY_CITATION_b318a2dc-b3ba-44bd-bccf-e9b59243330d&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&quot;,&quot;citationItems&quot;:[{&quot;id&quot;:&quot;ca63fcda-d9fc-3036-b61d-68acbf8b6d4e&quot;,&quot;itemData&quot;:{&quot;type&quot;:&quot;article-journal&quot;,&quot;id&quot;:&quot;ca63fcda-d9fc-3036-b61d-68acbf8b6d4e&quot;,&quot;title&quot;:&quot;Short forms of the Benton Judgment of Line Orientation Test: development and psychometric properties.&quot;,&quot;author&quot;:[{&quot;family&quot;:&quot;Qualls&quot;,&quot;given&quot;:&quot;C E&quot;,&quot;parse-names&quot;:false,&quot;dropping-particle&quot;:&quot;&quot;,&quot;non-dropping-particle&quot;:&quot;&quot;},{&quot;family&quot;:&quot;Bliwise&quot;,&quot;given&quot;:&quot;N G&quot;,&quot;parse-names&quot;:false,&quot;dropping-particle&quot;:&quot;&quot;,&quot;non-dropping-particle&quot;:&quot;&quot;},{&quot;family&quot;:&quot;Stringer&quot;,&quot;given&quot;:&quot;A Y&quot;,&quot;parse-names&quot;:false,&quot;dropping-particle&quot;:&quot;&quot;,&quot;non-dropping-particle&quot;:&quot;&quot;}],&quot;container-title&quot;:&quot;Archives of clinical neuropsychology : the official journal of the National Academy of Neuropsychologists&quot;,&quot;container-title-short&quot;:&quot;Arch Clin Neuropsychol&quot;,&quot;ISSN&quot;:&quot;0887-6177&quot;,&quot;PMID&quot;:&quot;14590559&quot;,&quot;issued&quot;:{&quot;date-parts&quot;:[[2000,2]]},&quot;page&quot;:&quot;159-63&quot;,&quot;abstract&quot;:&quot;The Benton Judgment of Line Orientation Test (BJLOT) is a widely used neuropsychological test measuring visuospatial judgment. The present study developed two 15-item short forms using data from 100 neurologic patients. The new short forms are equivalent in test construction and retain the stimulus properties of the original test. Correlational analyses revealed that each short form score related significantly to the original BJLOT (p &lt;.001). The short forms were found to be internally consistent, with alpha reliability coefficients exceeding .82. Although kappa coefficient analyses found the short forms to lack sufficient accuracy in categorizing the cases via the BJLOT diagnostic classifications, the short forms were accurate in detecting the presence of impairment. These results suggest that the two short forms can be utilized as screening instruments for detecting the presence or absence of visuospatial impairment.&quot;,&quot;issue&quot;:&quot;2&quot;,&quot;volume&quot;:&quot;15&quot;},&quot;isTemporary&quot;:false}]},{&quot;citationID&quot;:&quot;MENDELEY_CITATION_62b04a2e-cd6b-48dd-82d0-19d1c74d8957&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&quot;,&quot;citationItems&quot;:[{&quot;id&quot;:&quot;4cd67fe0-035e-3b2a-adec-973345427a74&quot;,&quot;itemData&quot;:{&quot;type&quot;:&quot;article-journal&quot;,&quot;id&quot;:&quot;4cd67fe0-035e-3b2a-adec-973345427a74&quot;,&quot;title&quot;:&quot;Wechsler adult intelligence scale.&quot;,&quot;author&quot;:[{&quot;family&quot;:&quot;Wechsler D.&quot;,&quot;given&quot;:&quot;&quot;,&quot;parse-names&quot;:false,&quot;dropping-particle&quot;:&quot;&quot;,&quot;non-dropping-particle&quot;:&quot;&quot;}],&quot;container-title&quot;:&quot;4th edn. San Antonio, TX: Psychological Corporation&quot;,&quot;issued&quot;:{&quot;date-parts&quot;:[[2008]]},&quot;container-title-short&quot;:&quot;&quot;},&quot;isTemporary&quot;:false}]},{&quot;citationID&quot;:&quot;MENDELEY_CITATION_99379681-43a0-4711-88b2-caf6cbde0d3a&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&quot;,&quot;citationItems&quot;:[{&quot;id&quot;:&quot;b4e71f38-087e-3c84-9bf8-02671fda6205&quot;,&quot;itemData&quot;:{&quot;type&quot;:&quot;article-journal&quot;,&quot;id&quot;:&quot;b4e71f38-087e-3c84-9bf8-02671fda6205&quot;,&quot;title&quot;:&quot;Norms for letter and category fluency: demographic corrections for age, education, and ethnicity.&quot;,&quot;author&quot;:[{&quot;family&quot;:&quot;Gladsjo&quot;,&quot;given&quot;:&quot;J A&quot;,&quot;parse-names&quot;:false,&quot;dropping-particle&quot;:&quot;&quot;,&quot;non-dropping-particle&quot;:&quot;&quot;},{&quot;family&quot;:&quot;Schuman&quot;,&quot;given&quot;:&quot;C C&quot;,&quot;parse-names&quot;:false,&quot;dropping-particle&quot;:&quot;&quot;,&quot;non-dropping-particle&quot;:&quot;&quot;},{&quot;family&quot;:&quot;Evans&quot;,&quot;given&quot;:&quot;J D&quot;,&quot;parse-names&quot;:false,&quot;dropping-particle&quot;:&quot;&quot;,&quot;non-dropping-particle&quot;:&quot;&quot;},{&quot;family&quot;:&quot;Peavy&quot;,&quot;given&quot;:&quot;G M&quot;,&quot;parse-names&quot;:false,&quot;dropping-particle&quot;:&quot;&quot;,&quot;non-dropping-particle&quot;:&quot;&quot;},{&quot;family&quot;:&quot;Miller&quot;,&quot;given&quot;:&quot;S W&quot;,&quot;parse-names&quot;:false,&quot;dropping-particle&quot;:&quot;&quot;,&quot;non-dropping-particle&quot;:&quot;&quot;},{&quot;family&quot;:&quot;Heaton&quot;,&quot;given&quot;:&quot;R K&quot;,&quot;parse-names&quot;:false,&quot;dropping-particle&quot;:&quot;&quot;,&quot;non-dropping-particle&quot;:&quot;&quot;}],&quot;container-title&quot;:&quot;Assessment&quot;,&quot;container-title-short&quot;:&quot;Assessment&quot;,&quot;DOI&quot;:&quot;10.1177/107319119900600204&quot;,&quot;ISSN&quot;:&quot;1073-1911&quot;,&quot;PMID&quot;:&quot;10335019&quot;,&quot;issued&quot;:{&quot;date-parts&quot;:[[1999,6]]},&quot;page&quot;:&quot;147-78&quot;,&quot;abstract&quot;:&quot;Letter and category fluency tasks are used to assess semantic knowledge, retrieval ability, and executive functioning. They appear to be useful in detecting different types of dementia, but accurate detection of neuropsychological impairment relies on appropriate normative data. Multiple regression analysis was used to develop demographically corrected norms for letter and category fluency in 768 normal adults. T-score equations were developed on a base subsample of 403, and crossvalidated on a separate subsample (n = 365). Participants ranged in age from 20 years to 101 years; in educational level from 0 to 20 years; 55% were Caucasian and 45% were African American. Together, age, education, and ethnicity were significant predictors of letter and category fluency performance, accounting for 15% and 25% of variance, respectively. Formulas and tables for converting raw fluency scores to demographically corrected T scores are presented.&quot;,&quot;issue&quot;:&quot;2&quot;,&quot;volume&quot;:&quot;6&quot;},&quot;isTemporary&quot;:false}]},{&quot;citationID&quot;:&quot;MENDELEY_CITATION_e10c8b74-8fb7-4053-adbf-e9beb1a9645f&quot;,&quot;properties&quot;:{&quot;noteIndex&quot;:0},&quot;isEdited&quot;:false,&quot;manualOverride&quot;:{&quot;isManuallyOverridden&quot;:false,&quot;citeprocText&quot;:&quot;&lt;sup&gt;14,15&lt;/sup&gt;&quot;,&quot;manualOverrideText&quot;:&quot;&quot;},&quot;citationTag&quot;:&quot;MENDELEY_CITATION_v3_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&quot;,&quot;citationItems&quot;:[{&quot;id&quot;:&quot;78d53a06-a7c5-3d82-b972-dc30a9b26875&quot;,&quot;itemData&quot;:{&quot;type&quot;:&quot;article-journal&quot;,&quot;id&quot;:&quot;78d53a06-a7c5-3d82-b972-dc30a9b26875&quot;,&quot;title&quot;:&quot;The Parkinson Progression Marker Initiative (PPMI).&quot;,&quot;author&quot;:[{&quot;family&quot;:&quot;Parkinson Progression Marker Initiative&quot;,&quot;given&quot;:&quot;&quot;,&quot;parse-names&quot;:false,&quot;dropping-particle&quot;:&quot;&quot;,&quot;non-dropping-particle&quot;:&quot;&quot;}],&quot;container-title&quot;:&quot;Progress in neurobiology&quot;,&quot;container-title-short&quot;:&quot;Prog Neurobiol&quot;,&quot;DOI&quot;:&quot;10.1016/j.pneurobio.2011.09.005&quot;,&quot;ISSN&quot;:&quot;1873-5118&quot;,&quot;PMID&quot;:&quot;21930184&quot;,&quot;issued&quot;:{&quot;date-parts&quot;:[[2011,12]]},&quot;page&quot;:&quot;629-35&quot;,&quot;abstract&quot;:&quot;The Parkinson Progression Marker Initiative (PPMI) is a comprehensive observational, international, multi-center study designed to identify PD progression biomarkers both to improve understanding of disease etiology and course and to provide crucial tools to enhance the likelihood of success of PD modifying therapeutic trials. The PPMI cohort will comprise 400 recently diagnosed PD and 200 healthy subjects followed longitudinally for clinical, imaging and biospecimen biomarker assessment using standardized data acquisition protocols at twenty-one clinical sites. All study data will be integrated in the PPMI study database and will be rapidly and publically available through the PPMI web site- www.ppmi-info.org. Biological samples including longitudinal collection of blood, cerebrospinal fluid (CSF) and urine will be available to scientists by application to an independent PPMI biospecimen review committee also through the PPMI web site. PPMI will rely on a partnership of government, PD foundations, industry and academics working cooperatively. This approach is crucial to enhance the potential for success of this ambitious strategy to develop PD progression biomarkers that will accelerate research in disease modifying therapeutics.&quot;,&quot;issue&quot;:&quot;4&quot;,&quot;volume&quot;:&quot;95&quot;},&quot;isTemporary&quot;:false},{&quot;id&quot;:&quot;61e52bd2-1eae-32d6-bc42-76e281798572&quot;,&quot;itemData&quot;:{&quot;type&quot;:&quot;article-journal&quot;,&quot;id&quot;:&quot;61e52bd2-1eae-32d6-bc42-76e281798572&quot;,&quot;title&quot;:&quot;The Parkinson's progression markers initiative (PPMI) – establishing a PD biomarker cohort&quot;,&quot;author&quot;:[{&quot;family&quot;:&quot;Marek&quot;,&quot;given&quot;:&quot;Kenneth&quot;,&quot;parse-names&quot;:false,&quot;dropping-particle&quot;:&quot;&quot;,&quot;non-dropping-particle&quot;:&quot;&quot;},{&quot;family&quot;:&quot;Chowdhury&quot;,&quot;given&quot;:&quot;Sohini&quot;,&quot;parse-names&quot;:false,&quot;dropping-particle&quot;:&quot;&quot;,&quot;non-dropping-particle&quot;:&quot;&quot;},{&quot;family&quot;:&quot;Siderowf&quot;,&quot;given&quot;:&quot;Andrew&quot;,&quot;parse-names&quot;:false,&quot;dropping-particle&quot;:&quot;&quot;,&quot;non-dropping-particle&quot;:&quot;&quot;},{&quot;family&quot;:&quot;Lasch&quot;,&quot;given&quot;:&quot;Shirley&quot;,&quot;parse-names&quot;:false,&quot;dropping-particle&quot;:&quot;&quot;,&quot;non-dropping-particle&quot;:&quot;&quot;},{&quot;family&quot;:&quot;Coffey&quot;,&quot;given&quot;:&quot;Christopher S.&quot;,&quot;parse-names&quot;:false,&quot;dropping-particle&quot;:&quot;&quot;,&quot;non-dropping-particle&quot;:&quot;&quot;},{&quot;family&quot;:&quot;Caspell‐Garcia&quot;,&quot;given&quot;:&quot;Chelsea&quot;,&quot;parse-names&quot;:false,&quot;dropping-particle&quot;:&quot;&quot;,&quot;non-dropping-particle&quot;:&quot;&quot;},{&quot;family&quot;:&quot;Simuni&quot;,&quot;given&quot;:&quot;Tanya&quot;,&quot;parse-names&quot;:false,&quot;dropping-particle&quot;:&quot;&quot;,&quot;non-dropping-particle&quot;:&quot;&quot;},{&quot;family&quot;:&quot;Jennings&quot;,&quot;given&quot;:&quot;Danna&quot;,&quot;parse-names&quot;:false,&quot;dropping-particle&quot;:&quot;&quot;,&quot;non-dropping-particle&quot;:&quot;&quot;},{&quot;family&quot;:&quot;Tanner&quot;,&quot;given&quot;:&quot;Caroline M.&quot;,&quot;parse-names&quot;:false,&quot;dropping-particle&quot;:&quot;&quot;,&quot;non-dropping-particle&quot;:&quot;&quot;},{&quot;family&quot;:&quot;Trojanowski&quot;,&quot;given&quot;:&quot;John Q.&quot;,&quot;parse-names&quot;:false,&quot;dropping-particle&quot;:&quot;&quot;,&quot;non-dropping-particle&quot;:&quot;&quot;},{&quot;family&quot;:&quot;Shaw&quot;,&quot;given&quot;:&quot;Leslie M.&quot;,&quot;parse-names&quot;:false,&quot;dropping-particle&quot;:&quot;&quot;,&quot;non-dropping-particle&quot;:&quot;&quot;},{&quot;family&quot;:&quot;Seibyl&quot;,&quot;given&quot;:&quot;John&quot;,&quot;parse-names&quot;:false,&quot;dropping-particle&quot;:&quot;&quot;,&quot;non-dropping-particle&quot;:&quot;&quot;},{&quot;family&quot;:&quot;Schuff&quot;,&quot;given&quot;:&quot;Norbert&quot;,&quot;parse-names&quot;:false,&quot;dropping-particle&quot;:&quot;&quot;,&quot;non-dropping-particle&quot;:&quot;&quot;},{&quot;family&quot;:&quot;Singleton&quot;,&quot;given&quot;:&quot;Andrew&quot;,&quot;parse-names&quot;:false,&quot;dropping-particle&quot;:&quot;&quot;,&quot;non-dropping-particle&quot;:&quot;&quot;},{&quot;family&quot;:&quot;Kieburtz&quot;,&quot;given&quot;:&quot;Karl&quot;,&quot;parse-names&quot;:false,&quot;dropping-particle&quot;:&quot;&quot;,&quot;non-dropping-particle&quot;:&quot;&quot;},{&quot;family&quot;:&quot;Toga&quot;,&quot;given&quot;:&quot;Arthur W.&quot;,&quot;parse-names&quot;:false,&quot;dropping-particle&quot;:&quot;&quot;,&quot;non-dropping-particle&quot;:&quot;&quot;},{&quot;family&quot;:&quot;Mollenhauer&quot;,&quot;given&quot;:&quot;Brit&quot;,&quot;parse-names&quot;:false,&quot;dropping-particle&quot;:&quot;&quot;,&quot;non-dropping-particle&quot;:&quot;&quot;},{&quot;family&quot;:&quot;Galasko&quot;,&quot;given&quot;:&quot;Doug&quot;,&quot;parse-names&quot;:false,&quot;dropping-particle&quot;:&quot;&quot;,&quot;non-dropping-particle&quot;:&quot;&quot;},{&quot;family&quot;:&quot;Chahine&quot;,&quot;given&quot;:&quot;Lana M.&quot;,&quot;parse-names&quot;:false,&quot;dropping-particle&quot;:&quot;&quot;,&quot;non-dropping-particle&quot;:&quot;&quot;},{&quot;family&quot;:&quot;Weintraub&quot;,&quot;given&quot;:&quot;Daniel&quot;,&quot;parse-names&quot;:false,&quot;dropping-particle&quot;:&quot;&quot;,&quot;non-dropping-particle&quot;:&quot;&quot;},{&quot;family&quot;:&quot;Foroud&quot;,&quot;given&quot;:&quot;Tatiana&quot;,&quot;parse-names&quot;:false,&quot;dropping-particle&quot;:&quot;&quot;,&quot;non-dropping-particle&quot;:&quot;&quot;},{&quot;family&quot;:&quot;Tosun‐Turgut&quot;,&quot;given&quot;:&quot;Duygu&quot;,&quot;parse-names&quot;:false,&quot;dropping-particle&quot;:&quot;&quot;,&quot;non-dropping-particle&quot;:&quot;&quot;},{&quot;family&quot;:&quot;Poston&quot;,&quot;given&quot;:&quot;Kathleen&quot;,&quot;parse-names&quot;:false,&quot;dropping-particle&quot;:&quot;&quot;,&quot;non-dropping-particle&quot;:&quot;&quot;},{&quot;family&quot;:&quot;Arnedo&quot;,&quot;given&quot;:&quot;Vanessa&quot;,&quot;parse-names&quot;:false,&quot;dropping-particle&quot;:&quot;&quot;,&quot;non-dropping-particle&quot;:&quot;&quot;},{&quot;family&quot;:&quot;Frasier&quot;,&quot;given&quot;:&quot;Mark&quot;,&quot;parse-names&quot;:false,&quot;dropping-particle&quot;:&quot;&quot;,&quot;non-dropping-particle&quot;:&quot;&quot;},{&quot;family&quot;:&quot;Sherer&quot;,&quot;given&quot;:&quot;Todd&quot;,&quot;parse-names&quot;:false,&quot;dropping-particle&quot;:&quot;&quot;,&quot;non-dropping-particle&quot;:&quot;&quot;}],&quot;container-title&quot;:&quot;Annals of Clinical and Translational Neurology&quot;,&quot;container-title-short&quot;:&quot;Ann Clin Transl Neurol&quot;,&quot;DOI&quot;:&quot;10.1002/acn3.644&quot;,&quot;ISSN&quot;:&quot;2328-9503&quot;,&quot;issued&quot;:{&quot;date-parts&quot;:[[2018,12,31]]},&quot;page&quot;:&quot;1460-1477&quot;,&quot;issue&quot;:&quot;12&quot;,&quot;volume&quot;:&quot;5&quot;},&quot;isTemporary&quot;:false}]},{&quot;citationID&quot;:&quot;MENDELEY_CITATION_108ccab3-3b67-4fdc-b0d9-c378a3d31dca&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&quot;,&quot;citationItems&quot;:[{&quot;id&quot;:&quot;61e52bd2-1eae-32d6-bc42-76e281798572&quot;,&quot;itemData&quot;:{&quot;type&quot;:&quot;article-journal&quot;,&quot;id&quot;:&quot;61e52bd2-1eae-32d6-bc42-76e281798572&quot;,&quot;title&quot;:&quot;The Parkinson's progression markers initiative (PPMI) – establishing a PD biomarker cohort&quot;,&quot;author&quot;:[{&quot;family&quot;:&quot;Marek&quot;,&quot;given&quot;:&quot;Kenneth&quot;,&quot;parse-names&quot;:false,&quot;dropping-particle&quot;:&quot;&quot;,&quot;non-dropping-particle&quot;:&quot;&quot;},{&quot;family&quot;:&quot;Chowdhury&quot;,&quot;given&quot;:&quot;Sohini&quot;,&quot;parse-names&quot;:false,&quot;dropping-particle&quot;:&quot;&quot;,&quot;non-dropping-particle&quot;:&quot;&quot;},{&quot;family&quot;:&quot;Siderowf&quot;,&quot;given&quot;:&quot;Andrew&quot;,&quot;parse-names&quot;:false,&quot;dropping-particle&quot;:&quot;&quot;,&quot;non-dropping-particle&quot;:&quot;&quot;},{&quot;family&quot;:&quot;Lasch&quot;,&quot;given&quot;:&quot;Shirley&quot;,&quot;parse-names&quot;:false,&quot;dropping-particle&quot;:&quot;&quot;,&quot;non-dropping-particle&quot;:&quot;&quot;},{&quot;family&quot;:&quot;Coffey&quot;,&quot;given&quot;:&quot;Christopher S.&quot;,&quot;parse-names&quot;:false,&quot;dropping-particle&quot;:&quot;&quot;,&quot;non-dropping-particle&quot;:&quot;&quot;},{&quot;family&quot;:&quot;Caspell‐Garcia&quot;,&quot;given&quot;:&quot;Chelsea&quot;,&quot;parse-names&quot;:false,&quot;dropping-particle&quot;:&quot;&quot;,&quot;non-dropping-particle&quot;:&quot;&quot;},{&quot;family&quot;:&quot;Simuni&quot;,&quot;given&quot;:&quot;Tanya&quot;,&quot;parse-names&quot;:false,&quot;dropping-particle&quot;:&quot;&quot;,&quot;non-dropping-particle&quot;:&quot;&quot;},{&quot;family&quot;:&quot;Jennings&quot;,&quot;given&quot;:&quot;Danna&quot;,&quot;parse-names&quot;:false,&quot;dropping-particle&quot;:&quot;&quot;,&quot;non-dropping-particle&quot;:&quot;&quot;},{&quot;family&quot;:&quot;Tanner&quot;,&quot;given&quot;:&quot;Caroline M.&quot;,&quot;parse-names&quot;:false,&quot;dropping-particle&quot;:&quot;&quot;,&quot;non-dropping-particle&quot;:&quot;&quot;},{&quot;family&quot;:&quot;Trojanowski&quot;,&quot;given&quot;:&quot;John Q.&quot;,&quot;parse-names&quot;:false,&quot;dropping-particle&quot;:&quot;&quot;,&quot;non-dropping-particle&quot;:&quot;&quot;},{&quot;family&quot;:&quot;Shaw&quot;,&quot;given&quot;:&quot;Leslie M.&quot;,&quot;parse-names&quot;:false,&quot;dropping-particle&quot;:&quot;&quot;,&quot;non-dropping-particle&quot;:&quot;&quot;},{&quot;family&quot;:&quot;Seibyl&quot;,&quot;given&quot;:&quot;John&quot;,&quot;parse-names&quot;:false,&quot;dropping-particle&quot;:&quot;&quot;,&quot;non-dropping-particle&quot;:&quot;&quot;},{&quot;family&quot;:&quot;Schuff&quot;,&quot;given&quot;:&quot;Norbert&quot;,&quot;parse-names&quot;:false,&quot;dropping-particle&quot;:&quot;&quot;,&quot;non-dropping-particle&quot;:&quot;&quot;},{&quot;family&quot;:&quot;Singleton&quot;,&quot;given&quot;:&quot;Andrew&quot;,&quot;parse-names&quot;:false,&quot;dropping-particle&quot;:&quot;&quot;,&quot;non-dropping-particle&quot;:&quot;&quot;},{&quot;family&quot;:&quot;Kieburtz&quot;,&quot;given&quot;:&quot;Karl&quot;,&quot;parse-names&quot;:false,&quot;dropping-particle&quot;:&quot;&quot;,&quot;non-dropping-particle&quot;:&quot;&quot;},{&quot;family&quot;:&quot;Toga&quot;,&quot;given&quot;:&quot;Arthur W.&quot;,&quot;parse-names&quot;:false,&quot;dropping-particle&quot;:&quot;&quot;,&quot;non-dropping-particle&quot;:&quot;&quot;},{&quot;family&quot;:&quot;Mollenhauer&quot;,&quot;given&quot;:&quot;Brit&quot;,&quot;parse-names&quot;:false,&quot;dropping-particle&quot;:&quot;&quot;,&quot;non-dropping-particle&quot;:&quot;&quot;},{&quot;family&quot;:&quot;Galasko&quot;,&quot;given&quot;:&quot;Doug&quot;,&quot;parse-names&quot;:false,&quot;dropping-particle&quot;:&quot;&quot;,&quot;non-dropping-particle&quot;:&quot;&quot;},{&quot;family&quot;:&quot;Chahine&quot;,&quot;given&quot;:&quot;Lana M.&quot;,&quot;parse-names&quot;:false,&quot;dropping-particle&quot;:&quot;&quot;,&quot;non-dropping-particle&quot;:&quot;&quot;},{&quot;family&quot;:&quot;Weintraub&quot;,&quot;given&quot;:&quot;Daniel&quot;,&quot;parse-names&quot;:false,&quot;dropping-particle&quot;:&quot;&quot;,&quot;non-dropping-particle&quot;:&quot;&quot;},{&quot;family&quot;:&quot;Foroud&quot;,&quot;given&quot;:&quot;Tatiana&quot;,&quot;parse-names&quot;:false,&quot;dropping-particle&quot;:&quot;&quot;,&quot;non-dropping-particle&quot;:&quot;&quot;},{&quot;family&quot;:&quot;Tosun‐Turgut&quot;,&quot;given&quot;:&quot;Duygu&quot;,&quot;parse-names&quot;:false,&quot;dropping-particle&quot;:&quot;&quot;,&quot;non-dropping-particle&quot;:&quot;&quot;},{&quot;family&quot;:&quot;Poston&quot;,&quot;given&quot;:&quot;Kathleen&quot;,&quot;parse-names&quot;:false,&quot;dropping-particle&quot;:&quot;&quot;,&quot;non-dropping-particle&quot;:&quot;&quot;},{&quot;family&quot;:&quot;Arnedo&quot;,&quot;given&quot;:&quot;Vanessa&quot;,&quot;parse-names&quot;:false,&quot;dropping-particle&quot;:&quot;&quot;,&quot;non-dropping-particle&quot;:&quot;&quot;},{&quot;family&quot;:&quot;Frasier&quot;,&quot;given&quot;:&quot;Mark&quot;,&quot;parse-names&quot;:false,&quot;dropping-particle&quot;:&quot;&quot;,&quot;non-dropping-particle&quot;:&quot;&quot;},{&quot;family&quot;:&quot;Sherer&quot;,&quot;given&quot;:&quot;Todd&quot;,&quot;parse-names&quot;:false,&quot;dropping-particle&quot;:&quot;&quot;,&quot;non-dropping-particle&quot;:&quot;&quot;}],&quot;container-title&quot;:&quot;Annals of Clinical and Translational Neurology&quot;,&quot;container-title-short&quot;:&quot;Ann Clin Transl Neurol&quot;,&quot;DOI&quot;:&quot;10.1002/acn3.644&quot;,&quot;ISSN&quot;:&quot;2328-9503&quot;,&quot;issued&quot;:{&quot;date-parts&quot;:[[2018,12,31]]},&quot;page&quot;:&quot;1460-1477&quot;,&quot;issue&quot;:&quot;12&quot;,&quot;volume&quot;:&quot;5&quot;},&quot;isTemporary&quot;:false}]},{&quot;citationID&quot;:&quot;MENDELEY_CITATION_d9cf7cb3-8cda-4efe-9195-de8dae0d9e7d&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&quot;,&quot;citationItems&quot;:[{&quot;id&quot;:&quot;03cd5920-9309-3568-886f-46419a7b354f&quot;,&quot;itemData&quot;:{&quot;type&quot;:&quot;article-journal&quot;,&quot;id&quot;:&quot;03cd5920-9309-3568-886f-46419a7b354f&quot;,&quot;title&quot;:&quot;Dopaminergic connectivity reconfiguration in the dementia with Lewy bodies continuum.&quot;,&quot;author&quot;:[{&quot;family&quot;:&quot;Caminiti&quot;,&quot;given&quot;:&quot;Silvia Paola&quot;,&quot;parse-names&quot;:false,&quot;dropping-particle&quot;:&quot;&quot;,&quot;non-dropping-particle&quot;:&quot;&quot;},{&quot;family&quot;:&quot;Pilotto&quot;,&quot;given&quot;:&quot;Andrea&quot;,&quot;parse-names&quot;:false,&quot;dropping-particle&quot;:&quot;&quot;,&quot;non-dropping-particle&quot;:&quot;&quot;},{&quot;family&quot;:&quot;Premi&quot;,&quot;given&quot;:&quot;Enrico&quot;,&quot;parse-names&quot;:false,&quot;dropping-particle&quot;:&quot;&quot;,&quot;non-dropping-particle&quot;:&quot;&quot;},{&quot;family&quot;:&quot;Galli&quot;,&quot;given&quot;:&quot;Alice&quot;,&quot;parse-names&quot;:false,&quot;dropping-particle&quot;:&quot;&quot;,&quot;non-dropping-particle&quot;:&quot;&quot;},{&quot;family&quot;:&quot;Ferrari&quot;,&quot;given&quot;:&quot;Elisabetta&quot;,&quot;parse-names&quot;:false,&quot;dropping-particle&quot;:&quot;&quot;,&quot;non-dropping-particle&quot;:&quot;&quot;},{&quot;family&quot;:&quot;Gipponi&quot;,&quot;given&quot;:&quot;Stefano&quot;,&quot;parse-names&quot;:false,&quot;dropping-particle&quot;:&quot;&quot;,&quot;non-dropping-particle&quot;:&quot;&quot;},{&quot;family&quot;:&quot;Cottini&quot;,&quot;given&quot;:&quot;Elisabetta&quot;,&quot;parse-names&quot;:false,&quot;dropping-particle&quot;:&quot;&quot;,&quot;non-dropping-particle&quot;:&quot;&quot;},{&quot;family&quot;:&quot;Paghera&quot;,&quot;given&quot;:&quot;Barbara&quot;,&quot;parse-names&quot;:false,&quot;dropping-particle&quot;:&quot;&quot;,&quot;non-dropping-particle&quot;:&quot;&quot;},{&quot;family&quot;:&quot;Perani&quot;,&quot;given&quot;:&quot;Daniela&quot;,&quot;parse-names&quot;:false,&quot;dropping-particle&quot;:&quot;&quot;,&quot;non-dropping-particle&quot;:&quot;&quot;},{&quot;family&quot;:&quot;Padovani&quot;,&quot;given&quot;:&quot;Alessandro&quot;,&quot;parse-names&quot;:false,&quot;dropping-particle&quot;:&quot;&quot;,&quot;non-dropping-particle&quot;:&quot;&quot;}],&quot;container-title&quot;:&quot;Parkinsonism &amp; related disorders&quot;,&quot;container-title-short&quot;:&quot;Parkinsonism Relat Disord&quot;,&quot;DOI&quot;:&quot;10.1016/j.parkreldis.2023.105288&quot;,&quot;ISSN&quot;:&quot;1873-5126&quot;,&quot;PMID&quot;:&quot;36724569&quot;,&quot;issued&quot;:{&quot;date-parts&quot;:[[2023,3]]},&quot;page&quot;:&quot;105288&quot;,&quot;abstract&quot;:&quot;INTRODUCTION The impairment of nigrostriatal dopaminergic network is a core feature of dementia with Lewy bodies (DLB). The involvement and reconfiguration of extranigrostriatal dopaminergic circuitries in the DLB continuum is still theme of debate. We aim to investigate in vivo the dynamic changes of local and long-distance dopaminergic networks across DLB continuum. METHODS Forty-nine patients (including 29 with dementia and 20 prodromal cases) and fifty-two controls entered the study. Each subject underwent a standardized clinical and neurological examination and performed Brain SPECT to measuring brain dopamine transporter (DAT) density. Spatially normalized images underwent the occipital-adjusted specific binding to obtain parametric data. The ANCOVA was applied to assess 123I-FP-CIT differences between pDLB, overt-DLB and CG, considering age, gender, and motor impairment as variables of no interest. Between-nodes correlation analysis measured molecular connectivity within the ventral and dorsal dopaminergic networks. RESULTS Prodromal DLB and DLB patients showed comparable nigrostriatal deficits in basal ganglia regions compared with CG. Molecular connectivity analyses revealed extensive connectivity losses, more in ventral than in dorsal dopaminergic network in DLB dementia. Conversely, the prodromal group showed increased connectivity compared to CG, mostly putamen-thalamus-cortical and striatal-cortical connectivity. CONCLUSIONS This study indicates a comparable basal ganglia deficit in nigrostriatal projections in DLB continuum and supports a different reorganization of extra-striatal dopaminergic connectivity in the prodromal phases of DLB. The shift from an increased to a decreased bilateral putamen-thalamus-cortex connectivity might be a hallmark of transition from prodromal to dementia DLB stages.&quot;,&quot;volume&quot;:&quot;108&quot;},&quot;isTemporary&quot;:false}]},{&quot;citationID&quot;:&quot;MENDELEY_CITATION_d78729b5-eba9-4aed-bc72-80bd722af48e&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&quot;,&quot;citationItems&quot;:[{&quot;id&quot;:&quot;03cd5920-9309-3568-886f-46419a7b354f&quot;,&quot;itemData&quot;:{&quot;type&quot;:&quot;article-journal&quot;,&quot;id&quot;:&quot;03cd5920-9309-3568-886f-46419a7b354f&quot;,&quot;title&quot;:&quot;Dopaminergic connectivity reconfiguration in the dementia with Lewy bodies continuum.&quot;,&quot;author&quot;:[{&quot;family&quot;:&quot;Caminiti&quot;,&quot;given&quot;:&quot;Silvia Paola&quot;,&quot;parse-names&quot;:false,&quot;dropping-particle&quot;:&quot;&quot;,&quot;non-dropping-particle&quot;:&quot;&quot;},{&quot;family&quot;:&quot;Pilotto&quot;,&quot;given&quot;:&quot;Andrea&quot;,&quot;parse-names&quot;:false,&quot;dropping-particle&quot;:&quot;&quot;,&quot;non-dropping-particle&quot;:&quot;&quot;},{&quot;family&quot;:&quot;Premi&quot;,&quot;given&quot;:&quot;Enrico&quot;,&quot;parse-names&quot;:false,&quot;dropping-particle&quot;:&quot;&quot;,&quot;non-dropping-particle&quot;:&quot;&quot;},{&quot;family&quot;:&quot;Galli&quot;,&quot;given&quot;:&quot;Alice&quot;,&quot;parse-names&quot;:false,&quot;dropping-particle&quot;:&quot;&quot;,&quot;non-dropping-particle&quot;:&quot;&quot;},{&quot;family&quot;:&quot;Ferrari&quot;,&quot;given&quot;:&quot;Elisabetta&quot;,&quot;parse-names&quot;:false,&quot;dropping-particle&quot;:&quot;&quot;,&quot;non-dropping-particle&quot;:&quot;&quot;},{&quot;family&quot;:&quot;Gipponi&quot;,&quot;given&quot;:&quot;Stefano&quot;,&quot;parse-names&quot;:false,&quot;dropping-particle&quot;:&quot;&quot;,&quot;non-dropping-particle&quot;:&quot;&quot;},{&quot;family&quot;:&quot;Cottini&quot;,&quot;given&quot;:&quot;Elisabetta&quot;,&quot;parse-names&quot;:false,&quot;dropping-particle&quot;:&quot;&quot;,&quot;non-dropping-particle&quot;:&quot;&quot;},{&quot;family&quot;:&quot;Paghera&quot;,&quot;given&quot;:&quot;Barbara&quot;,&quot;parse-names&quot;:false,&quot;dropping-particle&quot;:&quot;&quot;,&quot;non-dropping-particle&quot;:&quot;&quot;},{&quot;family&quot;:&quot;Perani&quot;,&quot;given&quot;:&quot;Daniela&quot;,&quot;parse-names&quot;:false,&quot;dropping-particle&quot;:&quot;&quot;,&quot;non-dropping-particle&quot;:&quot;&quot;},{&quot;family&quot;:&quot;Padovani&quot;,&quot;given&quot;:&quot;Alessandro&quot;,&quot;parse-names&quot;:false,&quot;dropping-particle&quot;:&quot;&quot;,&quot;non-dropping-particle&quot;:&quot;&quot;}],&quot;container-title&quot;:&quot;Parkinsonism &amp; related disorders&quot;,&quot;container-title-short&quot;:&quot;Parkinsonism Relat Disord&quot;,&quot;DOI&quot;:&quot;10.1016/j.parkreldis.2023.105288&quot;,&quot;ISSN&quot;:&quot;1873-5126&quot;,&quot;PMID&quot;:&quot;36724569&quot;,&quot;issued&quot;:{&quot;date-parts&quot;:[[2023,3]]},&quot;page&quot;:&quot;105288&quot;,&quot;abstract&quot;:&quot;INTRODUCTION The impairment of nigrostriatal dopaminergic network is a core feature of dementia with Lewy bodies (DLB). The involvement and reconfiguration of extranigrostriatal dopaminergic circuitries in the DLB continuum is still theme of debate. We aim to investigate in vivo the dynamic changes of local and long-distance dopaminergic networks across DLB continuum. METHODS Forty-nine patients (including 29 with dementia and 20 prodromal cases) and fifty-two controls entered the study. Each subject underwent a standardized clinical and neurological examination and performed Brain SPECT to measuring brain dopamine transporter (DAT) density. Spatially normalized images underwent the occipital-adjusted specific binding to obtain parametric data. The ANCOVA was applied to assess 123I-FP-CIT differences between pDLB, overt-DLB and CG, considering age, gender, and motor impairment as variables of no interest. Between-nodes correlation analysis measured molecular connectivity within the ventral and dorsal dopaminergic networks. RESULTS Prodromal DLB and DLB patients showed comparable nigrostriatal deficits in basal ganglia regions compared with CG. Molecular connectivity analyses revealed extensive connectivity losses, more in ventral than in dorsal dopaminergic network in DLB dementia. Conversely, the prodromal group showed increased connectivity compared to CG, mostly putamen-thalamus-cortical and striatal-cortical connectivity. CONCLUSIONS This study indicates a comparable basal ganglia deficit in nigrostriatal projections in DLB continuum and supports a different reorganization of extra-striatal dopaminergic connectivity in the prodromal phases of DLB. The shift from an increased to a decreased bilateral putamen-thalamus-cortex connectivity might be a hallmark of transition from prodromal to dementia DLB stages.&quot;,&quot;volume&quot;:&quot;108&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ISO690Nmerical.XSL" StyleName="ISO 690 - Riferimento numerico" Version="1987"/>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V2UgVBHj0r7BVh6VSGxtuP/QewQ==">CgMxLjA4AHIhMW14LTZjUlVsLWdxaDlVY2JRRHpZNGdmRkN6VEpTYnRr</go:docsCustomData>
</go:gDocsCustomXmlDataStorage>
</file>

<file path=customXml/itemProps1.xml><?xml version="1.0" encoding="utf-8"?>
<ds:datastoreItem xmlns:ds="http://schemas.openxmlformats.org/officeDocument/2006/customXml" ds:itemID="{7759086B-4165-B048-839D-E8B34267560A}">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10</Pages>
  <Words>2574</Words>
  <Characters>14673</Characters>
  <Application>Microsoft Office Word</Application>
  <DocSecurity>0</DocSecurity>
  <Lines>122</Lines>
  <Paragraphs>34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17213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Rachele Malito</dc:creator>
  <cp:lastModifiedBy>Rachele Malito</cp:lastModifiedBy>
  <cp:revision>8</cp:revision>
  <dcterms:created xsi:type="dcterms:W3CDTF">2024-08-06T11:41:00Z</dcterms:created>
  <dcterms:modified xsi:type="dcterms:W3CDTF">2024-08-08T15:37:00Z</dcterms:modified>
</cp:coreProperties>
</file>