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E02714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DengXian" w:hAnsi="Times New Roman" w:cs="Times New Roman"/>
          <w:color w:val="000000"/>
          <w:lang w:eastAsia="zh-CN"/>
        </w:rPr>
        <w:t>Supplementary information</w:t>
      </w:r>
    </w:p>
    <w:p w14:paraId="72480BBF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SimSun" w:hAnsi="Times New Roman" w:cs="Times New Roman"/>
          <w:noProof/>
          <w:color w:val="000000"/>
          <w:lang w:eastAsia="zh-CN"/>
          <w14:ligatures w14:val="none"/>
        </w:rPr>
        <w:drawing>
          <wp:inline distT="0" distB="0" distL="0" distR="0" wp14:anchorId="330251F7" wp14:editId="7B0F4DCA">
            <wp:extent cx="5274310" cy="2173605"/>
            <wp:effectExtent l="0" t="0" r="2540" b="0"/>
            <wp:docPr id="30987290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7844A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DengXian" w:hAnsi="Times New Roman" w:cs="Times New Roman"/>
          <w:color w:val="000000"/>
          <w:lang w:eastAsia="zh-CN"/>
        </w:rPr>
        <w:t>Table S1 Net drifts and Local drifts</w:t>
      </w:r>
      <w:r w:rsidRPr="00ED5C6C">
        <w:rPr>
          <w:rFonts w:ascii="Times New Roman" w:eastAsia="DengXian" w:hAnsi="Times New Roman" w:cs="Times New Roman"/>
          <w:color w:val="000000"/>
          <w:lang w:eastAsia="zh-CN"/>
        </w:rPr>
        <w:t>（</w:t>
      </w:r>
      <w:r w:rsidRPr="00ED5C6C">
        <w:rPr>
          <w:rFonts w:ascii="Times New Roman" w:eastAsia="DengXian" w:hAnsi="Times New Roman" w:cs="Times New Roman"/>
          <w:color w:val="000000"/>
          <w:lang w:eastAsia="zh-CN"/>
        </w:rPr>
        <w:t>% per year</w:t>
      </w:r>
      <w:r w:rsidRPr="00ED5C6C">
        <w:rPr>
          <w:rFonts w:ascii="Times New Roman" w:eastAsia="DengXian" w:hAnsi="Times New Roman" w:cs="Times New Roman"/>
          <w:color w:val="000000"/>
          <w:lang w:eastAsia="zh-CN"/>
        </w:rPr>
        <w:t>）</w:t>
      </w:r>
      <w:r w:rsidRPr="00ED5C6C">
        <w:rPr>
          <w:rFonts w:ascii="Times New Roman" w:eastAsia="DengXian" w:hAnsi="Times New Roman" w:cs="Times New Roman"/>
          <w:color w:val="000000"/>
          <w:lang w:eastAsia="zh-CN"/>
        </w:rPr>
        <w:t>of death rate for lower respiratory infection in 2019 and the average annual percent change during the period 1990–2019 in the BRICS+ countries</w:t>
      </w:r>
    </w:p>
    <w:p w14:paraId="429AE5EC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4B735CCF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23BC5561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SimSun" w:hAnsi="Times New Roman" w:cs="Times New Roman"/>
          <w:noProof/>
          <w:color w:val="000000"/>
          <w:lang w:eastAsia="zh-CN"/>
          <w14:ligatures w14:val="none"/>
        </w:rPr>
        <w:drawing>
          <wp:inline distT="0" distB="0" distL="0" distR="0" wp14:anchorId="15282F27" wp14:editId="41A5ACE1">
            <wp:extent cx="5274310" cy="3651885"/>
            <wp:effectExtent l="0" t="0" r="2540" b="5715"/>
            <wp:docPr id="134217287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5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243E76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DengXian" w:hAnsi="Times New Roman" w:cs="Times New Roman"/>
          <w:color w:val="000000"/>
          <w:lang w:eastAsia="zh-CN"/>
        </w:rPr>
        <w:lastRenderedPageBreak/>
        <w:t>Table S2: Incidence of lower respiratory infections in 1990 and 2019 and the percentage change in the age-standardised rates (ASRs) per 100,000 in the BRICS+ Countries</w:t>
      </w:r>
    </w:p>
    <w:p w14:paraId="087CEEA4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3BDBBEC7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7832B0C8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SimSun" w:hAnsi="Times New Roman" w:cs="Times New Roman"/>
          <w:noProof/>
          <w:color w:val="000000"/>
          <w:lang w:eastAsia="zh-CN"/>
          <w14:ligatures w14:val="none"/>
        </w:rPr>
        <w:drawing>
          <wp:inline distT="0" distB="0" distL="0" distR="0" wp14:anchorId="0BE6190B" wp14:editId="155B84A7">
            <wp:extent cx="5274310" cy="3360420"/>
            <wp:effectExtent l="0" t="0" r="2540" b="0"/>
            <wp:docPr id="47871052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4D65A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DengXian" w:hAnsi="Times New Roman" w:cs="Times New Roman"/>
          <w:color w:val="000000"/>
          <w:lang w:eastAsia="zh-CN"/>
        </w:rPr>
        <w:t xml:space="preserve">Table S3: Deaths from lower respiratory infections in 1990 and 2019 and the percentage change in the age-standardised rates (ASRs) per 100,000 in the BRICS+ Countries  </w:t>
      </w:r>
    </w:p>
    <w:p w14:paraId="73901189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78FDA29C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355445F7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SimSun" w:hAnsi="Times New Roman" w:cs="Times New Roman"/>
          <w:noProof/>
          <w:color w:val="000000"/>
          <w:lang w:eastAsia="zh-CN"/>
          <w14:ligatures w14:val="none"/>
        </w:rPr>
        <w:lastRenderedPageBreak/>
        <w:drawing>
          <wp:inline distT="0" distB="0" distL="0" distR="0" wp14:anchorId="72FCC358" wp14:editId="65DF0E83">
            <wp:extent cx="5274310" cy="3473450"/>
            <wp:effectExtent l="0" t="0" r="2540" b="0"/>
            <wp:docPr id="167809398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0CE1FA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DengXian" w:hAnsi="Times New Roman" w:cs="Times New Roman"/>
          <w:color w:val="000000"/>
          <w:lang w:eastAsia="zh-CN"/>
        </w:rPr>
        <w:t>Table S4: DALYs due to lower respiratory infections in 1990 and 2019 and the percentage change in the age-standardised rates (ASRs) per 100,000 in the BRICS+ Countries</w:t>
      </w:r>
    </w:p>
    <w:p w14:paraId="72463E6F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0BD62A07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32171234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SimSun" w:hAnsi="Times New Roman" w:cs="Times New Roman"/>
          <w:noProof/>
          <w:color w:val="000000"/>
          <w:lang w:eastAsia="zh-CN"/>
          <w14:ligatures w14:val="none"/>
        </w:rPr>
        <w:drawing>
          <wp:inline distT="0" distB="0" distL="0" distR="0" wp14:anchorId="393CA80F" wp14:editId="67081393">
            <wp:extent cx="5274310" cy="960755"/>
            <wp:effectExtent l="0" t="0" r="2540" b="0"/>
            <wp:docPr id="159114292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22F8E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DengXian" w:hAnsi="Times New Roman" w:cs="Times New Roman"/>
          <w:color w:val="000000"/>
          <w:lang w:eastAsia="zh-CN"/>
        </w:rPr>
        <w:t xml:space="preserve">Table S5. The local drifts for BRICS+ countries by gender </w:t>
      </w:r>
    </w:p>
    <w:p w14:paraId="4C872C2F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78B6D97E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19C2AF7C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SimSun" w:hAnsi="Times New Roman" w:cs="Times New Roman"/>
          <w:noProof/>
          <w:color w:val="000000"/>
          <w:lang w:eastAsia="zh-CN"/>
          <w14:ligatures w14:val="none"/>
        </w:rPr>
        <w:lastRenderedPageBreak/>
        <w:drawing>
          <wp:inline distT="0" distB="0" distL="0" distR="0" wp14:anchorId="3BE3DD39" wp14:editId="2FAA9FFC">
            <wp:extent cx="5274310" cy="3114675"/>
            <wp:effectExtent l="0" t="0" r="2540" b="9525"/>
            <wp:docPr id="119028653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2F380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  <w:r w:rsidRPr="00ED5C6C">
        <w:rPr>
          <w:rFonts w:ascii="Times New Roman" w:eastAsia="DengXian" w:hAnsi="Times New Roman" w:cs="Times New Roman"/>
          <w:color w:val="000000"/>
          <w:lang w:eastAsia="zh-CN"/>
        </w:rPr>
        <w:t>Table S6. Wald Chi Square tests for estimable functions in the APC model.</w:t>
      </w:r>
    </w:p>
    <w:p w14:paraId="23D44BF8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lang w:eastAsia="zh-CN"/>
        </w:rPr>
      </w:pPr>
    </w:p>
    <w:p w14:paraId="22733419" w14:textId="77777777" w:rsidR="00A44885" w:rsidRPr="00ED5C6C" w:rsidRDefault="00A44885" w:rsidP="00A44885">
      <w:pPr>
        <w:spacing w:line="480" w:lineRule="auto"/>
        <w:rPr>
          <w:rFonts w:ascii="Times New Roman" w:eastAsia="DengXian" w:hAnsi="Times New Roman" w:cs="Times New Roman"/>
          <w:color w:val="000000"/>
          <w:szCs w:val="24"/>
          <w:lang w:eastAsia="zh-CN"/>
        </w:rPr>
      </w:pPr>
      <w:r w:rsidRPr="00ED5C6C">
        <w:rPr>
          <w:rFonts w:ascii="Times New Roman" w:eastAsia="SimSun" w:hAnsi="Times New Roman" w:cs="Times New Roman"/>
          <w:noProof/>
          <w:color w:val="000000"/>
          <w:szCs w:val="24"/>
          <w:lang w:eastAsia="zh-CN"/>
          <w14:ligatures w14:val="none"/>
        </w:rPr>
        <w:lastRenderedPageBreak/>
        <w:drawing>
          <wp:inline distT="0" distB="0" distL="0" distR="0" wp14:anchorId="3FC85CF1" wp14:editId="04A24D97">
            <wp:extent cx="1105535" cy="8863330"/>
            <wp:effectExtent l="0" t="0" r="0" b="0"/>
            <wp:docPr id="148340908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53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2761A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color w:val="000000"/>
          <w:szCs w:val="24"/>
          <w:lang w:eastAsia="zh-CN"/>
          <w14:ligatures w14:val="none"/>
        </w:rPr>
      </w:pPr>
      <w:r w:rsidRPr="00ED5C6C">
        <w:rPr>
          <w:rFonts w:ascii="Times New Roman" w:eastAsia="SimSun" w:hAnsi="Times New Roman" w:cs="Times New Roman"/>
          <w:color w:val="000000"/>
          <w:szCs w:val="24"/>
          <w:lang w:eastAsia="zh-CN"/>
          <w14:ligatures w14:val="none"/>
        </w:rPr>
        <w:lastRenderedPageBreak/>
        <w:t>Table S7. The LRI deaths and mortality attributable to the 14 risk factors in 1990 and 2019, and trends of mortality from 2000 to 2019.</w:t>
      </w:r>
    </w:p>
    <w:p w14:paraId="4B99A72D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</w:pPr>
    </w:p>
    <w:p w14:paraId="60AF3A1E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</w:pPr>
    </w:p>
    <w:p w14:paraId="3D5589C2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Cs w:val="24"/>
          <w:lang w:val="en-GB" w:eastAsia="zh-CN"/>
          <w14:ligatures w14:val="none"/>
        </w:rPr>
      </w:pPr>
      <w:r w:rsidRPr="00ED5C6C">
        <w:rPr>
          <w:rFonts w:ascii="Times New Roman" w:eastAsia="SimSun" w:hAnsi="Times New Roman" w:cs="Times New Roman"/>
          <w:noProof/>
          <w:color w:val="000000"/>
          <w:szCs w:val="24"/>
          <w:lang w:eastAsia="zh-CN"/>
          <w14:ligatures w14:val="none"/>
        </w:rPr>
        <w:lastRenderedPageBreak/>
        <w:drawing>
          <wp:inline distT="0" distB="0" distL="0" distR="0" wp14:anchorId="61874AA2" wp14:editId="1E470C35">
            <wp:extent cx="4662170" cy="8863330"/>
            <wp:effectExtent l="0" t="0" r="5080" b="0"/>
            <wp:docPr id="197156894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17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2B0CB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</w:pPr>
      <w:r w:rsidRPr="00ED5C6C"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  <w:lastRenderedPageBreak/>
        <w:t>Table S8. The LRI deaths and mortality attributable to the etiology in 1990 and 2019, and trends of mortality from 2000 to 2019.</w:t>
      </w:r>
    </w:p>
    <w:p w14:paraId="37952301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6"/>
          <w:szCs w:val="26"/>
          <w:lang w:val="en-GB" w:eastAsia="zh-CN"/>
          <w14:ligatures w14:val="none"/>
        </w:rPr>
      </w:pPr>
    </w:p>
    <w:p w14:paraId="6F6CAD3C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6"/>
          <w:szCs w:val="26"/>
          <w:lang w:val="en-GB" w:eastAsia="zh-CN"/>
          <w14:ligatures w14:val="none"/>
        </w:rPr>
      </w:pPr>
      <w:r w:rsidRPr="00ED5C6C">
        <w:rPr>
          <w:rFonts w:ascii="Times New Roman" w:eastAsia="SimSun" w:hAnsi="Times New Roman" w:cs="Times New Roman"/>
          <w:noProof/>
          <w:color w:val="000000"/>
          <w:lang w:eastAsia="zh-CN"/>
          <w14:ligatures w14:val="none"/>
        </w:rPr>
        <w:drawing>
          <wp:inline distT="0" distB="0" distL="0" distR="0" wp14:anchorId="26AC218D" wp14:editId="348FDEF6">
            <wp:extent cx="4572000" cy="2160905"/>
            <wp:effectExtent l="0" t="0" r="0" b="0"/>
            <wp:docPr id="166961534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16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EC8C4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</w:pPr>
      <w:r w:rsidRPr="00ED5C6C"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  <w:t>Table S9.</w:t>
      </w:r>
      <w:r w:rsidRPr="00ED5C6C">
        <w:rPr>
          <w:rFonts w:ascii="Times New Roman" w:eastAsia="SimSun" w:hAnsi="Times New Roman" w:cs="Times New Roman"/>
          <w:color w:val="000000"/>
          <w:sz w:val="22"/>
          <w:szCs w:val="21"/>
          <w:lang w:eastAsia="zh-CN"/>
          <w14:ligatures w14:val="none"/>
        </w:rPr>
        <w:t xml:space="preserve"> </w:t>
      </w:r>
      <w:r w:rsidRPr="00ED5C6C"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  <w:t>Pearson Correlation Coefficient between the DALYs and SDI</w:t>
      </w:r>
    </w:p>
    <w:p w14:paraId="7EA8C551" w14:textId="77777777" w:rsidR="00A44885" w:rsidRPr="00ED5C6C" w:rsidRDefault="00A44885" w:rsidP="00A44885">
      <w:pPr>
        <w:spacing w:line="480" w:lineRule="auto"/>
        <w:rPr>
          <w:rFonts w:ascii="Times New Roman" w:eastAsia="SimSun" w:hAnsi="Times New Roman" w:cs="Times New Roman"/>
          <w:color w:val="000000"/>
          <w:szCs w:val="24"/>
          <w:lang w:val="en-GB" w:eastAsia="zh-CN"/>
          <w14:ligatures w14:val="none"/>
        </w:rPr>
      </w:pPr>
    </w:p>
    <w:p w14:paraId="2BA6A485" w14:textId="77777777" w:rsidR="00A44885" w:rsidRPr="00ED5C6C" w:rsidRDefault="00A44885" w:rsidP="00A44885">
      <w:pPr>
        <w:rPr>
          <w:lang w:val="en-GB"/>
        </w:rPr>
      </w:pPr>
    </w:p>
    <w:p w14:paraId="6262E5EB" w14:textId="77777777" w:rsidR="00755780" w:rsidRDefault="00755780"/>
    <w:sectPr w:rsidR="00755780" w:rsidSect="00A44885">
      <w:footerReference w:type="default" r:id="rId13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093151619"/>
      <w:docPartObj>
        <w:docPartGallery w:val="Page Numbers (Bottom of Page)"/>
        <w:docPartUnique/>
      </w:docPartObj>
    </w:sdtPr>
    <w:sdtContent>
      <w:p w14:paraId="0E695AD0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ACD901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885"/>
    <w:rsid w:val="00331A6B"/>
    <w:rsid w:val="00364129"/>
    <w:rsid w:val="00755780"/>
    <w:rsid w:val="00857596"/>
    <w:rsid w:val="00A4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11F02"/>
  <w15:chartTrackingRefBased/>
  <w15:docId w15:val="{40DDB4EC-A42D-4414-A622-E2AA93F5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885"/>
    <w:pPr>
      <w:widowControl w:val="0"/>
      <w:spacing w:after="0" w:line="240" w:lineRule="auto"/>
      <w:jc w:val="both"/>
    </w:pPr>
    <w:rPr>
      <w:rFonts w:eastAsiaTheme="minorEastAsia"/>
      <w:sz w:val="24"/>
      <w:lang/>
    </w:rPr>
  </w:style>
  <w:style w:type="paragraph" w:styleId="Heading1">
    <w:name w:val="heading 1"/>
    <w:basedOn w:val="Normal"/>
    <w:next w:val="Normal"/>
    <w:link w:val="Heading1Char"/>
    <w:uiPriority w:val="9"/>
    <w:qFormat/>
    <w:rsid w:val="00A44885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4885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4885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4885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4885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4885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4885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4885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4885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48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48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48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48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48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48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48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48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48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488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A448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4885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A448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4885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A448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4885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A448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488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48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488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44885"/>
    <w:pPr>
      <w:tabs>
        <w:tab w:val="center" w:pos="4153"/>
        <w:tab w:val="right" w:pos="830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44885"/>
    <w:rPr>
      <w:rFonts w:eastAsiaTheme="minorEastAsia"/>
      <w:sz w:val="24"/>
      <w:lang/>
    </w:rPr>
  </w:style>
  <w:style w:type="character" w:styleId="LineNumber">
    <w:name w:val="line number"/>
    <w:basedOn w:val="DefaultParagraphFont"/>
    <w:uiPriority w:val="99"/>
    <w:semiHidden/>
    <w:unhideWhenUsed/>
    <w:rsid w:val="00A448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182</Words>
  <Characters>1042</Characters>
  <Application>Microsoft Office Word</Application>
  <DocSecurity>0</DocSecurity>
  <Lines>8</Lines>
  <Paragraphs>2</Paragraphs>
  <ScaleCrop>false</ScaleCrop>
  <Company>Springer Nature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2024-08-12T01:51:00Z</dcterms:created>
  <dcterms:modified xsi:type="dcterms:W3CDTF">2024-08-12T01:51:00Z</dcterms:modified>
</cp:coreProperties>
</file>