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2" w:rightFromText="142" w:vertAnchor="page" w:horzAnchor="margin" w:tblpXSpec="center" w:tblpY="392"/>
        <w:tblW w:w="10896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44"/>
        <w:gridCol w:w="3071"/>
        <w:gridCol w:w="3581"/>
      </w:tblGrid>
      <w:tr w:rsidR="00B82375" w:rsidRPr="00B82375" w:rsidTr="00891C58">
        <w:trPr>
          <w:trHeight w:val="320"/>
          <w:jc w:val="center"/>
        </w:trPr>
        <w:tc>
          <w:tcPr>
            <w:tcW w:w="1089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 xml:space="preserve">Supplemental Table 1  Two patients who convert to surgery 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Patient 1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Patient 2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Pretreatment characteristics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200" w:firstLine="48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Age (years)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33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79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200" w:firstLine="48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Sex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Male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Male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200" w:firstLine="48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B82375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BMI (kg/m2)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19.6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18.1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200" w:firstLine="48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MAP (mmHg)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103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91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200" w:firstLine="48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HR (bpm)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72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82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200" w:firstLine="48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ASA-PS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3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200" w:firstLine="48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Perforation-to-treatment (hours)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&lt;6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&gt;24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200" w:firstLine="48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Peritonitis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Localized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None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200" w:firstLine="48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Perforated organ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Duodenum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Stomach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200" w:firstLine="48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Cause of perforation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Ulcer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Ulcer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200" w:firstLine="48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A</w:t>
            </w:r>
            <w:r w:rsidR="007C5D86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s</w:t>
            </w: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cites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Perforated area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None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200" w:firstLine="48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Intraperitoneal free air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7A43" w:rsidRPr="00B82375" w:rsidRDefault="00B82375" w:rsidP="006A7A43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Upper abdom</w:t>
            </w:r>
            <w:r w:rsidR="006A7A43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inal cavity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Upper abdom</w:t>
            </w:r>
            <w:r w:rsidR="006A7A43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inal cavity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200" w:firstLine="48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B82375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Pretreatment blood examination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200" w:firstLine="48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400" w:firstLine="96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WBC (/</w:t>
            </w:r>
            <w:proofErr w:type="spellStart"/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μL</w:t>
            </w:r>
            <w:proofErr w:type="spellEnd"/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)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23100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16500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400" w:firstLine="96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Neutrophil (/</w:t>
            </w:r>
            <w:proofErr w:type="spellStart"/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μL</w:t>
            </w:r>
            <w:proofErr w:type="spellEnd"/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)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21710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14850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400" w:firstLine="96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CRP (mg/dL)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9.88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24.71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400" w:firstLine="96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Hemoglobin (g/dL)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15.5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 xml:space="preserve">9.0 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400" w:firstLine="96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Platelet (10/</w:t>
            </w:r>
            <w:proofErr w:type="spellStart"/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μL</w:t>
            </w:r>
            <w:proofErr w:type="spellEnd"/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)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21.3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27.1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400" w:firstLine="96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Creatinine (mg/dL)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0.76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4.97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400" w:firstLine="96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Total Bili</w:t>
            </w:r>
            <w:r w:rsidR="007C5D86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ru</w:t>
            </w: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bin (mg/dL)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1.5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0.3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400" w:firstLine="96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AST (U/L)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18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9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400" w:firstLine="96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ALT (U/L)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16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400" w:firstLine="96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Albumin (g/dL)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3.9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1.9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400" w:firstLine="96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PT-INR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1.04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1.42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400" w:firstLine="96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B82375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Lactate (mg/dL)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8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6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B82375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Surgical outcomes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200" w:firstLine="48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Surgery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Omental plombage and patch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Simple closure with omental patch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Open surgery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Laparoscopic surgery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200" w:firstLine="48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Perforated size (mm)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4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10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200" w:firstLine="48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Bleeding (ml)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40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2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200" w:firstLine="48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Intraoperative wash volume (ml)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10000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5000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200" w:firstLine="48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Operation time (min)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61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114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Postoperative findings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200" w:firstLine="48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Antibiotic agent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Carbapenem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2nd Cephem</w:t>
            </w:r>
          </w:p>
        </w:tc>
      </w:tr>
      <w:tr w:rsidR="00B82375" w:rsidRPr="00B82375" w:rsidTr="00891C58">
        <w:trPr>
          <w:trHeight w:val="34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200" w:firstLine="48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B82375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Antibiotic administration period (day)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5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13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200" w:firstLine="48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Fasting period (day)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5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8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200" w:firstLine="48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B82375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Blood transfusion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None</w:t>
            </w:r>
          </w:p>
        </w:tc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RCC</w:t>
            </w:r>
          </w:p>
        </w:tc>
      </w:tr>
      <w:tr w:rsidR="00B82375" w:rsidRPr="00B82375" w:rsidTr="00891C58">
        <w:trPr>
          <w:trHeight w:val="320"/>
          <w:jc w:val="center"/>
        </w:trPr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ind w:firstLineChars="200" w:firstLine="480"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Length of hospital stay (day)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11</w:t>
            </w:r>
          </w:p>
        </w:tc>
        <w:tc>
          <w:tcPr>
            <w:tcW w:w="3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2375" w:rsidRPr="00B82375" w:rsidRDefault="00B82375" w:rsidP="00B82375">
            <w:pPr>
              <w:widowControl/>
              <w:jc w:val="center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61</w:t>
            </w:r>
          </w:p>
        </w:tc>
      </w:tr>
      <w:tr w:rsidR="00B82375" w:rsidRPr="00B82375" w:rsidTr="00891C58">
        <w:trPr>
          <w:trHeight w:val="660"/>
          <w:jc w:val="center"/>
        </w:trPr>
        <w:tc>
          <w:tcPr>
            <w:tcW w:w="1089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2375" w:rsidRPr="00B82375" w:rsidRDefault="00B82375" w:rsidP="00B82375">
            <w:pPr>
              <w:widowControl/>
              <w:jc w:val="left"/>
              <w:rPr>
                <w:rFonts w:ascii="TimesNewRomanPSMT" w:eastAsia="ＭＳ Ｐゴシック" w:hAnsi="TimesNewRomanPSMT" w:cs="ＭＳ Ｐゴシック" w:hint="eastAsia"/>
                <w:color w:val="000000"/>
                <w:kern w:val="0"/>
                <w:sz w:val="24"/>
              </w:rPr>
            </w:pP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lastRenderedPageBreak/>
              <w:t xml:space="preserve">BMI, body mass index; MAP, mean arterial pressure; HR, heart rate; </w:t>
            </w:r>
            <w:r w:rsidR="00FE424E" w:rsidRPr="006E174A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 xml:space="preserve"> </w:t>
            </w:r>
            <w:r w:rsidR="00FE424E" w:rsidRPr="006E174A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 xml:space="preserve">ASA-PS, </w:t>
            </w:r>
            <w:r w:rsidR="00FE424E" w:rsidRPr="006E174A">
              <w:rPr>
                <w:rFonts w:ascii="Times New Roman" w:hAnsi="Times New Roman" w:cs="Times New Roman"/>
                <w:color w:val="0E101A"/>
                <w:sz w:val="24"/>
              </w:rPr>
              <w:t>American Society of Anesthesiologists physical status classification system</w:t>
            </w:r>
            <w:r w:rsidR="00FE424E">
              <w:rPr>
                <w:rFonts w:ascii="Times New Roman" w:hAnsi="Times New Roman" w:cs="Times New Roman"/>
                <w:color w:val="0E101A"/>
                <w:sz w:val="24"/>
              </w:rPr>
              <w:t>;</w:t>
            </w:r>
            <w:r w:rsidR="00FE424E"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 xml:space="preserve"> </w:t>
            </w:r>
            <w:r w:rsidRPr="00B82375">
              <w:rPr>
                <w:rFonts w:ascii="TimesNewRomanPSMT" w:eastAsia="ＭＳ Ｐゴシック" w:hAnsi="TimesNewRomanPSMT" w:cs="ＭＳ Ｐゴシック"/>
                <w:color w:val="000000"/>
                <w:kern w:val="0"/>
                <w:sz w:val="24"/>
              </w:rPr>
              <w:t>WBC, white blood cell; CRP; C-reactive protein</w:t>
            </w:r>
          </w:p>
        </w:tc>
      </w:tr>
    </w:tbl>
    <w:p w:rsidR="00333453" w:rsidRDefault="00333453"/>
    <w:sectPr w:rsidR="00333453" w:rsidSect="00B82375">
      <w:pgSz w:w="11900" w:h="16840"/>
      <w:pgMar w:top="720" w:right="720" w:bottom="720" w:left="720" w:header="720" w:footer="720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NewRomanPSMT">
    <w:altName w:val="Times New Roman"/>
    <w:panose1 w:val="02020603050405020304"/>
    <w:charset w:val="00"/>
    <w:family w:val="roman"/>
    <w:notTrueType/>
    <w:pitch w:val="default"/>
  </w:font>
  <w:font w:name="ＭＳ Ｐゴシック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375"/>
    <w:rsid w:val="00333453"/>
    <w:rsid w:val="006A7A43"/>
    <w:rsid w:val="007C5D86"/>
    <w:rsid w:val="00891C58"/>
    <w:rsid w:val="00B82375"/>
    <w:rsid w:val="00D20FAE"/>
    <w:rsid w:val="00FE4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791716"/>
  <w15:chartTrackingRefBased/>
  <w15:docId w15:val="{C62C8067-BED3-7342-891C-B6B472D07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222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214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菅生 貴仁</dc:creator>
  <cp:keywords/>
  <dc:description/>
  <cp:lastModifiedBy>菅生 貴仁</cp:lastModifiedBy>
  <cp:revision>5</cp:revision>
  <dcterms:created xsi:type="dcterms:W3CDTF">2020-07-17T06:26:00Z</dcterms:created>
  <dcterms:modified xsi:type="dcterms:W3CDTF">2020-07-17T09:32:00Z</dcterms:modified>
</cp:coreProperties>
</file>