
<file path=[Content_Types].xml><?xml version="1.0" encoding="utf-8"?>
<Types xmlns="http://schemas.openxmlformats.org/package/2006/content-types">
  <Default Extension="jpeg" ContentType="image/jpe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007037" w14:textId="001F6D04" w:rsidR="002565FC" w:rsidRDefault="006D1E89" w:rsidP="00B67039">
      <w:pPr>
        <w:rPr>
          <w:rFonts w:ascii="Arial" w:hAnsi="Arial" w:cs="Arial"/>
          <w:b/>
          <w:bCs/>
          <w:sz w:val="22"/>
          <w:szCs w:val="22"/>
        </w:rPr>
      </w:pPr>
      <w:r>
        <w:rPr>
          <w:rFonts w:ascii="Arial" w:hAnsi="Arial" w:cs="Arial"/>
          <w:b/>
          <w:bCs/>
          <w:sz w:val="22"/>
          <w:szCs w:val="22"/>
        </w:rPr>
        <w:t>Title</w:t>
      </w:r>
      <w:r w:rsidR="00F05102">
        <w:rPr>
          <w:rFonts w:ascii="Arial" w:hAnsi="Arial" w:cs="Arial"/>
          <w:b/>
          <w:bCs/>
          <w:sz w:val="22"/>
          <w:szCs w:val="22"/>
        </w:rPr>
        <w:t xml:space="preserve">: </w:t>
      </w:r>
      <w:r w:rsidR="00B67039" w:rsidRPr="00B67039">
        <w:rPr>
          <w:rFonts w:ascii="Arial" w:hAnsi="Arial" w:cs="Arial"/>
          <w:b/>
          <w:bCs/>
          <w:sz w:val="22"/>
          <w:szCs w:val="22"/>
        </w:rPr>
        <w:t>Boundary Between FDA Approved and Non-Approved Anticancer Drugs in Survival Benefit: A meta-analysis</w:t>
      </w:r>
    </w:p>
    <w:p w14:paraId="7700ECC4" w14:textId="77777777" w:rsidR="00B67039" w:rsidRDefault="00B67039" w:rsidP="00B702A3">
      <w:pPr>
        <w:spacing w:line="480" w:lineRule="auto"/>
        <w:rPr>
          <w:rFonts w:ascii="Arial" w:hAnsi="Arial" w:cs="Arial"/>
          <w:b/>
          <w:bCs/>
          <w:sz w:val="22"/>
          <w:szCs w:val="22"/>
        </w:rPr>
      </w:pPr>
    </w:p>
    <w:p w14:paraId="1C9160F9" w14:textId="14756719" w:rsidR="00276E02" w:rsidRPr="00B702A3" w:rsidRDefault="006D1E89" w:rsidP="00B702A3">
      <w:pPr>
        <w:spacing w:line="480" w:lineRule="auto"/>
        <w:rPr>
          <w:rFonts w:ascii="Arial" w:hAnsi="Arial" w:cs="Arial"/>
          <w:b/>
          <w:bCs/>
          <w:sz w:val="22"/>
          <w:szCs w:val="22"/>
        </w:rPr>
      </w:pPr>
      <w:r w:rsidRPr="00E32366">
        <w:rPr>
          <w:rFonts w:ascii="Arial" w:hAnsi="Arial" w:cs="Arial"/>
          <w:b/>
          <w:bCs/>
          <w:sz w:val="22"/>
          <w:szCs w:val="22"/>
        </w:rPr>
        <w:t>Supplemental material</w:t>
      </w:r>
      <w:r w:rsidR="00284877">
        <w:rPr>
          <w:rFonts w:ascii="Arial" w:hAnsi="Arial" w:cs="Arial"/>
          <w:b/>
          <w:bCs/>
          <w:sz w:val="22"/>
          <w:szCs w:val="22"/>
        </w:rPr>
        <w:t>s</w:t>
      </w:r>
      <w:r w:rsidRPr="00E32366">
        <w:rPr>
          <w:rFonts w:ascii="Arial" w:hAnsi="Arial" w:cs="Arial"/>
          <w:b/>
          <w:bCs/>
          <w:sz w:val="22"/>
          <w:szCs w:val="22"/>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9"/>
        <w:gridCol w:w="4166"/>
        <w:gridCol w:w="3595"/>
      </w:tblGrid>
      <w:tr w:rsidR="00F13AC4" w14:paraId="0EE150AB" w14:textId="77777777" w:rsidTr="005B1CCB">
        <w:trPr>
          <w:trHeight w:val="4715"/>
        </w:trPr>
        <w:tc>
          <w:tcPr>
            <w:tcW w:w="6629" w:type="dxa"/>
          </w:tcPr>
          <w:p w14:paraId="3950B32B" w14:textId="08A3D4A3" w:rsidR="00B702A3" w:rsidRDefault="006D1E89" w:rsidP="00B702A3">
            <w:pPr>
              <w:spacing w:line="480" w:lineRule="auto"/>
              <w:rPr>
                <w:rFonts w:ascii="Arial" w:hAnsi="Arial" w:cs="Arial"/>
                <w:b/>
                <w:bCs/>
                <w:sz w:val="22"/>
                <w:szCs w:val="22"/>
              </w:rPr>
            </w:pPr>
            <w:r w:rsidRPr="00B702A3">
              <w:rPr>
                <w:rFonts w:ascii="Arial" w:hAnsi="Arial" w:cs="Arial"/>
                <w:b/>
                <w:bCs/>
                <w:sz w:val="22"/>
                <w:szCs w:val="22"/>
              </w:rPr>
              <w:t>A</w:t>
            </w:r>
            <w:r w:rsidR="005B1CCB">
              <w:rPr>
                <w:rFonts w:ascii="Arial" w:hAnsi="Arial" w:cs="Arial"/>
                <w:b/>
                <w:bCs/>
                <w:sz w:val="22"/>
                <w:szCs w:val="22"/>
              </w:rPr>
              <w:t>:</w:t>
            </w:r>
            <w:r w:rsidR="007C4602">
              <w:rPr>
                <w:rFonts w:ascii="Arial" w:hAnsi="Arial" w:cs="Arial"/>
                <w:b/>
                <w:bCs/>
                <w:sz w:val="22"/>
                <w:szCs w:val="22"/>
              </w:rPr>
              <w:t xml:space="preserve"> </w:t>
            </w:r>
            <w:r w:rsidR="005B1CCB" w:rsidRPr="005B1CCB">
              <w:rPr>
                <w:rFonts w:ascii="Arial" w:hAnsi="Arial" w:cs="Arial"/>
                <w:b/>
                <w:bCs/>
                <w:sz w:val="22"/>
                <w:szCs w:val="22"/>
              </w:rPr>
              <w:t>Funnel plot for Total 208 trials</w:t>
            </w:r>
          </w:p>
          <w:p w14:paraId="1AA7B193" w14:textId="77777777" w:rsidR="00B702A3" w:rsidRPr="00B702A3" w:rsidRDefault="00B702A3" w:rsidP="00B702A3">
            <w:pPr>
              <w:spacing w:line="480" w:lineRule="auto"/>
              <w:rPr>
                <w:rFonts w:ascii="Arial" w:hAnsi="Arial" w:cs="Arial"/>
                <w:b/>
                <w:bCs/>
                <w:sz w:val="22"/>
                <w:szCs w:val="22"/>
              </w:rPr>
            </w:pPr>
          </w:p>
          <w:p w14:paraId="78EEB3F4" w14:textId="5A873484" w:rsidR="00241119" w:rsidRDefault="006D1E89" w:rsidP="00C9385B">
            <w:pPr>
              <w:spacing w:line="480" w:lineRule="auto"/>
              <w:jc w:val="center"/>
              <w:rPr>
                <w:rFonts w:ascii="Arial" w:hAnsi="Arial" w:cs="Arial"/>
                <w:sz w:val="22"/>
                <w:szCs w:val="22"/>
              </w:rPr>
            </w:pPr>
            <w:r>
              <w:rPr>
                <w:rFonts w:ascii="Arial" w:hAnsi="Arial" w:cs="Arial"/>
                <w:sz w:val="22"/>
                <w:szCs w:val="22"/>
              </w:rPr>
              <w:drawing>
                <wp:inline distT="0" distB="0" distL="0" distR="0" wp14:anchorId="11366F8D" wp14:editId="706240F3">
                  <wp:extent cx="3584448" cy="2688336"/>
                  <wp:effectExtent l="0" t="0" r="0" b="0"/>
                  <wp:docPr id="10" name="Picture 10" descr="A graph of a hazard rati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graph of a hazard ratio&#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4448" cy="2688336"/>
                          </a:xfrm>
                          <a:prstGeom prst="rect">
                            <a:avLst/>
                          </a:prstGeom>
                        </pic:spPr>
                      </pic:pic>
                    </a:graphicData>
                  </a:graphic>
                </wp:inline>
              </w:drawing>
            </w:r>
          </w:p>
        </w:tc>
        <w:tc>
          <w:tcPr>
            <w:tcW w:w="7761" w:type="dxa"/>
            <w:gridSpan w:val="2"/>
          </w:tcPr>
          <w:p w14:paraId="4F016ED3" w14:textId="74A9E0C6" w:rsidR="00B702A3" w:rsidRDefault="006D1E89" w:rsidP="00B702A3">
            <w:pPr>
              <w:spacing w:line="480" w:lineRule="auto"/>
              <w:rPr>
                <w:rFonts w:ascii="Arial" w:hAnsi="Arial" w:cs="Arial"/>
                <w:b/>
                <w:bCs/>
                <w:sz w:val="22"/>
                <w:szCs w:val="22"/>
              </w:rPr>
            </w:pPr>
            <w:r>
              <w:rPr>
                <w:rFonts w:ascii="Arial" w:hAnsi="Arial" w:cs="Arial"/>
                <w:b/>
                <w:bCs/>
                <w:sz w:val="22"/>
                <w:szCs w:val="22"/>
              </w:rPr>
              <w:t>B</w:t>
            </w:r>
            <w:r w:rsidR="005B1CCB" w:rsidRPr="005B1CCB">
              <w:rPr>
                <w:rFonts w:ascii="Arial" w:hAnsi="Arial" w:cs="Arial"/>
                <w:b/>
                <w:bCs/>
                <w:sz w:val="22"/>
                <w:szCs w:val="22"/>
              </w:rPr>
              <w:t>: Funnel plot by FDA approval status</w:t>
            </w:r>
          </w:p>
          <w:p w14:paraId="787A8230" w14:textId="7792BCA3" w:rsidR="00D45193" w:rsidRPr="00B702A3" w:rsidRDefault="006D1E89" w:rsidP="00C9385B">
            <w:pPr>
              <w:spacing w:line="480" w:lineRule="auto"/>
              <w:jc w:val="center"/>
              <w:rPr>
                <w:rFonts w:ascii="Arial" w:hAnsi="Arial" w:cs="Arial"/>
                <w:b/>
                <w:bCs/>
                <w:sz w:val="22"/>
                <w:szCs w:val="22"/>
              </w:rPr>
            </w:pPr>
            <w:r>
              <w:rPr>
                <w:rFonts w:ascii="Arial" w:hAnsi="Arial" w:cs="Arial"/>
                <w:sz w:val="22"/>
                <w:szCs w:val="22"/>
              </w:rPr>
              <w:drawing>
                <wp:inline distT="0" distB="0" distL="0" distR="0" wp14:anchorId="04629B20" wp14:editId="55E5BD04">
                  <wp:extent cx="4791456" cy="2871216"/>
                  <wp:effectExtent l="0" t="0" r="0" b="5715"/>
                  <wp:docPr id="12" name="Picture 12" descr="A graph of a patient's healt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graph of a patient's health&#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4791456" cy="2871216"/>
                          </a:xfrm>
                          <a:prstGeom prst="rect">
                            <a:avLst/>
                          </a:prstGeom>
                        </pic:spPr>
                      </pic:pic>
                    </a:graphicData>
                  </a:graphic>
                </wp:inline>
              </w:drawing>
            </w:r>
          </w:p>
        </w:tc>
      </w:tr>
      <w:tr w:rsidR="00F13AC4" w14:paraId="10A11A80" w14:textId="77777777" w:rsidTr="005B1CCB">
        <w:trPr>
          <w:trHeight w:val="59"/>
        </w:trPr>
        <w:tc>
          <w:tcPr>
            <w:tcW w:w="6629" w:type="dxa"/>
          </w:tcPr>
          <w:p w14:paraId="08150429" w14:textId="77777777" w:rsidR="00C9385B" w:rsidRPr="000C3E3E" w:rsidRDefault="006D1E89" w:rsidP="005B1CCB">
            <w:pPr>
              <w:ind w:left="1440"/>
              <w:rPr>
                <w:rFonts w:ascii="Arial" w:hAnsi="Arial" w:cs="Arial"/>
              </w:rPr>
            </w:pPr>
            <w:r w:rsidRPr="000C3E3E">
              <w:rPr>
                <w:rFonts w:ascii="Arial" w:hAnsi="Arial" w:cs="Arial"/>
              </w:rPr>
              <w:t>Egger test for small-study effects: p &lt; 0.001</w:t>
            </w:r>
          </w:p>
          <w:p w14:paraId="120D21A7" w14:textId="294D5CB5" w:rsidR="00C9385B" w:rsidRPr="00B702A3" w:rsidRDefault="006D1E89" w:rsidP="005B1CCB">
            <w:pPr>
              <w:spacing w:line="480" w:lineRule="auto"/>
              <w:ind w:left="1440"/>
              <w:rPr>
                <w:rFonts w:ascii="Arial" w:hAnsi="Arial" w:cs="Arial"/>
                <w:b/>
                <w:bCs/>
                <w:sz w:val="22"/>
                <w:szCs w:val="22"/>
              </w:rPr>
            </w:pPr>
            <w:r w:rsidRPr="000C3E3E">
              <w:rPr>
                <w:rFonts w:ascii="Arial" w:hAnsi="Arial" w:cs="Arial"/>
              </w:rPr>
              <w:t>Begg-Mazumdar test: p &lt; 0.001</w:t>
            </w:r>
          </w:p>
        </w:tc>
        <w:tc>
          <w:tcPr>
            <w:tcW w:w="4166" w:type="dxa"/>
          </w:tcPr>
          <w:p w14:paraId="229D5B41" w14:textId="77777777" w:rsidR="00C9385B" w:rsidRDefault="006D1E89" w:rsidP="00C9385B">
            <w:pPr>
              <w:ind w:left="720"/>
              <w:rPr>
                <w:rFonts w:ascii="Arial" w:hAnsi="Arial" w:cs="Arial"/>
              </w:rPr>
            </w:pPr>
            <w:r>
              <w:rPr>
                <w:rFonts w:ascii="Arial" w:hAnsi="Arial" w:cs="Arial"/>
              </w:rPr>
              <w:t xml:space="preserve">FDA non-approved drugs </w:t>
            </w:r>
          </w:p>
          <w:p w14:paraId="31DC2776" w14:textId="77777777" w:rsidR="00C9385B" w:rsidRDefault="006D1E89" w:rsidP="00C9385B">
            <w:pPr>
              <w:ind w:left="720"/>
              <w:rPr>
                <w:rFonts w:ascii="Arial" w:hAnsi="Arial" w:cs="Arial"/>
              </w:rPr>
            </w:pPr>
            <w:r w:rsidRPr="000C3E3E">
              <w:rPr>
                <w:rFonts w:ascii="Arial" w:hAnsi="Arial" w:cs="Arial"/>
              </w:rPr>
              <w:t>Egger test for small-study effects: p &lt; 0.001</w:t>
            </w:r>
          </w:p>
          <w:p w14:paraId="0D685F82" w14:textId="65E2A4CB" w:rsidR="00C9385B" w:rsidRPr="000C3E3E" w:rsidRDefault="006D1E89" w:rsidP="00C9385B">
            <w:pPr>
              <w:ind w:left="720"/>
              <w:rPr>
                <w:rFonts w:ascii="Arial" w:hAnsi="Arial" w:cs="Arial"/>
              </w:rPr>
            </w:pPr>
            <w:r w:rsidRPr="000C3E3E">
              <w:rPr>
                <w:rFonts w:ascii="Arial" w:hAnsi="Arial" w:cs="Arial"/>
              </w:rPr>
              <w:t>Begg-Mazumdar test: p &lt; 0.001</w:t>
            </w:r>
          </w:p>
        </w:tc>
        <w:tc>
          <w:tcPr>
            <w:tcW w:w="3595" w:type="dxa"/>
          </w:tcPr>
          <w:p w14:paraId="50C7F249" w14:textId="77777777" w:rsidR="00C9385B" w:rsidRPr="005B1CCB" w:rsidRDefault="006D1E89" w:rsidP="00C9385B">
            <w:pPr>
              <w:rPr>
                <w:rFonts w:ascii="Arial" w:hAnsi="Arial" w:cs="Arial"/>
              </w:rPr>
            </w:pPr>
            <w:r w:rsidRPr="005B1CCB">
              <w:rPr>
                <w:rFonts w:ascii="Arial" w:hAnsi="Arial" w:cs="Arial"/>
              </w:rPr>
              <w:t xml:space="preserve">FDA non-approved drugs </w:t>
            </w:r>
          </w:p>
          <w:p w14:paraId="21A6B15D" w14:textId="14364D86" w:rsidR="00C9385B" w:rsidRPr="005B1CCB" w:rsidRDefault="006D1E89" w:rsidP="00C9385B">
            <w:pPr>
              <w:rPr>
                <w:rFonts w:ascii="Arial" w:hAnsi="Arial" w:cs="Arial"/>
                <w:noProof w:val="0"/>
                <w:color w:val="000000"/>
              </w:rPr>
            </w:pPr>
            <w:r w:rsidRPr="005B1CCB">
              <w:rPr>
                <w:rFonts w:ascii="Arial" w:hAnsi="Arial" w:cs="Arial"/>
              </w:rPr>
              <w:t xml:space="preserve">Egger test for small-study effects: p </w:t>
            </w:r>
            <w:r w:rsidR="005B1CCB" w:rsidRPr="005B1CCB">
              <w:rPr>
                <w:rFonts w:ascii="Arial" w:hAnsi="Arial" w:cs="Arial"/>
              </w:rPr>
              <w:t xml:space="preserve">= </w:t>
            </w:r>
            <w:r w:rsidR="005B1CCB" w:rsidRPr="005B1CCB">
              <w:rPr>
                <w:rFonts w:ascii="Arial" w:hAnsi="Arial" w:cs="Arial"/>
                <w:color w:val="000000"/>
              </w:rPr>
              <w:t>0.727</w:t>
            </w:r>
          </w:p>
          <w:p w14:paraId="1CD0C84E" w14:textId="0248CAC0" w:rsidR="00C9385B" w:rsidRDefault="006D1E89" w:rsidP="00C9385B">
            <w:pPr>
              <w:spacing w:line="480" w:lineRule="auto"/>
              <w:rPr>
                <w:rFonts w:ascii="Arial" w:hAnsi="Arial" w:cs="Arial"/>
                <w:b/>
                <w:bCs/>
                <w:sz w:val="22"/>
                <w:szCs w:val="22"/>
              </w:rPr>
            </w:pPr>
            <w:r w:rsidRPr="005B1CCB">
              <w:rPr>
                <w:rFonts w:ascii="Arial" w:hAnsi="Arial" w:cs="Arial"/>
              </w:rPr>
              <w:t xml:space="preserve">Begg-Mazumdar test: p </w:t>
            </w:r>
            <w:r w:rsidR="005B1CCB" w:rsidRPr="005B1CCB">
              <w:rPr>
                <w:rFonts w:ascii="Arial" w:hAnsi="Arial" w:cs="Arial"/>
              </w:rPr>
              <w:t>= 0.403</w:t>
            </w:r>
          </w:p>
        </w:tc>
      </w:tr>
    </w:tbl>
    <w:p w14:paraId="734D6169" w14:textId="77777777" w:rsidR="00425F48" w:rsidRDefault="00425F48" w:rsidP="005B1CCB">
      <w:pPr>
        <w:spacing w:line="480" w:lineRule="auto"/>
        <w:jc w:val="center"/>
        <w:rPr>
          <w:rFonts w:ascii="Arial" w:hAnsi="Arial" w:cs="Arial"/>
          <w:b/>
          <w:bCs/>
          <w:sz w:val="22"/>
          <w:szCs w:val="22"/>
        </w:rPr>
      </w:pPr>
    </w:p>
    <w:p w14:paraId="047260A4" w14:textId="25CC9CC9" w:rsidR="002377DF" w:rsidRPr="00E0140B" w:rsidRDefault="00E0140B" w:rsidP="005B1CCB">
      <w:pPr>
        <w:spacing w:line="480" w:lineRule="auto"/>
        <w:jc w:val="center"/>
        <w:rPr>
          <w:rFonts w:ascii="Arial" w:hAnsi="Arial" w:cs="Arial"/>
          <w:b/>
          <w:bCs/>
          <w:sz w:val="22"/>
          <w:szCs w:val="22"/>
        </w:rPr>
        <w:sectPr w:rsidR="002377DF" w:rsidRPr="00E0140B" w:rsidSect="00BE64B9">
          <w:footerReference w:type="default" r:id="rId10"/>
          <w:pgSz w:w="15840" w:h="12240" w:orient="landscape"/>
          <w:pgMar w:top="720" w:right="720" w:bottom="720" w:left="720" w:header="720" w:footer="720" w:gutter="0"/>
          <w:cols w:space="720"/>
          <w:docGrid w:linePitch="360"/>
        </w:sectPr>
      </w:pPr>
      <w:r w:rsidRPr="00E0140B">
        <w:rPr>
          <w:rFonts w:ascii="Arial" w:hAnsi="Arial" w:cs="Arial"/>
          <w:b/>
          <w:bCs/>
          <w:sz w:val="22"/>
          <w:szCs w:val="22"/>
        </w:rPr>
        <w:t xml:space="preserve">Fig. </w:t>
      </w:r>
      <w:r w:rsidRPr="00E0140B">
        <w:rPr>
          <w:rFonts w:ascii="Arial" w:eastAsia="MS Mincho" w:hAnsi="Arial" w:cs="Arial" w:hint="eastAsia"/>
          <w:b/>
          <w:bCs/>
          <w:sz w:val="22"/>
          <w:szCs w:val="22"/>
        </w:rPr>
        <w:t>S</w:t>
      </w:r>
      <w:r w:rsidRPr="00E0140B">
        <w:rPr>
          <w:rFonts w:ascii="Arial" w:hAnsi="Arial" w:cs="Arial"/>
          <w:b/>
          <w:bCs/>
          <w:sz w:val="22"/>
          <w:szCs w:val="22"/>
        </w:rPr>
        <w:t xml:space="preserve">1 </w:t>
      </w:r>
      <w:r w:rsidR="00276E02" w:rsidRPr="00E0140B">
        <w:rPr>
          <w:rFonts w:ascii="Arial" w:hAnsi="Arial" w:cs="Arial"/>
          <w:b/>
          <w:bCs/>
          <w:sz w:val="22"/>
          <w:szCs w:val="22"/>
        </w:rPr>
        <w:t>Funnel plot to check the selection bias in the OS Hazard Ratio</w:t>
      </w:r>
    </w:p>
    <w:p w14:paraId="1CA45FBC" w14:textId="73B826AF" w:rsidR="00C61D77" w:rsidRDefault="006D1E89" w:rsidP="00C61D77">
      <w:pPr>
        <w:jc w:val="center"/>
        <w:rPr>
          <w:rFonts w:ascii="Arial" w:hAnsi="Arial" w:cs="Arial"/>
          <w:b/>
          <w:bCs/>
          <w:sz w:val="22"/>
          <w:szCs w:val="22"/>
        </w:rPr>
      </w:pPr>
      <w:r>
        <w:rPr>
          <w:rFonts w:ascii="Arial" w:hAnsi="Arial" w:cs="Arial"/>
          <w:b/>
          <w:bCs/>
          <w:sz w:val="22"/>
          <w:szCs w:val="22"/>
        </w:rPr>
        <w:lastRenderedPageBreak/>
        <w:drawing>
          <wp:inline distT="0" distB="0" distL="0" distR="0" wp14:anchorId="69912A9A" wp14:editId="011C4239">
            <wp:extent cx="4622028" cy="8299938"/>
            <wp:effectExtent l="0" t="0" r="7620" b="6350"/>
            <wp:docPr id="2" name="Picture 2"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up of a documen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4625965" cy="8307009"/>
                    </a:xfrm>
                    <a:prstGeom prst="rect">
                      <a:avLst/>
                    </a:prstGeom>
                  </pic:spPr>
                </pic:pic>
              </a:graphicData>
            </a:graphic>
          </wp:inline>
        </w:drawing>
      </w:r>
    </w:p>
    <w:p w14:paraId="18792E05" w14:textId="0A3A2CF8" w:rsidR="00C61D77" w:rsidRDefault="00964262" w:rsidP="00DA6E5A">
      <w:pPr>
        <w:jc w:val="center"/>
        <w:rPr>
          <w:rFonts w:ascii="Arial" w:hAnsi="Arial" w:cs="Arial"/>
          <w:b/>
          <w:bCs/>
          <w:sz w:val="22"/>
          <w:szCs w:val="22"/>
        </w:rPr>
        <w:sectPr w:rsidR="00C61D77" w:rsidSect="00C61D77">
          <w:pgSz w:w="12240" w:h="15840"/>
          <w:pgMar w:top="720" w:right="720" w:bottom="720" w:left="720" w:header="720" w:footer="720" w:gutter="0"/>
          <w:cols w:space="720"/>
          <w:docGrid w:linePitch="360"/>
        </w:sectPr>
      </w:pPr>
      <w:r w:rsidRPr="00964262">
        <w:rPr>
          <w:rFonts w:ascii="Arial" w:hAnsi="Arial" w:cs="Arial"/>
          <w:b/>
          <w:bCs/>
          <w:sz w:val="22"/>
          <w:szCs w:val="22"/>
        </w:rPr>
        <w:t xml:space="preserve">Fig. </w:t>
      </w:r>
      <w:r w:rsidRPr="00964262">
        <w:rPr>
          <w:rFonts w:ascii="Arial" w:eastAsia="MS Mincho" w:hAnsi="Arial" w:cs="Arial" w:hint="eastAsia"/>
          <w:b/>
          <w:bCs/>
          <w:sz w:val="22"/>
          <w:szCs w:val="22"/>
        </w:rPr>
        <w:t>S</w:t>
      </w:r>
      <w:r w:rsidRPr="00964262">
        <w:rPr>
          <w:rFonts w:ascii="Arial" w:hAnsi="Arial" w:cs="Arial"/>
          <w:b/>
          <w:bCs/>
          <w:sz w:val="22"/>
          <w:szCs w:val="22"/>
        </w:rPr>
        <w:t xml:space="preserve">2  </w:t>
      </w:r>
      <w:r w:rsidR="006D1E89" w:rsidRPr="00964262">
        <w:rPr>
          <w:rFonts w:ascii="Arial" w:hAnsi="Arial" w:cs="Arial"/>
          <w:b/>
          <w:bCs/>
          <w:sz w:val="22"/>
          <w:szCs w:val="22"/>
        </w:rPr>
        <w:t>Forest</w:t>
      </w:r>
      <w:r w:rsidR="006D1E89" w:rsidRPr="00E32366">
        <w:rPr>
          <w:rFonts w:ascii="Arial" w:hAnsi="Arial" w:cs="Arial"/>
          <w:b/>
          <w:bCs/>
          <w:sz w:val="22"/>
          <w:szCs w:val="22"/>
        </w:rPr>
        <w:t xml:space="preserve"> plot </w:t>
      </w:r>
      <w:r w:rsidR="006D1E89">
        <w:rPr>
          <w:rFonts w:ascii="Arial" w:hAnsi="Arial" w:cs="Arial"/>
          <w:b/>
          <w:bCs/>
          <w:sz w:val="22"/>
          <w:szCs w:val="22"/>
        </w:rPr>
        <w:t xml:space="preserve">of the hazard ratio for OS </w:t>
      </w:r>
      <w:r w:rsidR="00DA6E5A">
        <w:rPr>
          <w:rFonts w:ascii="Arial" w:hAnsi="Arial" w:cs="Arial"/>
          <w:b/>
          <w:bCs/>
          <w:sz w:val="22"/>
          <w:szCs w:val="22"/>
        </w:rPr>
        <w:t>by study characteristics</w:t>
      </w:r>
    </w:p>
    <w:p w14:paraId="27F7C732" w14:textId="0F84834C" w:rsidR="003B760C" w:rsidRDefault="006D1E89" w:rsidP="003B760C">
      <w:pPr>
        <w:pStyle w:val="ListParagraph"/>
        <w:spacing w:line="480" w:lineRule="auto"/>
        <w:ind w:left="0"/>
        <w:jc w:val="center"/>
        <w:rPr>
          <w:rFonts w:ascii="Arial" w:hAnsi="Arial" w:cs="Arial"/>
          <w:b/>
          <w:bCs/>
          <w:sz w:val="22"/>
          <w:szCs w:val="22"/>
        </w:rPr>
      </w:pPr>
      <w:r>
        <w:rPr>
          <w:rFonts w:ascii="Arial" w:hAnsi="Arial" w:cs="Arial"/>
          <w:b/>
          <w:bCs/>
          <w:sz w:val="22"/>
          <w:szCs w:val="22"/>
        </w:rPr>
        <w:lastRenderedPageBreak/>
        <w:drawing>
          <wp:inline distT="0" distB="0" distL="0" distR="0" wp14:anchorId="342523E1" wp14:editId="0FDE37CC">
            <wp:extent cx="4443984" cy="6163056"/>
            <wp:effectExtent l="0" t="0" r="0" b="9525"/>
            <wp:docPr id="1" name="Picture 1"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a graph&#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4443984" cy="6163056"/>
                    </a:xfrm>
                    <a:prstGeom prst="rect">
                      <a:avLst/>
                    </a:prstGeom>
                  </pic:spPr>
                </pic:pic>
              </a:graphicData>
            </a:graphic>
          </wp:inline>
        </w:drawing>
      </w:r>
    </w:p>
    <w:p w14:paraId="1413E301" w14:textId="65C71F90" w:rsidR="003B760C" w:rsidRDefault="00462499" w:rsidP="003B760C">
      <w:pPr>
        <w:pStyle w:val="ListParagraph"/>
        <w:spacing w:line="480" w:lineRule="auto"/>
        <w:ind w:left="0"/>
        <w:jc w:val="center"/>
        <w:rPr>
          <w:rFonts w:ascii="Arial" w:hAnsi="Arial" w:cs="Arial"/>
          <w:b/>
          <w:bCs/>
          <w:sz w:val="22"/>
          <w:szCs w:val="22"/>
        </w:rPr>
      </w:pPr>
      <w:r w:rsidRPr="00462499">
        <w:rPr>
          <w:rFonts w:ascii="Arial" w:hAnsi="Arial" w:cs="Arial"/>
          <w:b/>
          <w:bCs/>
          <w:sz w:val="22"/>
          <w:szCs w:val="22"/>
        </w:rPr>
        <w:t xml:space="preserve">Fig. </w:t>
      </w:r>
      <w:r w:rsidRPr="00462499">
        <w:rPr>
          <w:rFonts w:ascii="Arial" w:eastAsia="MS Mincho" w:hAnsi="Arial" w:cs="Arial" w:hint="eastAsia"/>
          <w:b/>
          <w:bCs/>
          <w:sz w:val="22"/>
          <w:szCs w:val="22"/>
        </w:rPr>
        <w:t>S</w:t>
      </w:r>
      <w:r w:rsidRPr="00462499">
        <w:rPr>
          <w:rFonts w:ascii="Arial" w:hAnsi="Arial" w:cs="Arial"/>
          <w:b/>
          <w:bCs/>
          <w:sz w:val="22"/>
          <w:szCs w:val="22"/>
        </w:rPr>
        <w:t xml:space="preserve">3  </w:t>
      </w:r>
      <w:r w:rsidR="006D1E89" w:rsidRPr="00462499">
        <w:rPr>
          <w:rFonts w:ascii="Arial" w:hAnsi="Arial" w:cs="Arial"/>
          <w:b/>
          <w:bCs/>
          <w:sz w:val="22"/>
          <w:szCs w:val="22"/>
        </w:rPr>
        <w:t>Forest</w:t>
      </w:r>
      <w:r w:rsidR="006D1E89" w:rsidRPr="00E32366">
        <w:rPr>
          <w:rFonts w:ascii="Arial" w:hAnsi="Arial" w:cs="Arial"/>
          <w:b/>
          <w:bCs/>
          <w:sz w:val="22"/>
          <w:szCs w:val="22"/>
        </w:rPr>
        <w:t xml:space="preserve"> plot </w:t>
      </w:r>
      <w:r w:rsidR="006D1E89">
        <w:rPr>
          <w:rFonts w:ascii="Arial" w:hAnsi="Arial" w:cs="Arial"/>
          <w:b/>
          <w:bCs/>
          <w:sz w:val="22"/>
          <w:szCs w:val="22"/>
        </w:rPr>
        <w:t>of the hazard ratio for OS by cancer type</w:t>
      </w:r>
    </w:p>
    <w:p w14:paraId="2E6773B8" w14:textId="59F85D47" w:rsidR="00867D2C" w:rsidRPr="00E32366" w:rsidRDefault="00867D2C" w:rsidP="00867D2C">
      <w:pPr>
        <w:pStyle w:val="ListParagraph"/>
        <w:spacing w:line="480" w:lineRule="auto"/>
        <w:ind w:left="0"/>
        <w:jc w:val="center"/>
        <w:rPr>
          <w:rFonts w:ascii="Arial" w:hAnsi="Arial" w:cs="Arial"/>
          <w:sz w:val="22"/>
          <w:szCs w:val="22"/>
        </w:rPr>
      </w:pPr>
    </w:p>
    <w:p w14:paraId="4FE2088F" w14:textId="77777777" w:rsidR="0075321B" w:rsidRPr="00E32366" w:rsidRDefault="0075321B" w:rsidP="0023770A">
      <w:pPr>
        <w:spacing w:line="480" w:lineRule="auto"/>
        <w:ind w:firstLine="360"/>
        <w:rPr>
          <w:rFonts w:ascii="Arial" w:hAnsi="Arial" w:cs="Arial"/>
          <w:sz w:val="22"/>
          <w:szCs w:val="22"/>
        </w:rPr>
      </w:pPr>
    </w:p>
    <w:p w14:paraId="317C9871" w14:textId="344A02CC" w:rsidR="005703C1" w:rsidRDefault="006D1E89">
      <w:pPr>
        <w:rPr>
          <w:rFonts w:ascii="Arial" w:hAnsi="Arial" w:cs="Arial"/>
          <w:sz w:val="22"/>
          <w:szCs w:val="22"/>
        </w:rPr>
      </w:pPr>
      <w:r>
        <w:rPr>
          <w:rFonts w:ascii="Arial" w:hAnsi="Arial" w:cs="Arial"/>
          <w:sz w:val="22"/>
          <w:szCs w:val="22"/>
        </w:rPr>
        <w:br w:type="page"/>
      </w:r>
    </w:p>
    <w:p w14:paraId="25D7EF77" w14:textId="77777777" w:rsidR="00892586" w:rsidRDefault="00892586" w:rsidP="005703C1">
      <w:pPr>
        <w:rPr>
          <w:rFonts w:ascii="Arial" w:eastAsia="MS Mincho" w:hAnsi="Arial" w:cs="Arial"/>
          <w:sz w:val="22"/>
          <w:szCs w:val="22"/>
        </w:rPr>
        <w:sectPr w:rsidR="00892586" w:rsidSect="00892586">
          <w:pgSz w:w="12240" w:h="15840"/>
          <w:pgMar w:top="720" w:right="720" w:bottom="720" w:left="720"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0"/>
        <w:gridCol w:w="7190"/>
      </w:tblGrid>
      <w:tr w:rsidR="00F13AC4" w14:paraId="5D911DFE" w14:textId="77777777" w:rsidTr="00DB4F75">
        <w:tc>
          <w:tcPr>
            <w:tcW w:w="7190" w:type="dxa"/>
          </w:tcPr>
          <w:p w14:paraId="422A5CDC" w14:textId="756F86C7" w:rsidR="005703C1" w:rsidRDefault="004045E5" w:rsidP="005703C1">
            <w:pPr>
              <w:rPr>
                <w:rFonts w:ascii="Arial" w:eastAsia="MS Mincho" w:hAnsi="Arial" w:cs="Arial"/>
                <w:sz w:val="22"/>
                <w:szCs w:val="22"/>
              </w:rPr>
            </w:pPr>
            <w:r>
              <w:rPr>
                <w:rFonts w:ascii="Arial" w:eastAsia="MS Mincho" w:hAnsi="Arial" w:cs="Arial" w:hint="eastAsia"/>
                <w:sz w:val="22"/>
                <w:szCs w:val="22"/>
              </w:rPr>
              <w:lastRenderedPageBreak/>
              <w:t>a</w:t>
            </w:r>
          </w:p>
          <w:p w14:paraId="0BD9D7FC" w14:textId="326C08D7" w:rsidR="0023770A" w:rsidRPr="00E32366" w:rsidRDefault="006D1E89" w:rsidP="00181124">
            <w:pPr>
              <w:jc w:val="center"/>
              <w:rPr>
                <w:rFonts w:ascii="Arial" w:eastAsia="MS Mincho" w:hAnsi="Arial" w:cs="Arial"/>
                <w:sz w:val="22"/>
                <w:szCs w:val="22"/>
              </w:rPr>
            </w:pPr>
            <w:r>
              <w:rPr>
                <w:rFonts w:ascii="Arial" w:eastAsia="MS Mincho" w:hAnsi="Arial" w:cs="Arial"/>
                <w:sz w:val="22"/>
                <w:szCs w:val="22"/>
              </w:rPr>
              <w:drawing>
                <wp:inline distT="0" distB="0" distL="0" distR="0" wp14:anchorId="5B0F4FE8" wp14:editId="757961B7">
                  <wp:extent cx="3621024" cy="2834640"/>
                  <wp:effectExtent l="0" t="0" r="0" b="3810"/>
                  <wp:docPr id="18" name="Picture 18" descr="A graph of a number of patie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graph of a number of patients&#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621024" cy="2834640"/>
                          </a:xfrm>
                          <a:prstGeom prst="rect">
                            <a:avLst/>
                          </a:prstGeom>
                        </pic:spPr>
                      </pic:pic>
                    </a:graphicData>
                  </a:graphic>
                </wp:inline>
              </w:drawing>
            </w:r>
          </w:p>
          <w:p w14:paraId="3F3F8942" w14:textId="0B878E97" w:rsidR="0023770A" w:rsidRPr="00E32366" w:rsidRDefault="0023770A" w:rsidP="00181124">
            <w:pPr>
              <w:jc w:val="center"/>
              <w:rPr>
                <w:rFonts w:ascii="Arial" w:eastAsia="MS Mincho" w:hAnsi="Arial" w:cs="Arial"/>
                <w:sz w:val="22"/>
                <w:szCs w:val="22"/>
              </w:rPr>
            </w:pPr>
          </w:p>
        </w:tc>
        <w:tc>
          <w:tcPr>
            <w:tcW w:w="7190" w:type="dxa"/>
          </w:tcPr>
          <w:p w14:paraId="368F58AF" w14:textId="59DC93EF" w:rsidR="005703C1" w:rsidRDefault="004045E5" w:rsidP="005703C1">
            <w:pPr>
              <w:rPr>
                <w:rFonts w:ascii="Arial" w:eastAsia="MS Mincho" w:hAnsi="Arial" w:cs="Arial"/>
                <w:sz w:val="22"/>
                <w:szCs w:val="22"/>
              </w:rPr>
            </w:pPr>
            <w:r>
              <w:rPr>
                <w:rFonts w:ascii="Arial" w:eastAsia="MS Mincho" w:hAnsi="Arial" w:cs="Arial" w:hint="eastAsia"/>
                <w:sz w:val="22"/>
                <w:szCs w:val="22"/>
              </w:rPr>
              <w:t>b</w:t>
            </w:r>
          </w:p>
          <w:p w14:paraId="038170FD" w14:textId="79D9C09E" w:rsidR="0023770A" w:rsidRPr="00E32366" w:rsidRDefault="0023770A" w:rsidP="00181124">
            <w:pPr>
              <w:jc w:val="center"/>
              <w:rPr>
                <w:rFonts w:ascii="Arial" w:eastAsia="MS Mincho" w:hAnsi="Arial" w:cs="Arial"/>
                <w:sz w:val="22"/>
                <w:szCs w:val="22"/>
              </w:rPr>
            </w:pPr>
          </w:p>
          <w:p w14:paraId="17D83C61" w14:textId="724C9AD5" w:rsidR="0023770A" w:rsidRPr="00E32366" w:rsidRDefault="006D1E89" w:rsidP="00181124">
            <w:pPr>
              <w:jc w:val="center"/>
              <w:rPr>
                <w:rFonts w:ascii="Arial" w:eastAsia="MS Mincho" w:hAnsi="Arial" w:cs="Arial"/>
                <w:sz w:val="22"/>
                <w:szCs w:val="22"/>
              </w:rPr>
            </w:pPr>
            <w:r>
              <w:rPr>
                <w:rFonts w:ascii="Arial" w:eastAsia="MS Mincho" w:hAnsi="Arial" w:cs="Arial"/>
                <w:sz w:val="22"/>
                <w:szCs w:val="22"/>
              </w:rPr>
              <w:drawing>
                <wp:inline distT="0" distB="0" distL="0" distR="0" wp14:anchorId="4CA69753" wp14:editId="2E083015">
                  <wp:extent cx="3456432" cy="2724912"/>
                  <wp:effectExtent l="0" t="0" r="0" b="0"/>
                  <wp:docPr id="19" name="Picture 19" descr="A graph of a number of column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graph of a number of columns&#10;&#10;Description automatically generated with medium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456432" cy="2724912"/>
                          </a:xfrm>
                          <a:prstGeom prst="rect">
                            <a:avLst/>
                          </a:prstGeom>
                        </pic:spPr>
                      </pic:pic>
                    </a:graphicData>
                  </a:graphic>
                </wp:inline>
              </w:drawing>
            </w:r>
          </w:p>
        </w:tc>
      </w:tr>
      <w:tr w:rsidR="00F13AC4" w14:paraId="090A993C" w14:textId="77777777" w:rsidTr="00DB4F75">
        <w:tc>
          <w:tcPr>
            <w:tcW w:w="7190" w:type="dxa"/>
          </w:tcPr>
          <w:p w14:paraId="0800DA9C" w14:textId="4A16C94C" w:rsidR="009D42B2" w:rsidRDefault="004045E5" w:rsidP="005703C1">
            <w:pPr>
              <w:rPr>
                <w:rFonts w:ascii="Arial" w:eastAsia="MS Mincho" w:hAnsi="Arial" w:cs="Arial"/>
                <w:sz w:val="22"/>
                <w:szCs w:val="22"/>
              </w:rPr>
            </w:pPr>
            <w:r>
              <w:rPr>
                <w:rFonts w:ascii="Arial" w:eastAsia="MS Mincho" w:hAnsi="Arial" w:cs="Arial" w:hint="eastAsia"/>
                <w:sz w:val="22"/>
                <w:szCs w:val="22"/>
              </w:rPr>
              <w:t>c</w:t>
            </w:r>
          </w:p>
          <w:p w14:paraId="55E6702F" w14:textId="40E51FC0" w:rsidR="009D42B2" w:rsidRDefault="006D1E89" w:rsidP="00DB4F75">
            <w:pPr>
              <w:jc w:val="center"/>
              <w:rPr>
                <w:rFonts w:ascii="Arial" w:eastAsia="MS Mincho" w:hAnsi="Arial" w:cs="Arial"/>
                <w:sz w:val="22"/>
                <w:szCs w:val="22"/>
              </w:rPr>
            </w:pPr>
            <w:r>
              <w:rPr>
                <w:rFonts w:ascii="Arial" w:eastAsia="MS Mincho" w:hAnsi="Arial" w:cs="Arial"/>
                <w:sz w:val="22"/>
                <w:szCs w:val="22"/>
              </w:rPr>
              <w:drawing>
                <wp:inline distT="0" distB="0" distL="0" distR="0" wp14:anchorId="0B2962CF" wp14:editId="4DC0561F">
                  <wp:extent cx="2843784" cy="2240280"/>
                  <wp:effectExtent l="0" t="0" r="0" b="7620"/>
                  <wp:docPr id="20" name="Picture 20" descr="A graph of a number of individua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graph of a number of individuals&#10;&#10;Description automatically generated with medium confidenc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843784" cy="2240280"/>
                          </a:xfrm>
                          <a:prstGeom prst="rect">
                            <a:avLst/>
                          </a:prstGeom>
                        </pic:spPr>
                      </pic:pic>
                    </a:graphicData>
                  </a:graphic>
                </wp:inline>
              </w:drawing>
            </w:r>
          </w:p>
        </w:tc>
        <w:tc>
          <w:tcPr>
            <w:tcW w:w="7190" w:type="dxa"/>
          </w:tcPr>
          <w:p w14:paraId="43FAD7E8" w14:textId="03AFEB85" w:rsidR="009D42B2" w:rsidRDefault="004045E5" w:rsidP="005703C1">
            <w:pPr>
              <w:rPr>
                <w:rFonts w:ascii="Arial" w:eastAsia="MS Mincho" w:hAnsi="Arial" w:cs="Arial"/>
                <w:sz w:val="22"/>
                <w:szCs w:val="22"/>
              </w:rPr>
            </w:pPr>
            <w:r>
              <w:rPr>
                <w:rFonts w:ascii="Arial" w:eastAsia="MS Mincho" w:hAnsi="Arial" w:cs="Arial" w:hint="eastAsia"/>
                <w:sz w:val="22"/>
                <w:szCs w:val="22"/>
              </w:rPr>
              <w:t>d</w:t>
            </w:r>
          </w:p>
          <w:p w14:paraId="046A9CB6" w14:textId="75C8B0F8" w:rsidR="009D42B2" w:rsidRDefault="006D1E89" w:rsidP="00DB4F75">
            <w:pPr>
              <w:jc w:val="center"/>
              <w:rPr>
                <w:rFonts w:ascii="Arial" w:eastAsia="MS Mincho" w:hAnsi="Arial" w:cs="Arial"/>
                <w:sz w:val="22"/>
                <w:szCs w:val="22"/>
              </w:rPr>
            </w:pPr>
            <w:r>
              <w:rPr>
                <w:rFonts w:ascii="Arial" w:eastAsia="MS Mincho" w:hAnsi="Arial" w:cs="Arial"/>
                <w:sz w:val="22"/>
                <w:szCs w:val="22"/>
              </w:rPr>
              <w:drawing>
                <wp:inline distT="0" distB="0" distL="0" distR="0" wp14:anchorId="66B4C292" wp14:editId="3F9936AD">
                  <wp:extent cx="2862072" cy="2249424"/>
                  <wp:effectExtent l="0" t="0" r="0" b="0"/>
                  <wp:docPr id="21" name="Picture 21" descr="A graph of hazard rati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graph of hazard ratio&#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862072" cy="2249424"/>
                          </a:xfrm>
                          <a:prstGeom prst="rect">
                            <a:avLst/>
                          </a:prstGeom>
                        </pic:spPr>
                      </pic:pic>
                    </a:graphicData>
                  </a:graphic>
                </wp:inline>
              </w:drawing>
            </w:r>
          </w:p>
        </w:tc>
      </w:tr>
    </w:tbl>
    <w:p w14:paraId="0831C5C1" w14:textId="787C3EF9" w:rsidR="00E544DF" w:rsidRDefault="00D50C86" w:rsidP="00E544DF">
      <w:pPr>
        <w:spacing w:line="480" w:lineRule="auto"/>
        <w:jc w:val="center"/>
        <w:rPr>
          <w:rFonts w:ascii="Arial" w:hAnsi="Arial" w:cs="Arial"/>
          <w:sz w:val="22"/>
          <w:szCs w:val="22"/>
        </w:rPr>
      </w:pPr>
      <w:r w:rsidRPr="00D50C86">
        <w:rPr>
          <w:rFonts w:ascii="Arial" w:hAnsi="Arial" w:cs="Arial"/>
          <w:b/>
          <w:bCs/>
          <w:sz w:val="22"/>
          <w:szCs w:val="22"/>
        </w:rPr>
        <w:t xml:space="preserve">Fig. </w:t>
      </w:r>
      <w:r w:rsidRPr="00D50C86">
        <w:rPr>
          <w:rFonts w:ascii="Arial" w:eastAsia="MS Mincho" w:hAnsi="Arial" w:cs="Arial" w:hint="eastAsia"/>
          <w:b/>
          <w:bCs/>
          <w:sz w:val="22"/>
          <w:szCs w:val="22"/>
        </w:rPr>
        <w:t>S</w:t>
      </w:r>
      <w:r w:rsidRPr="00D50C86">
        <w:rPr>
          <w:rFonts w:ascii="Arial" w:hAnsi="Arial" w:cs="Arial"/>
          <w:b/>
          <w:bCs/>
          <w:sz w:val="22"/>
          <w:szCs w:val="22"/>
        </w:rPr>
        <w:t xml:space="preserve">4  </w:t>
      </w:r>
      <w:r w:rsidR="005703C1" w:rsidRPr="00D50C86">
        <w:rPr>
          <w:rFonts w:ascii="Arial" w:hAnsi="Arial" w:cs="Arial"/>
          <w:b/>
          <w:bCs/>
          <w:sz w:val="22"/>
          <w:szCs w:val="22"/>
        </w:rPr>
        <w:t>FDA</w:t>
      </w:r>
      <w:r w:rsidR="005703C1">
        <w:rPr>
          <w:rFonts w:ascii="Arial" w:hAnsi="Arial" w:cs="Arial"/>
          <w:b/>
          <w:bCs/>
          <w:sz w:val="22"/>
          <w:szCs w:val="22"/>
        </w:rPr>
        <w:t xml:space="preserve"> approval status and observed extension of median OS</w:t>
      </w:r>
      <w:r w:rsidR="00A82181">
        <w:rPr>
          <w:rFonts w:ascii="Arial" w:hAnsi="Arial" w:cs="Arial"/>
          <w:b/>
          <w:bCs/>
          <w:sz w:val="22"/>
          <w:szCs w:val="22"/>
        </w:rPr>
        <w:t xml:space="preserve">, extension of median </w:t>
      </w:r>
      <w:r>
        <w:rPr>
          <w:rFonts w:ascii="Arial" w:hAnsi="Arial" w:cs="Arial" w:hint="eastAsia"/>
          <w:b/>
          <w:bCs/>
          <w:sz w:val="22"/>
          <w:szCs w:val="22"/>
        </w:rPr>
        <w:t>Time to Event</w:t>
      </w:r>
      <w:r w:rsidR="004045E5">
        <w:rPr>
          <w:rFonts w:ascii="Arial" w:hAnsi="Arial" w:cs="Arial" w:hint="eastAsia"/>
          <w:b/>
          <w:bCs/>
          <w:sz w:val="22"/>
          <w:szCs w:val="22"/>
        </w:rPr>
        <w:t>(TTE</w:t>
      </w:r>
      <w:r>
        <w:rPr>
          <w:rFonts w:ascii="Arial" w:hAnsi="Arial" w:cs="Arial" w:hint="eastAsia"/>
          <w:b/>
          <w:bCs/>
          <w:sz w:val="22"/>
          <w:szCs w:val="22"/>
        </w:rPr>
        <w:t>)</w:t>
      </w:r>
      <w:r w:rsidR="00A82181">
        <w:rPr>
          <w:rFonts w:ascii="Arial" w:hAnsi="Arial" w:cs="Arial"/>
          <w:b/>
          <w:bCs/>
          <w:sz w:val="22"/>
          <w:szCs w:val="22"/>
        </w:rPr>
        <w:t xml:space="preserve">, </w:t>
      </w:r>
      <w:r w:rsidR="00107404">
        <w:rPr>
          <w:rFonts w:ascii="Arial" w:hAnsi="Arial" w:cs="Arial"/>
          <w:b/>
          <w:bCs/>
          <w:sz w:val="22"/>
          <w:szCs w:val="22"/>
        </w:rPr>
        <w:t>hazard ratio for TTE</w:t>
      </w:r>
    </w:p>
    <w:p w14:paraId="22BB12CD" w14:textId="6BED430A" w:rsidR="003B19A3" w:rsidRDefault="00E544DF" w:rsidP="00E544DF">
      <w:pPr>
        <w:spacing w:line="480" w:lineRule="auto"/>
        <w:rPr>
          <w:rFonts w:ascii="Arial" w:hAnsi="Arial" w:cs="Arial"/>
          <w:b/>
          <w:bCs/>
          <w:sz w:val="22"/>
          <w:szCs w:val="22"/>
        </w:rPr>
      </w:pPr>
      <w:r>
        <w:rPr>
          <w:rFonts w:ascii="Arial" w:hAnsi="Arial" w:cs="Arial" w:hint="eastAsia"/>
          <w:sz w:val="22"/>
          <w:szCs w:val="22"/>
        </w:rPr>
        <w:t>a</w:t>
      </w:r>
      <w:r w:rsidRPr="00E44626">
        <w:rPr>
          <w:rFonts w:ascii="Arial" w:hAnsi="Arial" w:cs="Arial"/>
          <w:sz w:val="22"/>
          <w:szCs w:val="22"/>
        </w:rPr>
        <w:t>: Distribution of observe</w:t>
      </w:r>
      <w:r>
        <w:rPr>
          <w:rFonts w:ascii="Arial" w:hAnsi="Arial" w:cs="Arial"/>
          <w:sz w:val="22"/>
          <w:szCs w:val="22"/>
        </w:rPr>
        <w:t xml:space="preserve">d median </w:t>
      </w:r>
      <w:r w:rsidRPr="00E44626">
        <w:rPr>
          <w:rFonts w:ascii="Arial" w:hAnsi="Arial" w:cs="Arial"/>
          <w:sz w:val="22"/>
          <w:szCs w:val="22"/>
        </w:rPr>
        <w:t xml:space="preserve">OS </w:t>
      </w:r>
      <w:r>
        <w:rPr>
          <w:rFonts w:ascii="Arial" w:hAnsi="Arial" w:cs="Arial"/>
          <w:sz w:val="22"/>
          <w:szCs w:val="22"/>
        </w:rPr>
        <w:t xml:space="preserve">extension </w:t>
      </w:r>
      <w:r w:rsidRPr="00E44626">
        <w:rPr>
          <w:rFonts w:ascii="Arial" w:hAnsi="Arial" w:cs="Arial"/>
          <w:sz w:val="22"/>
          <w:szCs w:val="22"/>
        </w:rPr>
        <w:t>colored by FDA approval status</w:t>
      </w:r>
      <w:r>
        <w:rPr>
          <w:rFonts w:ascii="Arial" w:hAnsi="Arial" w:cs="Arial"/>
          <w:sz w:val="22"/>
          <w:szCs w:val="22"/>
        </w:rPr>
        <w:t xml:space="preserve"> (full range)</w:t>
      </w:r>
      <w:r w:rsidRPr="00E44626">
        <w:rPr>
          <w:rFonts w:ascii="Arial" w:hAnsi="Arial" w:cs="Arial"/>
          <w:sz w:val="22"/>
          <w:szCs w:val="22"/>
        </w:rPr>
        <w:t xml:space="preserve">. </w:t>
      </w:r>
      <w:r>
        <w:rPr>
          <w:rFonts w:ascii="Arial" w:hAnsi="Arial" w:cs="Arial" w:hint="eastAsia"/>
          <w:sz w:val="22"/>
          <w:szCs w:val="22"/>
        </w:rPr>
        <w:t>b</w:t>
      </w:r>
      <w:r w:rsidRPr="00E44626">
        <w:rPr>
          <w:rFonts w:ascii="Arial" w:hAnsi="Arial" w:cs="Arial"/>
          <w:sz w:val="22"/>
          <w:szCs w:val="22"/>
        </w:rPr>
        <w:t>: Distribution of observe</w:t>
      </w:r>
      <w:r>
        <w:rPr>
          <w:rFonts w:ascii="Arial" w:hAnsi="Arial" w:cs="Arial"/>
          <w:sz w:val="22"/>
          <w:szCs w:val="22"/>
        </w:rPr>
        <w:t xml:space="preserve">d median </w:t>
      </w:r>
      <w:r w:rsidRPr="00E44626">
        <w:rPr>
          <w:rFonts w:ascii="Arial" w:hAnsi="Arial" w:cs="Arial"/>
          <w:sz w:val="22"/>
          <w:szCs w:val="22"/>
        </w:rPr>
        <w:t xml:space="preserve">OS </w:t>
      </w:r>
      <w:r>
        <w:rPr>
          <w:rFonts w:ascii="Arial" w:hAnsi="Arial" w:cs="Arial"/>
          <w:sz w:val="22"/>
          <w:szCs w:val="22"/>
        </w:rPr>
        <w:t xml:space="preserve">extension </w:t>
      </w:r>
      <w:r w:rsidRPr="00E44626">
        <w:rPr>
          <w:rFonts w:ascii="Arial" w:hAnsi="Arial" w:cs="Arial"/>
          <w:sz w:val="22"/>
          <w:szCs w:val="22"/>
        </w:rPr>
        <w:t>colored by FDA approval status</w:t>
      </w:r>
      <w:r>
        <w:rPr>
          <w:rFonts w:ascii="Arial" w:hAnsi="Arial" w:cs="Arial"/>
          <w:sz w:val="22"/>
          <w:szCs w:val="22"/>
        </w:rPr>
        <w:t xml:space="preserve"> (up to </w:t>
      </w:r>
      <w:r>
        <w:rPr>
          <w:rFonts w:ascii="Arial" w:hAnsi="Arial" w:cs="Arial" w:hint="eastAsia"/>
          <w:sz w:val="22"/>
          <w:szCs w:val="22"/>
        </w:rPr>
        <w:t>10</w:t>
      </w:r>
      <w:r>
        <w:rPr>
          <w:rFonts w:ascii="Arial" w:hAnsi="Arial" w:cs="Arial"/>
          <w:sz w:val="22"/>
          <w:szCs w:val="22"/>
        </w:rPr>
        <w:t xml:space="preserve"> months)</w:t>
      </w:r>
      <w:r w:rsidRPr="00E44626">
        <w:rPr>
          <w:rFonts w:ascii="Arial" w:hAnsi="Arial" w:cs="Arial"/>
          <w:sz w:val="22"/>
          <w:szCs w:val="22"/>
        </w:rPr>
        <w:t xml:space="preserve">. </w:t>
      </w:r>
      <w:r>
        <w:rPr>
          <w:rFonts w:ascii="Arial" w:hAnsi="Arial" w:cs="Arial" w:hint="eastAsia"/>
          <w:sz w:val="22"/>
          <w:szCs w:val="22"/>
        </w:rPr>
        <w:t>c</w:t>
      </w:r>
      <w:r>
        <w:rPr>
          <w:rFonts w:ascii="Arial" w:hAnsi="Arial" w:cs="Arial"/>
          <w:sz w:val="22"/>
          <w:szCs w:val="22"/>
        </w:rPr>
        <w:t xml:space="preserve">: </w:t>
      </w:r>
      <w:r w:rsidRPr="00A311A6">
        <w:rPr>
          <w:rFonts w:ascii="Arial" w:hAnsi="Arial" w:cs="Arial"/>
          <w:sz w:val="22"/>
          <w:szCs w:val="22"/>
        </w:rPr>
        <w:t xml:space="preserve">Distribution of observed median </w:t>
      </w:r>
      <w:r>
        <w:rPr>
          <w:rFonts w:ascii="Arial" w:hAnsi="Arial" w:cs="Arial"/>
          <w:sz w:val="22"/>
          <w:szCs w:val="22"/>
        </w:rPr>
        <w:t>time-to-event (PFS, EFS, or DFS)</w:t>
      </w:r>
      <w:r w:rsidRPr="00A311A6">
        <w:rPr>
          <w:rFonts w:ascii="Arial" w:hAnsi="Arial" w:cs="Arial"/>
          <w:sz w:val="22"/>
          <w:szCs w:val="22"/>
        </w:rPr>
        <w:t xml:space="preserve"> extension colored by FDA </w:t>
      </w:r>
      <w:r w:rsidRPr="00A311A6">
        <w:rPr>
          <w:rFonts w:ascii="Arial" w:hAnsi="Arial" w:cs="Arial"/>
          <w:sz w:val="22"/>
          <w:szCs w:val="22"/>
        </w:rPr>
        <w:lastRenderedPageBreak/>
        <w:t>approval status.</w:t>
      </w:r>
      <w:r>
        <w:rPr>
          <w:rFonts w:ascii="Arial" w:hAnsi="Arial" w:cs="Arial"/>
          <w:sz w:val="22"/>
          <w:szCs w:val="22"/>
        </w:rPr>
        <w:t xml:space="preserve"> </w:t>
      </w:r>
      <w:r>
        <w:rPr>
          <w:rFonts w:ascii="Arial" w:hAnsi="Arial" w:cs="Arial" w:hint="eastAsia"/>
          <w:sz w:val="22"/>
          <w:szCs w:val="22"/>
        </w:rPr>
        <w:t>d</w:t>
      </w:r>
      <w:r>
        <w:rPr>
          <w:rFonts w:ascii="Arial" w:hAnsi="Arial" w:cs="Arial"/>
          <w:sz w:val="22"/>
          <w:szCs w:val="22"/>
        </w:rPr>
        <w:t xml:space="preserve">: </w:t>
      </w:r>
      <w:r w:rsidRPr="00BF5A0D">
        <w:rPr>
          <w:rFonts w:ascii="Arial" w:hAnsi="Arial" w:cs="Arial"/>
          <w:sz w:val="22"/>
          <w:szCs w:val="22"/>
        </w:rPr>
        <w:t xml:space="preserve">Distribution of observed </w:t>
      </w:r>
      <w:r>
        <w:rPr>
          <w:rFonts w:ascii="Arial" w:hAnsi="Arial" w:cs="Arial"/>
          <w:sz w:val="22"/>
          <w:szCs w:val="22"/>
        </w:rPr>
        <w:t>hazard ratio for time-to-event (PFS, EFS, or DFS)</w:t>
      </w:r>
      <w:r w:rsidRPr="00BF5A0D">
        <w:rPr>
          <w:rFonts w:ascii="Arial" w:hAnsi="Arial" w:cs="Arial"/>
          <w:sz w:val="22"/>
          <w:szCs w:val="22"/>
        </w:rPr>
        <w:t xml:space="preserve"> colored by FDA approval status. </w:t>
      </w:r>
      <w:r>
        <w:rPr>
          <w:rFonts w:ascii="Arial" w:hAnsi="Arial" w:cs="Arial"/>
          <w:sz w:val="22"/>
          <w:szCs w:val="22"/>
        </w:rPr>
        <w:t>Green</w:t>
      </w:r>
      <w:r w:rsidRPr="00E44626">
        <w:rPr>
          <w:rFonts w:ascii="Arial" w:hAnsi="Arial" w:cs="Arial"/>
          <w:sz w:val="22"/>
          <w:szCs w:val="22"/>
        </w:rPr>
        <w:t xml:space="preserve"> bins </w:t>
      </w:r>
      <w:r>
        <w:rPr>
          <w:rFonts w:ascii="Arial" w:hAnsi="Arial" w:cs="Arial"/>
          <w:sz w:val="22"/>
          <w:szCs w:val="22"/>
        </w:rPr>
        <w:t>re</w:t>
      </w:r>
      <w:r w:rsidRPr="00E44626">
        <w:rPr>
          <w:rFonts w:ascii="Arial" w:hAnsi="Arial" w:cs="Arial"/>
          <w:sz w:val="22"/>
          <w:szCs w:val="22"/>
        </w:rPr>
        <w:t>present approved drugs, and gray bins represent non-approved drugs.</w:t>
      </w:r>
    </w:p>
    <w:p w14:paraId="73C02E16" w14:textId="26E8A155" w:rsidR="00F107D4" w:rsidRPr="00E32366" w:rsidRDefault="00F107D4" w:rsidP="00253EC2">
      <w:pPr>
        <w:rPr>
          <w:rFonts w:ascii="Arial" w:hAnsi="Arial" w:cs="Arial"/>
          <w:sz w:val="22"/>
          <w:szCs w:val="22"/>
        </w:rPr>
      </w:pPr>
    </w:p>
    <w:p w14:paraId="0A731CDC" w14:textId="5284C5A5" w:rsidR="00542C3C" w:rsidRPr="00F107D4" w:rsidRDefault="006D1E89" w:rsidP="00542C3C">
      <w:pPr>
        <w:jc w:val="center"/>
        <w:rPr>
          <w:rFonts w:ascii="Arial" w:hAnsi="Arial" w:cs="Arial"/>
          <w:b/>
          <w:bCs/>
          <w:sz w:val="22"/>
          <w:szCs w:val="22"/>
        </w:rPr>
      </w:pPr>
      <w:r>
        <w:rPr>
          <w:rFonts w:ascii="Arial" w:hAnsi="Arial" w:cs="Arial"/>
          <w:sz w:val="22"/>
          <w:szCs w:val="22"/>
        </w:rPr>
        <w:br w:type="page"/>
      </w:r>
      <w:r w:rsidR="004A0662" w:rsidRPr="004A0662">
        <w:rPr>
          <w:rFonts w:ascii="Arial" w:hAnsi="Arial" w:cs="Arial"/>
          <w:b/>
          <w:bCs/>
          <w:sz w:val="22"/>
          <w:szCs w:val="22"/>
        </w:rPr>
        <w:lastRenderedPageBreak/>
        <w:t xml:space="preserve">Table </w:t>
      </w:r>
      <w:r w:rsidR="004A0662" w:rsidRPr="004A0662">
        <w:rPr>
          <w:rFonts w:ascii="Arial" w:eastAsia="MS Mincho" w:hAnsi="Arial" w:cs="Arial" w:hint="eastAsia"/>
          <w:b/>
          <w:bCs/>
          <w:sz w:val="22"/>
          <w:szCs w:val="22"/>
        </w:rPr>
        <w:t>S</w:t>
      </w:r>
      <w:r w:rsidR="004A0662" w:rsidRPr="004A0662">
        <w:rPr>
          <w:rFonts w:ascii="Arial" w:hAnsi="Arial" w:cs="Arial"/>
          <w:b/>
          <w:bCs/>
          <w:sz w:val="22"/>
          <w:szCs w:val="22"/>
        </w:rPr>
        <w:t>1</w:t>
      </w:r>
      <w:r w:rsidR="00542C3C" w:rsidRPr="004A0662">
        <w:rPr>
          <w:rFonts w:ascii="Arial" w:hAnsi="Arial" w:cs="Arial"/>
          <w:b/>
          <w:bCs/>
          <w:sz w:val="22"/>
          <w:szCs w:val="22"/>
        </w:rPr>
        <w:t xml:space="preserve"> List of</w:t>
      </w:r>
      <w:r w:rsidR="00542C3C" w:rsidRPr="00F107D4">
        <w:rPr>
          <w:rFonts w:ascii="Arial" w:hAnsi="Arial" w:cs="Arial"/>
          <w:b/>
          <w:bCs/>
          <w:sz w:val="22"/>
          <w:szCs w:val="22"/>
        </w:rPr>
        <w:t xml:space="preserve"> source documents</w:t>
      </w:r>
      <w:r w:rsidR="00542C3C">
        <w:rPr>
          <w:rFonts w:ascii="Arial" w:hAnsi="Arial" w:cs="Arial"/>
          <w:b/>
          <w:bCs/>
          <w:sz w:val="22"/>
          <w:szCs w:val="22"/>
        </w:rPr>
        <w:t xml:space="preserve"> for study characteristics and outcomes</w:t>
      </w:r>
    </w:p>
    <w:p w14:paraId="7D26CAA8" w14:textId="77777777" w:rsidR="00542C3C" w:rsidRPr="00C7556C" w:rsidRDefault="00542C3C" w:rsidP="00542C3C">
      <w:pPr>
        <w:rPr>
          <w:rFonts w:ascii="Arial" w:hAnsi="Arial" w:cs="Arial"/>
          <w:b/>
          <w:bCs/>
          <w:sz w:val="22"/>
          <w:szCs w:val="22"/>
        </w:rPr>
      </w:pPr>
      <w:r w:rsidRPr="00C7556C">
        <w:rPr>
          <w:rFonts w:ascii="Arial" w:hAnsi="Arial" w:cs="Arial"/>
          <w:b/>
          <w:bCs/>
          <w:sz w:val="22"/>
          <w:szCs w:val="22"/>
        </w:rPr>
        <w:t xml:space="preserve">FDA approved group </w:t>
      </w:r>
    </w:p>
    <w:tbl>
      <w:tblPr>
        <w:tblW w:w="13220" w:type="dxa"/>
        <w:tblBorders>
          <w:top w:val="single" w:sz="4" w:space="0" w:color="auto"/>
          <w:bottom w:val="single" w:sz="4" w:space="0" w:color="auto"/>
          <w:insideH w:val="single" w:sz="4" w:space="0" w:color="auto"/>
        </w:tblBorders>
        <w:shd w:val="clear" w:color="auto" w:fill="FFFFFF" w:themeFill="background1"/>
        <w:tblLook w:val="04A0" w:firstRow="1" w:lastRow="0" w:firstColumn="1" w:lastColumn="0" w:noHBand="0" w:noVBand="1"/>
      </w:tblPr>
      <w:tblGrid>
        <w:gridCol w:w="780"/>
        <w:gridCol w:w="1560"/>
        <w:gridCol w:w="1879"/>
        <w:gridCol w:w="2458"/>
        <w:gridCol w:w="6543"/>
      </w:tblGrid>
      <w:tr w:rsidR="00542C3C" w:rsidRPr="00C7556C" w14:paraId="67D756F2" w14:textId="77777777" w:rsidTr="009622A0">
        <w:trPr>
          <w:trHeight w:val="300"/>
        </w:trPr>
        <w:tc>
          <w:tcPr>
            <w:tcW w:w="780" w:type="dxa"/>
            <w:shd w:val="clear" w:color="auto" w:fill="FFFFFF" w:themeFill="background1"/>
            <w:noWrap/>
            <w:vAlign w:val="center"/>
            <w:hideMark/>
          </w:tcPr>
          <w:p w14:paraId="54398BB6" w14:textId="77777777" w:rsidR="00542C3C" w:rsidRPr="00C7556C" w:rsidRDefault="00542C3C" w:rsidP="009622A0">
            <w:pPr>
              <w:spacing w:after="0" w:line="240" w:lineRule="auto"/>
              <w:jc w:val="center"/>
              <w:rPr>
                <w:rFonts w:ascii="Arial" w:eastAsia="Times New Roman" w:hAnsi="Arial" w:cs="Arial"/>
                <w:noProof w:val="0"/>
              </w:rPr>
            </w:pPr>
            <w:r w:rsidRPr="00C7556C">
              <w:rPr>
                <w:rFonts w:ascii="Arial" w:eastAsia="Times New Roman" w:hAnsi="Arial" w:cs="Arial"/>
                <w:noProof w:val="0"/>
              </w:rPr>
              <w:t>ID</w:t>
            </w:r>
          </w:p>
        </w:tc>
        <w:tc>
          <w:tcPr>
            <w:tcW w:w="1560" w:type="dxa"/>
            <w:shd w:val="clear" w:color="auto" w:fill="FFFFFF" w:themeFill="background1"/>
            <w:noWrap/>
            <w:vAlign w:val="center"/>
            <w:hideMark/>
          </w:tcPr>
          <w:p w14:paraId="3EB1A88C" w14:textId="77777777" w:rsidR="00542C3C" w:rsidRPr="00C7556C" w:rsidRDefault="00542C3C" w:rsidP="009622A0">
            <w:pPr>
              <w:spacing w:after="0" w:line="240" w:lineRule="auto"/>
              <w:jc w:val="center"/>
              <w:rPr>
                <w:rFonts w:ascii="Arial" w:eastAsia="Times New Roman" w:hAnsi="Arial" w:cs="Arial"/>
                <w:noProof w:val="0"/>
              </w:rPr>
            </w:pPr>
            <w:r w:rsidRPr="00C7556C">
              <w:rPr>
                <w:rFonts w:ascii="Arial" w:eastAsia="Times New Roman" w:hAnsi="Arial" w:cs="Arial"/>
                <w:noProof w:val="0"/>
              </w:rPr>
              <w:t>NCT Number</w:t>
            </w:r>
          </w:p>
        </w:tc>
        <w:tc>
          <w:tcPr>
            <w:tcW w:w="1879" w:type="dxa"/>
            <w:shd w:val="clear" w:color="auto" w:fill="FFFFFF" w:themeFill="background1"/>
            <w:vAlign w:val="center"/>
            <w:hideMark/>
          </w:tcPr>
          <w:p w14:paraId="409BDE1F" w14:textId="77777777" w:rsidR="00542C3C" w:rsidRPr="00C7556C" w:rsidRDefault="00542C3C" w:rsidP="009622A0">
            <w:pPr>
              <w:spacing w:after="0" w:line="240" w:lineRule="auto"/>
              <w:jc w:val="center"/>
              <w:rPr>
                <w:rFonts w:ascii="Arial" w:eastAsia="Times New Roman" w:hAnsi="Arial" w:cs="Arial"/>
                <w:noProof w:val="0"/>
              </w:rPr>
            </w:pPr>
            <w:r w:rsidRPr="00C7556C">
              <w:rPr>
                <w:rFonts w:ascii="Arial" w:eastAsia="Times New Roman" w:hAnsi="Arial" w:cs="Arial"/>
                <w:noProof w:val="0"/>
              </w:rPr>
              <w:t>Investigational drug</w:t>
            </w:r>
          </w:p>
        </w:tc>
        <w:tc>
          <w:tcPr>
            <w:tcW w:w="2458" w:type="dxa"/>
            <w:shd w:val="clear" w:color="auto" w:fill="FFFFFF" w:themeFill="background1"/>
            <w:noWrap/>
            <w:vAlign w:val="center"/>
            <w:hideMark/>
          </w:tcPr>
          <w:p w14:paraId="36A52E3E" w14:textId="77777777" w:rsidR="00542C3C" w:rsidRPr="00C7556C" w:rsidRDefault="00542C3C" w:rsidP="009622A0">
            <w:pPr>
              <w:spacing w:after="0" w:line="240" w:lineRule="auto"/>
              <w:jc w:val="center"/>
              <w:rPr>
                <w:rFonts w:ascii="Arial" w:eastAsia="Times New Roman" w:hAnsi="Arial" w:cs="Arial"/>
                <w:noProof w:val="0"/>
              </w:rPr>
            </w:pPr>
            <w:r w:rsidRPr="00C7556C">
              <w:rPr>
                <w:rFonts w:ascii="Arial" w:eastAsia="Times New Roman" w:hAnsi="Arial" w:cs="Arial"/>
                <w:noProof w:val="0"/>
              </w:rPr>
              <w:t>Cancer type</w:t>
            </w:r>
          </w:p>
        </w:tc>
        <w:tc>
          <w:tcPr>
            <w:tcW w:w="6543" w:type="dxa"/>
            <w:shd w:val="clear" w:color="auto" w:fill="FFFFFF" w:themeFill="background1"/>
            <w:vAlign w:val="center"/>
            <w:hideMark/>
          </w:tcPr>
          <w:p w14:paraId="79EBD856" w14:textId="77777777" w:rsidR="00542C3C" w:rsidRPr="00C7556C" w:rsidRDefault="00542C3C" w:rsidP="009622A0">
            <w:pPr>
              <w:spacing w:after="0" w:line="240" w:lineRule="auto"/>
              <w:jc w:val="center"/>
              <w:rPr>
                <w:rFonts w:ascii="Arial" w:eastAsia="Times New Roman" w:hAnsi="Arial" w:cs="Arial"/>
                <w:noProof w:val="0"/>
              </w:rPr>
            </w:pPr>
            <w:r w:rsidRPr="00C7556C">
              <w:rPr>
                <w:rFonts w:ascii="Arial" w:eastAsia="Times New Roman" w:hAnsi="Arial" w:cs="Arial"/>
                <w:noProof w:val="0"/>
              </w:rPr>
              <w:t>Reference</w:t>
            </w:r>
          </w:p>
        </w:tc>
      </w:tr>
      <w:tr w:rsidR="00542C3C" w:rsidRPr="00C7556C" w14:paraId="023419C8" w14:textId="77777777" w:rsidTr="009622A0">
        <w:trPr>
          <w:trHeight w:val="1230"/>
        </w:trPr>
        <w:tc>
          <w:tcPr>
            <w:tcW w:w="780" w:type="dxa"/>
            <w:shd w:val="clear" w:color="auto" w:fill="FFFFFF" w:themeFill="background1"/>
            <w:noWrap/>
            <w:vAlign w:val="center"/>
            <w:hideMark/>
          </w:tcPr>
          <w:p w14:paraId="4B2F7DEC"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A-1</w:t>
            </w:r>
          </w:p>
        </w:tc>
        <w:tc>
          <w:tcPr>
            <w:tcW w:w="1560" w:type="dxa"/>
            <w:shd w:val="clear" w:color="auto" w:fill="FFFFFF" w:themeFill="background1"/>
            <w:noWrap/>
            <w:vAlign w:val="center"/>
            <w:hideMark/>
          </w:tcPr>
          <w:p w14:paraId="77FE91CF"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NCT01607957</w:t>
            </w:r>
          </w:p>
        </w:tc>
        <w:tc>
          <w:tcPr>
            <w:tcW w:w="1879" w:type="dxa"/>
            <w:shd w:val="clear" w:color="auto" w:fill="FFFFFF" w:themeFill="background1"/>
            <w:vAlign w:val="center"/>
            <w:hideMark/>
          </w:tcPr>
          <w:p w14:paraId="7C2CB28C"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TAS-102</w:t>
            </w:r>
          </w:p>
        </w:tc>
        <w:tc>
          <w:tcPr>
            <w:tcW w:w="2458" w:type="dxa"/>
            <w:shd w:val="clear" w:color="auto" w:fill="FFFFFF" w:themeFill="background1"/>
            <w:noWrap/>
            <w:vAlign w:val="center"/>
            <w:hideMark/>
          </w:tcPr>
          <w:p w14:paraId="59CAAAE8"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Colorectal cancer</w:t>
            </w:r>
          </w:p>
        </w:tc>
        <w:tc>
          <w:tcPr>
            <w:tcW w:w="6543" w:type="dxa"/>
            <w:shd w:val="clear" w:color="auto" w:fill="FFFFFF" w:themeFill="background1"/>
            <w:vAlign w:val="center"/>
            <w:hideMark/>
          </w:tcPr>
          <w:p w14:paraId="4F0B5E79"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Mayer RJ, Van Cutsem E, Falcone A, Yoshino T, Garcia-Carbonero R, Mizunuma N, Yamazaki K, Shimada Y, Tabernero J, Komatsu Y, Sobrero A, Boucher E, Peeters M, Tran B, Lenz HJ, Zaniboni A, Hochster H, Cleary JM, Prenen H, Benedetti F, Mizuguchi H, Makris L, Ito M, Ohtsu A; RECOURSE Study Group. Randomized trial of TAS-102 for refractory metastatic colorectal cancer. N Engl J Med. 2015 May 14;372(20):1909-19. doi: 10.1056/NEJMoa1414325. PMID: 25970050.</w:t>
            </w:r>
          </w:p>
        </w:tc>
      </w:tr>
      <w:tr w:rsidR="00542C3C" w:rsidRPr="00C7556C" w14:paraId="6033F2E3" w14:textId="77777777" w:rsidTr="009622A0">
        <w:trPr>
          <w:trHeight w:val="1630"/>
        </w:trPr>
        <w:tc>
          <w:tcPr>
            <w:tcW w:w="780" w:type="dxa"/>
            <w:shd w:val="clear" w:color="auto" w:fill="FFFFFF" w:themeFill="background1"/>
            <w:noWrap/>
            <w:vAlign w:val="center"/>
            <w:hideMark/>
          </w:tcPr>
          <w:p w14:paraId="23CDCE9F"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A-2</w:t>
            </w:r>
          </w:p>
        </w:tc>
        <w:tc>
          <w:tcPr>
            <w:tcW w:w="1560" w:type="dxa"/>
            <w:shd w:val="clear" w:color="auto" w:fill="FFFFFF" w:themeFill="background1"/>
            <w:noWrap/>
            <w:vAlign w:val="center"/>
            <w:hideMark/>
          </w:tcPr>
          <w:p w14:paraId="297C6FC0"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NCT01774344</w:t>
            </w:r>
          </w:p>
        </w:tc>
        <w:tc>
          <w:tcPr>
            <w:tcW w:w="1879" w:type="dxa"/>
            <w:shd w:val="clear" w:color="auto" w:fill="FFFFFF" w:themeFill="background1"/>
            <w:vAlign w:val="center"/>
            <w:hideMark/>
          </w:tcPr>
          <w:p w14:paraId="25D7D5E5"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Regorafenib plus BSC</w:t>
            </w:r>
          </w:p>
        </w:tc>
        <w:tc>
          <w:tcPr>
            <w:tcW w:w="2458" w:type="dxa"/>
            <w:shd w:val="clear" w:color="auto" w:fill="FFFFFF" w:themeFill="background1"/>
            <w:noWrap/>
            <w:vAlign w:val="center"/>
            <w:hideMark/>
          </w:tcPr>
          <w:p w14:paraId="64356E0F"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Hepatocellular carcinoma</w:t>
            </w:r>
          </w:p>
        </w:tc>
        <w:tc>
          <w:tcPr>
            <w:tcW w:w="6543" w:type="dxa"/>
            <w:shd w:val="clear" w:color="auto" w:fill="FFFFFF" w:themeFill="background1"/>
            <w:vAlign w:val="center"/>
            <w:hideMark/>
          </w:tcPr>
          <w:p w14:paraId="70CC144E"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Bruix J, Qin S, Merle P, Granito A, Huang YH, Bodoky G, Pracht M, Yokosuka O, Rosmorduc O, Breder V, Gerolami R, Masi G, Ross PJ, Song T, Bronowicki JP, Ollivier-Hourmand I, Kudo M, Cheng AL, Llovet JM, Finn RS, LeBerre MA, Baumhauer A, Meinhardt G, Han G; RESORCE Investigators. Regorafenib for patients with hepatocellular carcinoma who progressed on sorafenib treatment (RESORCE): a randomised, double-blind, placebo-controlled, phase 3 trial. Lancet. 2017 Jan 7;389(10064):56-66. doi: 10.1016/S0140-6736(16)32453-9. Epub 2016 Dec 6. Erratum in: Lancet. 2017 Jan 7;389(10064):36. PMID: 27932229.</w:t>
            </w:r>
          </w:p>
        </w:tc>
      </w:tr>
      <w:tr w:rsidR="00542C3C" w:rsidRPr="00C7556C" w14:paraId="7FEB88F8" w14:textId="77777777" w:rsidTr="009622A0">
        <w:trPr>
          <w:trHeight w:val="1430"/>
        </w:trPr>
        <w:tc>
          <w:tcPr>
            <w:tcW w:w="780" w:type="dxa"/>
            <w:shd w:val="clear" w:color="auto" w:fill="FFFFFF" w:themeFill="background1"/>
            <w:noWrap/>
            <w:vAlign w:val="center"/>
            <w:hideMark/>
          </w:tcPr>
          <w:p w14:paraId="43F9E6BA"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A-3</w:t>
            </w:r>
          </w:p>
        </w:tc>
        <w:tc>
          <w:tcPr>
            <w:tcW w:w="1560" w:type="dxa"/>
            <w:shd w:val="clear" w:color="auto" w:fill="FFFFFF" w:themeFill="background1"/>
            <w:noWrap/>
            <w:vAlign w:val="center"/>
            <w:hideMark/>
          </w:tcPr>
          <w:p w14:paraId="65153580"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NCT00638690</w:t>
            </w:r>
          </w:p>
        </w:tc>
        <w:tc>
          <w:tcPr>
            <w:tcW w:w="1879" w:type="dxa"/>
            <w:shd w:val="clear" w:color="auto" w:fill="FFFFFF" w:themeFill="background1"/>
            <w:vAlign w:val="center"/>
            <w:hideMark/>
          </w:tcPr>
          <w:p w14:paraId="79B257B9"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Abiraterone acetate plus prednisone</w:t>
            </w:r>
          </w:p>
        </w:tc>
        <w:tc>
          <w:tcPr>
            <w:tcW w:w="2458" w:type="dxa"/>
            <w:shd w:val="clear" w:color="auto" w:fill="FFFFFF" w:themeFill="background1"/>
            <w:noWrap/>
            <w:vAlign w:val="center"/>
            <w:hideMark/>
          </w:tcPr>
          <w:p w14:paraId="49DC4772"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Prostate cancer</w:t>
            </w:r>
          </w:p>
        </w:tc>
        <w:tc>
          <w:tcPr>
            <w:tcW w:w="6543" w:type="dxa"/>
            <w:shd w:val="clear" w:color="auto" w:fill="FFFFFF" w:themeFill="background1"/>
            <w:vAlign w:val="center"/>
            <w:hideMark/>
          </w:tcPr>
          <w:p w14:paraId="22ADC857"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de Bono JS, Logothetis CJ, Molina A, Fizazi K, North S, Chu L, Chi KN, Jones RJ, Goodman OB Jr, Saad F, Staffurth JN, Mainwaring P, Harland S, Flaig TW, Hutson TE, Cheng T, Patterson H, Hainsworth JD, Ryan CJ, Sternberg CN, Ellard SL, Fléchon A, Saleh M, Scholz M, Efstathiou E, Zivi A, Bianchini D, Loriot Y, Chieffo N, Kheoh T, Haqq CM, Scher HI; COU-AA-301 Investigators. Abiraterone and increased survival in metastatic prostate cancer. N Engl J Med. 2011 May 26;364(21):1995-2005. doi: 10.1056/NEJMoa1014618. PMID: 21612468; PMCID: PMC3471149.</w:t>
            </w:r>
          </w:p>
        </w:tc>
      </w:tr>
      <w:tr w:rsidR="00542C3C" w:rsidRPr="00C7556C" w14:paraId="7E4E58A6" w14:textId="77777777" w:rsidTr="009622A0">
        <w:trPr>
          <w:trHeight w:val="1230"/>
        </w:trPr>
        <w:tc>
          <w:tcPr>
            <w:tcW w:w="780" w:type="dxa"/>
            <w:shd w:val="clear" w:color="auto" w:fill="FFFFFF" w:themeFill="background1"/>
            <w:noWrap/>
            <w:vAlign w:val="center"/>
            <w:hideMark/>
          </w:tcPr>
          <w:p w14:paraId="09F28A5B"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A-4</w:t>
            </w:r>
          </w:p>
        </w:tc>
        <w:tc>
          <w:tcPr>
            <w:tcW w:w="1560" w:type="dxa"/>
            <w:shd w:val="clear" w:color="auto" w:fill="FFFFFF" w:themeFill="background1"/>
            <w:noWrap/>
            <w:vAlign w:val="center"/>
            <w:hideMark/>
          </w:tcPr>
          <w:p w14:paraId="38B28D11"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NCT00844649</w:t>
            </w:r>
          </w:p>
        </w:tc>
        <w:tc>
          <w:tcPr>
            <w:tcW w:w="1879" w:type="dxa"/>
            <w:shd w:val="clear" w:color="auto" w:fill="FFFFFF" w:themeFill="background1"/>
            <w:vAlign w:val="center"/>
            <w:hideMark/>
          </w:tcPr>
          <w:p w14:paraId="34DA8E02"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Nab-paclitaxel followed by gemcitabine</w:t>
            </w:r>
          </w:p>
        </w:tc>
        <w:tc>
          <w:tcPr>
            <w:tcW w:w="2458" w:type="dxa"/>
            <w:shd w:val="clear" w:color="auto" w:fill="FFFFFF" w:themeFill="background1"/>
            <w:noWrap/>
            <w:vAlign w:val="center"/>
            <w:hideMark/>
          </w:tcPr>
          <w:p w14:paraId="3F86AB7B"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Pancreatic cancer</w:t>
            </w:r>
          </w:p>
        </w:tc>
        <w:tc>
          <w:tcPr>
            <w:tcW w:w="6543" w:type="dxa"/>
            <w:shd w:val="clear" w:color="auto" w:fill="FFFFFF" w:themeFill="background1"/>
            <w:vAlign w:val="center"/>
            <w:hideMark/>
          </w:tcPr>
          <w:p w14:paraId="2C6D75D6"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Von Hoff DD, Ervin T, Arena FP, Chiorean EG, Infante J, Moore M, Seay T, Tjulandin SA, Ma WW, Saleh MN, Harris M, Reni M, Dowden S, Laheru D, Bahary N, Ramanathan RK, Tabernero J, Hidalgo M, Goldstein D, Van Cutsem E, Wei X, Iglesias J, Renschler MF. Increased survival in pancreatic cancer with nab-paclitaxel plus gemcitabine. N Engl J Med. 2013 Oct 31;369(18):1691-703. doi: 10.1056/NEJMoa1304369. Epub 2013 Oct 16. PMID: 24131140; PMCID: PMC4631139.</w:t>
            </w:r>
          </w:p>
        </w:tc>
      </w:tr>
      <w:tr w:rsidR="00542C3C" w:rsidRPr="00C7556C" w14:paraId="7B8E09B5" w14:textId="77777777" w:rsidTr="009622A0">
        <w:trPr>
          <w:trHeight w:val="1230"/>
        </w:trPr>
        <w:tc>
          <w:tcPr>
            <w:tcW w:w="780" w:type="dxa"/>
            <w:shd w:val="clear" w:color="auto" w:fill="FFFFFF" w:themeFill="background1"/>
            <w:noWrap/>
            <w:vAlign w:val="center"/>
            <w:hideMark/>
          </w:tcPr>
          <w:p w14:paraId="1EABC434"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A-5</w:t>
            </w:r>
          </w:p>
        </w:tc>
        <w:tc>
          <w:tcPr>
            <w:tcW w:w="1560" w:type="dxa"/>
            <w:shd w:val="clear" w:color="auto" w:fill="FFFFFF" w:themeFill="background1"/>
            <w:noWrap/>
            <w:vAlign w:val="center"/>
            <w:hideMark/>
          </w:tcPr>
          <w:p w14:paraId="3E92C7F2"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NCT01597908</w:t>
            </w:r>
          </w:p>
        </w:tc>
        <w:tc>
          <w:tcPr>
            <w:tcW w:w="1879" w:type="dxa"/>
            <w:shd w:val="clear" w:color="auto" w:fill="FFFFFF" w:themeFill="background1"/>
            <w:vAlign w:val="center"/>
            <w:hideMark/>
          </w:tcPr>
          <w:p w14:paraId="200D6C94"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Dabrafenib plus trametinib</w:t>
            </w:r>
          </w:p>
        </w:tc>
        <w:tc>
          <w:tcPr>
            <w:tcW w:w="2458" w:type="dxa"/>
            <w:shd w:val="clear" w:color="auto" w:fill="FFFFFF" w:themeFill="background1"/>
            <w:noWrap/>
            <w:vAlign w:val="center"/>
            <w:hideMark/>
          </w:tcPr>
          <w:p w14:paraId="3E0B1F31"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Melanoma</w:t>
            </w:r>
          </w:p>
        </w:tc>
        <w:tc>
          <w:tcPr>
            <w:tcW w:w="6543" w:type="dxa"/>
            <w:shd w:val="clear" w:color="auto" w:fill="FFFFFF" w:themeFill="background1"/>
            <w:vAlign w:val="center"/>
            <w:hideMark/>
          </w:tcPr>
          <w:p w14:paraId="4BB861D5"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Robert C, Grob JJ, Stroyakovskiy D, Karaszewska B, Hauschild A, Levchenko E, Chiarion Sileni V, Schachter J, Garbe C, Bondarenko I, Gogas H, Mandalá M, Haanen JBAG, Lebbé C, Mackiewicz A, Rutkowski P, Nathan PD, Ribas A, Davies MA, Flaherty KT, Burgess P, Tan M, Gasal E, Voi M, Schadendorf D, Long GV. Five-Year Outcomes with Dabrafenib plus Trametinib in Metastatic Melanoma. N Engl J Med. 2019 Aug 15;381(7):626-636. doi: 10.1056/NEJMoa1904059. Epub 2019 Jun 4. PMID: 31166680.</w:t>
            </w:r>
          </w:p>
        </w:tc>
      </w:tr>
      <w:tr w:rsidR="00542C3C" w:rsidRPr="00C7556C" w14:paraId="0A65F633" w14:textId="77777777" w:rsidTr="009622A0">
        <w:trPr>
          <w:trHeight w:val="1230"/>
        </w:trPr>
        <w:tc>
          <w:tcPr>
            <w:tcW w:w="780" w:type="dxa"/>
            <w:shd w:val="clear" w:color="auto" w:fill="FFFFFF" w:themeFill="background1"/>
            <w:noWrap/>
            <w:vAlign w:val="center"/>
            <w:hideMark/>
          </w:tcPr>
          <w:p w14:paraId="13176316"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A-6</w:t>
            </w:r>
          </w:p>
        </w:tc>
        <w:tc>
          <w:tcPr>
            <w:tcW w:w="1560" w:type="dxa"/>
            <w:shd w:val="clear" w:color="auto" w:fill="FFFFFF" w:themeFill="background1"/>
            <w:noWrap/>
            <w:vAlign w:val="center"/>
            <w:hideMark/>
          </w:tcPr>
          <w:p w14:paraId="03410010"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NCT02105636</w:t>
            </w:r>
          </w:p>
        </w:tc>
        <w:tc>
          <w:tcPr>
            <w:tcW w:w="1879" w:type="dxa"/>
            <w:shd w:val="clear" w:color="auto" w:fill="FFFFFF" w:themeFill="background1"/>
            <w:vAlign w:val="center"/>
            <w:hideMark/>
          </w:tcPr>
          <w:p w14:paraId="6FAC1AB6"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Nivolumab</w:t>
            </w:r>
          </w:p>
        </w:tc>
        <w:tc>
          <w:tcPr>
            <w:tcW w:w="2458" w:type="dxa"/>
            <w:shd w:val="clear" w:color="auto" w:fill="FFFFFF" w:themeFill="background1"/>
            <w:noWrap/>
            <w:vAlign w:val="center"/>
            <w:hideMark/>
          </w:tcPr>
          <w:p w14:paraId="38899B1A"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Head and neck cancer</w:t>
            </w:r>
          </w:p>
        </w:tc>
        <w:tc>
          <w:tcPr>
            <w:tcW w:w="6543" w:type="dxa"/>
            <w:shd w:val="clear" w:color="auto" w:fill="FFFFFF" w:themeFill="background1"/>
            <w:vAlign w:val="center"/>
            <w:hideMark/>
          </w:tcPr>
          <w:p w14:paraId="120FFCE7"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Ferris RL, Blumenschein G Jr, Fayette J, Guigay J, Colevas AD, Licitra L, Harrington K, Kasper S, Vokes EE, Even C, Worden F, Saba NF, Iglesias Docampo LC, Haddad R, Rordorf T, Kiyota N, Tahara M, Monga M, Lynch M, Geese WJ, Kopit J, Shaw JW, Gillison ML. Nivolumab for Recurrent Squamous-Cell Carcinoma of the Head and Neck. N Engl J Med. 2016 Nov 10;375(19):1856-1867. doi: 10.1056/NEJMoa1602252. Epub 2016 Oct 8. PMID: 27718784; PMCID: PMC5564292.</w:t>
            </w:r>
          </w:p>
        </w:tc>
      </w:tr>
      <w:tr w:rsidR="00542C3C" w:rsidRPr="00C7556C" w14:paraId="073B9422" w14:textId="77777777" w:rsidTr="009622A0">
        <w:trPr>
          <w:trHeight w:val="1430"/>
        </w:trPr>
        <w:tc>
          <w:tcPr>
            <w:tcW w:w="780" w:type="dxa"/>
            <w:shd w:val="clear" w:color="auto" w:fill="FFFFFF" w:themeFill="background1"/>
            <w:noWrap/>
            <w:vAlign w:val="center"/>
            <w:hideMark/>
          </w:tcPr>
          <w:p w14:paraId="04A2B28F"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lastRenderedPageBreak/>
              <w:t>A-7</w:t>
            </w:r>
          </w:p>
        </w:tc>
        <w:tc>
          <w:tcPr>
            <w:tcW w:w="1560" w:type="dxa"/>
            <w:shd w:val="clear" w:color="auto" w:fill="FFFFFF" w:themeFill="background1"/>
            <w:noWrap/>
            <w:vAlign w:val="center"/>
            <w:hideMark/>
          </w:tcPr>
          <w:p w14:paraId="70A8DBFB"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NCT00651261</w:t>
            </w:r>
          </w:p>
        </w:tc>
        <w:tc>
          <w:tcPr>
            <w:tcW w:w="1879" w:type="dxa"/>
            <w:shd w:val="clear" w:color="auto" w:fill="FFFFFF" w:themeFill="background1"/>
            <w:vAlign w:val="center"/>
            <w:hideMark/>
          </w:tcPr>
          <w:p w14:paraId="190C29B1"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Midostaurin plus standard chemotherapy</w:t>
            </w:r>
          </w:p>
        </w:tc>
        <w:tc>
          <w:tcPr>
            <w:tcW w:w="2458" w:type="dxa"/>
            <w:shd w:val="clear" w:color="auto" w:fill="FFFFFF" w:themeFill="background1"/>
            <w:noWrap/>
            <w:vAlign w:val="center"/>
            <w:hideMark/>
          </w:tcPr>
          <w:p w14:paraId="02A8285F"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Acute myeloid leukemia</w:t>
            </w:r>
          </w:p>
        </w:tc>
        <w:tc>
          <w:tcPr>
            <w:tcW w:w="6543" w:type="dxa"/>
            <w:shd w:val="clear" w:color="auto" w:fill="FFFFFF" w:themeFill="background1"/>
            <w:vAlign w:val="center"/>
            <w:hideMark/>
          </w:tcPr>
          <w:p w14:paraId="0821796A"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Stone RM, Mandrekar SJ, Sanford BL, Laumann K, Geyer S, Bloomfield CD, Thiede C, Prior TW, Döhner K, Marcucci G, Lo-Coco F, Klisovic RB, Wei A, Sierra J, Sanz MA, Brandwein JM, de Witte T, Niederwieser D, Appelbaum FR, Medeiros BC, Tallman MS, Krauter J, Schlenk RF, Ganser A, Serve H, Ehninger G, Amadori S, Larson RA, Döhner H. Midostaurin plus Chemotherapy for Acute Myeloid Leukemia with a FLT3 Mutation. N Engl J Med. 2017 Aug 3;377(5):454-464. doi: 10.1056/NEJMoa1614359. Epub 2017 Jun 23. PMID: 28644114; PMCID: PMC5754190.</w:t>
            </w:r>
          </w:p>
        </w:tc>
      </w:tr>
      <w:tr w:rsidR="00542C3C" w:rsidRPr="00C7556C" w14:paraId="685EEBA3" w14:textId="77777777" w:rsidTr="009622A0">
        <w:trPr>
          <w:trHeight w:val="1230"/>
        </w:trPr>
        <w:tc>
          <w:tcPr>
            <w:tcW w:w="780" w:type="dxa"/>
            <w:shd w:val="clear" w:color="auto" w:fill="FFFFFF" w:themeFill="background1"/>
            <w:noWrap/>
            <w:vAlign w:val="center"/>
            <w:hideMark/>
          </w:tcPr>
          <w:p w14:paraId="13AE7E70"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A-8</w:t>
            </w:r>
          </w:p>
        </w:tc>
        <w:tc>
          <w:tcPr>
            <w:tcW w:w="1560" w:type="dxa"/>
            <w:shd w:val="clear" w:color="auto" w:fill="FFFFFF" w:themeFill="background1"/>
            <w:noWrap/>
            <w:vAlign w:val="center"/>
            <w:hideMark/>
          </w:tcPr>
          <w:p w14:paraId="28354BB6"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NCT01103323</w:t>
            </w:r>
          </w:p>
        </w:tc>
        <w:tc>
          <w:tcPr>
            <w:tcW w:w="1879" w:type="dxa"/>
            <w:shd w:val="clear" w:color="auto" w:fill="FFFFFF" w:themeFill="background1"/>
            <w:vAlign w:val="center"/>
            <w:hideMark/>
          </w:tcPr>
          <w:p w14:paraId="1FA63A78" w14:textId="77777777" w:rsidR="00542C3C" w:rsidRPr="00C7556C" w:rsidRDefault="00542C3C" w:rsidP="009622A0">
            <w:pPr>
              <w:spacing w:after="0" w:line="240" w:lineRule="auto"/>
              <w:rPr>
                <w:rFonts w:ascii="Arial" w:eastAsia="Times New Roman" w:hAnsi="Arial" w:cs="Arial"/>
                <w:noProof w:val="0"/>
                <w:color w:val="333333"/>
              </w:rPr>
            </w:pPr>
            <w:r w:rsidRPr="00C7556C">
              <w:rPr>
                <w:rFonts w:ascii="Arial" w:eastAsia="Times New Roman" w:hAnsi="Arial" w:cs="Arial"/>
                <w:noProof w:val="0"/>
                <w:color w:val="333333"/>
              </w:rPr>
              <w:t>Regorafenib plus BSC</w:t>
            </w:r>
          </w:p>
        </w:tc>
        <w:tc>
          <w:tcPr>
            <w:tcW w:w="2458" w:type="dxa"/>
            <w:shd w:val="clear" w:color="auto" w:fill="FFFFFF" w:themeFill="background1"/>
            <w:noWrap/>
            <w:vAlign w:val="center"/>
            <w:hideMark/>
          </w:tcPr>
          <w:p w14:paraId="471DCDA8"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Colorectal cancer</w:t>
            </w:r>
          </w:p>
        </w:tc>
        <w:tc>
          <w:tcPr>
            <w:tcW w:w="6543" w:type="dxa"/>
            <w:shd w:val="clear" w:color="auto" w:fill="FFFFFF" w:themeFill="background1"/>
            <w:vAlign w:val="center"/>
            <w:hideMark/>
          </w:tcPr>
          <w:p w14:paraId="5D678B7C" w14:textId="77777777" w:rsidR="00542C3C" w:rsidRPr="00C7556C" w:rsidRDefault="00542C3C" w:rsidP="009622A0">
            <w:pPr>
              <w:spacing w:after="0" w:line="240" w:lineRule="auto"/>
              <w:rPr>
                <w:rFonts w:ascii="Arial" w:eastAsia="Times New Roman" w:hAnsi="Arial" w:cs="Arial"/>
                <w:noProof w:val="0"/>
                <w:color w:val="333333"/>
              </w:rPr>
            </w:pPr>
            <w:r w:rsidRPr="00C7556C">
              <w:rPr>
                <w:rFonts w:ascii="Arial" w:eastAsia="Times New Roman" w:hAnsi="Arial" w:cs="Arial"/>
                <w:noProof w:val="0"/>
                <w:color w:val="333333"/>
              </w:rPr>
              <w:t>Grothey A, Van Cutsem E, Sobrero A, Siena S, Falcone A, Ychou M, Humblet Y, Bouché O, Mineur L, Barone C, Adenis A, Tabernero J, Yoshino T, Lenz HJ, Goldberg RM, Sargent DJ, Cihon F, Cupit L, Wagner A, Laurent D; CORRECT Study Group. Regorafenib monotherapy for previously treated metastatic colorectal cancer (CORRECT): an international, multicentre, randomised, placebo-controlled, phase 3 trial. Lancet. 2013 Jan 26;381(9863):303-12. doi: 10.1016/S0140-6736(12)61900-X. Epub 2012 Nov 22. PMID: 23177514.</w:t>
            </w:r>
          </w:p>
        </w:tc>
      </w:tr>
      <w:tr w:rsidR="00542C3C" w:rsidRPr="00C7556C" w14:paraId="0CE12EC9" w14:textId="77777777" w:rsidTr="009622A0">
        <w:trPr>
          <w:trHeight w:val="1430"/>
        </w:trPr>
        <w:tc>
          <w:tcPr>
            <w:tcW w:w="780" w:type="dxa"/>
            <w:shd w:val="clear" w:color="auto" w:fill="FFFFFF" w:themeFill="background1"/>
            <w:noWrap/>
            <w:vAlign w:val="center"/>
            <w:hideMark/>
          </w:tcPr>
          <w:p w14:paraId="1C82B305"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A-9</w:t>
            </w:r>
          </w:p>
        </w:tc>
        <w:tc>
          <w:tcPr>
            <w:tcW w:w="1560" w:type="dxa"/>
            <w:shd w:val="clear" w:color="auto" w:fill="FFFFFF" w:themeFill="background1"/>
            <w:noWrap/>
            <w:vAlign w:val="center"/>
            <w:hideMark/>
          </w:tcPr>
          <w:p w14:paraId="5D1A8262"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NCT01696084</w:t>
            </w:r>
          </w:p>
        </w:tc>
        <w:tc>
          <w:tcPr>
            <w:tcW w:w="1879" w:type="dxa"/>
            <w:shd w:val="clear" w:color="auto" w:fill="FFFFFF" w:themeFill="background1"/>
            <w:vAlign w:val="center"/>
            <w:hideMark/>
          </w:tcPr>
          <w:p w14:paraId="5D08D2F3"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CPX-351(daunorubicin and cytarabine liposaome)</w:t>
            </w:r>
          </w:p>
        </w:tc>
        <w:tc>
          <w:tcPr>
            <w:tcW w:w="2458" w:type="dxa"/>
            <w:shd w:val="clear" w:color="auto" w:fill="FFFFFF" w:themeFill="background1"/>
            <w:noWrap/>
            <w:vAlign w:val="center"/>
            <w:hideMark/>
          </w:tcPr>
          <w:p w14:paraId="36919CF4"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Acute myeloid leukemia</w:t>
            </w:r>
          </w:p>
        </w:tc>
        <w:tc>
          <w:tcPr>
            <w:tcW w:w="6543" w:type="dxa"/>
            <w:shd w:val="clear" w:color="auto" w:fill="FFFFFF" w:themeFill="background1"/>
            <w:vAlign w:val="center"/>
            <w:hideMark/>
          </w:tcPr>
          <w:p w14:paraId="0B3F0CF8"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Lancet JE, Uy GL, Cortes JE, Newell LF, Lin TL, Ritchie EK, Stuart RK, Strickland SA, Hogge D, Solomon SR, Stone RM, Bixby DL, Kolitz JE, Schiller GJ, Wieduwilt MJ, Ryan DH, Hoering A, Banerjee K, Chiarella M, Louie AC, Medeiros BC. CPX-351 (cytarabine and daunorubicin) Liposome for Injection Versus Conventional Cytarabine Plus Daunorubicin in Older Patients With Newly Diagnosed Secondary Acute Myeloid Leukemia. J Clin Oncol. 2018 Sep 10;36(26):2684-2692. doi: 10.1200/JCO.2017.77.6112. Epub 2018 Jul 19. PMID: 30024784; PMCID: PMC6127025.</w:t>
            </w:r>
          </w:p>
        </w:tc>
      </w:tr>
      <w:tr w:rsidR="00542C3C" w:rsidRPr="00C7556C" w14:paraId="7383BD37" w14:textId="77777777" w:rsidTr="009622A0">
        <w:trPr>
          <w:trHeight w:val="1230"/>
        </w:trPr>
        <w:tc>
          <w:tcPr>
            <w:tcW w:w="780" w:type="dxa"/>
            <w:shd w:val="clear" w:color="auto" w:fill="FFFFFF" w:themeFill="background1"/>
            <w:noWrap/>
            <w:vAlign w:val="center"/>
            <w:hideMark/>
          </w:tcPr>
          <w:p w14:paraId="35CC7A56"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A-10</w:t>
            </w:r>
          </w:p>
        </w:tc>
        <w:tc>
          <w:tcPr>
            <w:tcW w:w="1560" w:type="dxa"/>
            <w:shd w:val="clear" w:color="auto" w:fill="FFFFFF" w:themeFill="background1"/>
            <w:noWrap/>
            <w:vAlign w:val="center"/>
            <w:hideMark/>
          </w:tcPr>
          <w:p w14:paraId="007DFA41"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NCT01327885</w:t>
            </w:r>
          </w:p>
        </w:tc>
        <w:tc>
          <w:tcPr>
            <w:tcW w:w="1879" w:type="dxa"/>
            <w:shd w:val="clear" w:color="auto" w:fill="FFFFFF" w:themeFill="background1"/>
            <w:vAlign w:val="center"/>
            <w:hideMark/>
          </w:tcPr>
          <w:p w14:paraId="7BF64E40"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Eribulin</w:t>
            </w:r>
          </w:p>
        </w:tc>
        <w:tc>
          <w:tcPr>
            <w:tcW w:w="2458" w:type="dxa"/>
            <w:shd w:val="clear" w:color="auto" w:fill="FFFFFF" w:themeFill="background1"/>
            <w:noWrap/>
            <w:vAlign w:val="center"/>
            <w:hideMark/>
          </w:tcPr>
          <w:p w14:paraId="3324E7C3"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Soft tissue sarcoma(Liposarcoma)</w:t>
            </w:r>
          </w:p>
        </w:tc>
        <w:tc>
          <w:tcPr>
            <w:tcW w:w="6543" w:type="dxa"/>
            <w:shd w:val="clear" w:color="auto" w:fill="FFFFFF" w:themeFill="background1"/>
            <w:vAlign w:val="center"/>
            <w:hideMark/>
          </w:tcPr>
          <w:p w14:paraId="29DBE242"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Schöffski P, Chawla S, Maki RG, Italiano A, Gelderblom H, Choy E, Grignani G, Camargo V, Bauer S, Rha SY, Blay JY, Hohenberger P, D'Adamo D, Guo M, Chmielowski B, Le Cesne A, Demetri GD, Patel SR. Eribulin versus dacarbazine in previously treated patients with advanced liposarcoma or leiomyosarcoma: a randomised, open-label, multicentre, phase 3 trial. Lancet. 2016 Apr 16;387(10028):1629-37. doi: 10.1016/S0140-6736(15)01283-0. Epub 2016 Feb 10. PMID: 26874885.</w:t>
            </w:r>
          </w:p>
        </w:tc>
      </w:tr>
      <w:tr w:rsidR="00542C3C" w:rsidRPr="00C7556C" w14:paraId="177C4C32" w14:textId="77777777" w:rsidTr="009622A0">
        <w:trPr>
          <w:trHeight w:val="1230"/>
        </w:trPr>
        <w:tc>
          <w:tcPr>
            <w:tcW w:w="780" w:type="dxa"/>
            <w:shd w:val="clear" w:color="auto" w:fill="FFFFFF" w:themeFill="background1"/>
            <w:noWrap/>
            <w:vAlign w:val="center"/>
            <w:hideMark/>
          </w:tcPr>
          <w:p w14:paraId="1FFECC83"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A-11</w:t>
            </w:r>
          </w:p>
        </w:tc>
        <w:tc>
          <w:tcPr>
            <w:tcW w:w="1560" w:type="dxa"/>
            <w:shd w:val="clear" w:color="auto" w:fill="FFFFFF" w:themeFill="background1"/>
            <w:noWrap/>
            <w:vAlign w:val="center"/>
            <w:hideMark/>
          </w:tcPr>
          <w:p w14:paraId="0CF875DD"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NCT01642004</w:t>
            </w:r>
          </w:p>
        </w:tc>
        <w:tc>
          <w:tcPr>
            <w:tcW w:w="1879" w:type="dxa"/>
            <w:shd w:val="clear" w:color="auto" w:fill="FFFFFF" w:themeFill="background1"/>
            <w:vAlign w:val="center"/>
            <w:hideMark/>
          </w:tcPr>
          <w:p w14:paraId="32CE6292"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Nivolumab</w:t>
            </w:r>
          </w:p>
        </w:tc>
        <w:tc>
          <w:tcPr>
            <w:tcW w:w="2458" w:type="dxa"/>
            <w:shd w:val="clear" w:color="auto" w:fill="FFFFFF" w:themeFill="background1"/>
            <w:noWrap/>
            <w:vAlign w:val="center"/>
            <w:hideMark/>
          </w:tcPr>
          <w:p w14:paraId="32A8593A"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Non-small cell lung cancer</w:t>
            </w:r>
          </w:p>
        </w:tc>
        <w:tc>
          <w:tcPr>
            <w:tcW w:w="6543" w:type="dxa"/>
            <w:shd w:val="clear" w:color="auto" w:fill="FFFFFF" w:themeFill="background1"/>
            <w:vAlign w:val="center"/>
            <w:hideMark/>
          </w:tcPr>
          <w:p w14:paraId="7F73C5E8"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Brahmer J, Reckamp KL, Baas P, Crinò L, Eberhardt WE, Poddubskaya E, Antonia S, Pluzanski A, Vokes EE, Holgado E, Waterhouse D, Ready N, Gainor J, Arén Frontera O, Havel L, Steins M, Garassino MC, Aerts JG, Domine M, Paz-Ares L, Reck M, Baudelet C, Harbison CT, Lestini B, Spigel DR. Nivolumab versus Docetaxel in Advanced Squamous-Cell Non-Small-Cell Lung Cancer. N Engl J Med. 2015 Jul 9;373(2):123-35. doi: 10.1056/NEJMoa1504627. Epub 2015 May 31. PMID: 26028407; PMCID: PMC4681400.</w:t>
            </w:r>
          </w:p>
        </w:tc>
      </w:tr>
      <w:tr w:rsidR="00542C3C" w:rsidRPr="00C7556C" w14:paraId="6031511B" w14:textId="77777777" w:rsidTr="009622A0">
        <w:trPr>
          <w:trHeight w:val="1430"/>
        </w:trPr>
        <w:tc>
          <w:tcPr>
            <w:tcW w:w="780" w:type="dxa"/>
            <w:shd w:val="clear" w:color="auto" w:fill="FFFFFF" w:themeFill="background1"/>
            <w:noWrap/>
            <w:vAlign w:val="center"/>
            <w:hideMark/>
          </w:tcPr>
          <w:p w14:paraId="1683D7D5"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A-12</w:t>
            </w:r>
          </w:p>
        </w:tc>
        <w:tc>
          <w:tcPr>
            <w:tcW w:w="1560" w:type="dxa"/>
            <w:shd w:val="clear" w:color="auto" w:fill="FFFFFF" w:themeFill="background1"/>
            <w:noWrap/>
            <w:vAlign w:val="center"/>
            <w:hideMark/>
          </w:tcPr>
          <w:p w14:paraId="5AFBCCA9"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NCT03069352</w:t>
            </w:r>
          </w:p>
        </w:tc>
        <w:tc>
          <w:tcPr>
            <w:tcW w:w="1879" w:type="dxa"/>
            <w:shd w:val="clear" w:color="auto" w:fill="FFFFFF" w:themeFill="background1"/>
            <w:vAlign w:val="center"/>
            <w:hideMark/>
          </w:tcPr>
          <w:p w14:paraId="08E757C6"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Venetoclax plus LDAC</w:t>
            </w:r>
          </w:p>
        </w:tc>
        <w:tc>
          <w:tcPr>
            <w:tcW w:w="2458" w:type="dxa"/>
            <w:shd w:val="clear" w:color="auto" w:fill="FFFFFF" w:themeFill="background1"/>
            <w:noWrap/>
            <w:vAlign w:val="center"/>
            <w:hideMark/>
          </w:tcPr>
          <w:p w14:paraId="2E1EFB62"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Acute myeloid leukemia</w:t>
            </w:r>
          </w:p>
        </w:tc>
        <w:tc>
          <w:tcPr>
            <w:tcW w:w="6543" w:type="dxa"/>
            <w:shd w:val="clear" w:color="auto" w:fill="FFFFFF" w:themeFill="background1"/>
            <w:vAlign w:val="center"/>
            <w:hideMark/>
          </w:tcPr>
          <w:p w14:paraId="759E97C5"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Wei AH, Montesinos P, Ivanov V, DiNardo CD, Novak J, Laribi K, Kim I, Stevens DA, Fiedler W, Pagoni M, Samoilova O, Hu Y, Anagnostopoulos A, Bergeron J, Hou JZ, Murthy V, Yamauchi T, McDonald A, Chyla B, Gopalakrishnan S, Jiang Q, Mendes W, Hayslip J, Panayiotidis P. Venetoclax plus LDAC for newly diagnosed AML ineligible for intensive chemotherapy: a phase 3 randomized placebo-controlled trial. Blood. 2020 Jun 11;135(24):2137-2145. doi: 10.1182/blood.2020004856. PMID: 32219442; PMCID: PMC7290090.</w:t>
            </w:r>
          </w:p>
        </w:tc>
      </w:tr>
      <w:tr w:rsidR="00542C3C" w:rsidRPr="00C7556C" w14:paraId="067A3105" w14:textId="77777777" w:rsidTr="009622A0">
        <w:trPr>
          <w:trHeight w:val="1430"/>
        </w:trPr>
        <w:tc>
          <w:tcPr>
            <w:tcW w:w="780" w:type="dxa"/>
            <w:shd w:val="clear" w:color="auto" w:fill="FFFFFF" w:themeFill="background1"/>
            <w:noWrap/>
            <w:vAlign w:val="center"/>
            <w:hideMark/>
          </w:tcPr>
          <w:p w14:paraId="5F01726A"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A-13</w:t>
            </w:r>
          </w:p>
        </w:tc>
        <w:tc>
          <w:tcPr>
            <w:tcW w:w="1560" w:type="dxa"/>
            <w:shd w:val="clear" w:color="auto" w:fill="FFFFFF" w:themeFill="background1"/>
            <w:noWrap/>
            <w:vAlign w:val="center"/>
            <w:hideMark/>
          </w:tcPr>
          <w:p w14:paraId="558F4524"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NCT02899299</w:t>
            </w:r>
          </w:p>
        </w:tc>
        <w:tc>
          <w:tcPr>
            <w:tcW w:w="1879" w:type="dxa"/>
            <w:shd w:val="clear" w:color="auto" w:fill="FFFFFF" w:themeFill="background1"/>
            <w:vAlign w:val="center"/>
            <w:hideMark/>
          </w:tcPr>
          <w:p w14:paraId="745C60D9"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Nivolumab plus ipilimumab</w:t>
            </w:r>
          </w:p>
        </w:tc>
        <w:tc>
          <w:tcPr>
            <w:tcW w:w="2458" w:type="dxa"/>
            <w:shd w:val="clear" w:color="auto" w:fill="FFFFFF" w:themeFill="background1"/>
            <w:noWrap/>
            <w:vAlign w:val="center"/>
            <w:hideMark/>
          </w:tcPr>
          <w:p w14:paraId="16FC5ED1"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Mesothelioma</w:t>
            </w:r>
          </w:p>
        </w:tc>
        <w:tc>
          <w:tcPr>
            <w:tcW w:w="6543" w:type="dxa"/>
            <w:shd w:val="clear" w:color="auto" w:fill="FFFFFF" w:themeFill="background1"/>
            <w:vAlign w:val="center"/>
            <w:hideMark/>
          </w:tcPr>
          <w:p w14:paraId="6ACE46AC"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Baas P, Scherpereel A, Nowak AK, Fujimoto N, Peters S, Tsao AS, Mansfield AS, Popat S, Jahan T, Antonia S, Oulkhouir Y, Bautista Y, Cornelissen R, Greillier L, Grossi F, Kowalski D, Rodríguez-Cid J, Aanur P, Oukessou A, Baudelet C, Zalcman G. First-line nivolumab plus ipilimumab in unresectable malignant pleural mesothelioma (CheckMate 743): a multicentre, randomised, open-label, phase 3 trial. Lancet. 2021 Jan 30;397(10272):375-386. doi: 10.1016/S0140-6736(20)32714-8. Epub 2021 Jan 21. Erratum in: Lancet. 2021 Feb 20;397(10275):670. PMID: 33485464.</w:t>
            </w:r>
          </w:p>
        </w:tc>
      </w:tr>
      <w:tr w:rsidR="00542C3C" w:rsidRPr="00C7556C" w14:paraId="39D4EBAE" w14:textId="77777777" w:rsidTr="009622A0">
        <w:trPr>
          <w:trHeight w:val="1230"/>
        </w:trPr>
        <w:tc>
          <w:tcPr>
            <w:tcW w:w="780" w:type="dxa"/>
            <w:shd w:val="clear" w:color="auto" w:fill="FFFFFF" w:themeFill="background1"/>
            <w:noWrap/>
            <w:vAlign w:val="center"/>
            <w:hideMark/>
          </w:tcPr>
          <w:p w14:paraId="18B73C19"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lastRenderedPageBreak/>
              <w:t>A-14</w:t>
            </w:r>
          </w:p>
        </w:tc>
        <w:tc>
          <w:tcPr>
            <w:tcW w:w="1560" w:type="dxa"/>
            <w:shd w:val="clear" w:color="auto" w:fill="FFFFFF" w:themeFill="background1"/>
            <w:noWrap/>
            <w:vAlign w:val="center"/>
            <w:hideMark/>
          </w:tcPr>
          <w:p w14:paraId="48895629"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NCT00561470</w:t>
            </w:r>
          </w:p>
        </w:tc>
        <w:tc>
          <w:tcPr>
            <w:tcW w:w="1879" w:type="dxa"/>
            <w:shd w:val="clear" w:color="auto" w:fill="FFFFFF" w:themeFill="background1"/>
            <w:vAlign w:val="center"/>
            <w:hideMark/>
          </w:tcPr>
          <w:p w14:paraId="57BB3CE2"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Aflibercept plus FOLFIRI</w:t>
            </w:r>
          </w:p>
        </w:tc>
        <w:tc>
          <w:tcPr>
            <w:tcW w:w="2458" w:type="dxa"/>
            <w:shd w:val="clear" w:color="auto" w:fill="FFFFFF" w:themeFill="background1"/>
            <w:noWrap/>
            <w:vAlign w:val="center"/>
            <w:hideMark/>
          </w:tcPr>
          <w:p w14:paraId="451B89B6"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Colorectal cancer</w:t>
            </w:r>
          </w:p>
        </w:tc>
        <w:tc>
          <w:tcPr>
            <w:tcW w:w="6543" w:type="dxa"/>
            <w:shd w:val="clear" w:color="auto" w:fill="FFFFFF" w:themeFill="background1"/>
            <w:vAlign w:val="center"/>
            <w:hideMark/>
          </w:tcPr>
          <w:p w14:paraId="4C7EDC44"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Van Cutsem E, Tabernero J, Lakomy R, Prenen H, Prausová J, Macarulla T, Ruff P, van Hazel GA, Moiseyenko V, Ferry D, McKendrick J, Polikoff J, Tellier A, Castan R, Allegra C. Addition of aflibercept to fluorouracil, leucovorin, and irinotecan improves survival in a phase III randomized trial in patients with metastatic colorectal cancer previously treated with an oxaliplatin-based regimen. J Clin Oncol. 2012 Oct 1;30(28):3499-506. doi: 10.1200/JCO.2012.42.8201. Epub 2012 Sep 4. PMID: 22949147.</w:t>
            </w:r>
          </w:p>
        </w:tc>
      </w:tr>
      <w:tr w:rsidR="00542C3C" w:rsidRPr="00C7556C" w14:paraId="7D66356C" w14:textId="77777777" w:rsidTr="009622A0">
        <w:trPr>
          <w:trHeight w:val="1030"/>
        </w:trPr>
        <w:tc>
          <w:tcPr>
            <w:tcW w:w="780" w:type="dxa"/>
            <w:shd w:val="clear" w:color="auto" w:fill="FFFFFF" w:themeFill="background1"/>
            <w:noWrap/>
            <w:vAlign w:val="center"/>
            <w:hideMark/>
          </w:tcPr>
          <w:p w14:paraId="386236EC"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A-15</w:t>
            </w:r>
          </w:p>
        </w:tc>
        <w:tc>
          <w:tcPr>
            <w:tcW w:w="1560" w:type="dxa"/>
            <w:shd w:val="clear" w:color="auto" w:fill="FFFFFF" w:themeFill="background1"/>
            <w:noWrap/>
            <w:vAlign w:val="center"/>
            <w:hideMark/>
          </w:tcPr>
          <w:p w14:paraId="2AE1C4DE"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NCT00974311</w:t>
            </w:r>
          </w:p>
        </w:tc>
        <w:tc>
          <w:tcPr>
            <w:tcW w:w="1879" w:type="dxa"/>
            <w:shd w:val="clear" w:color="auto" w:fill="FFFFFF" w:themeFill="background1"/>
            <w:vAlign w:val="center"/>
            <w:hideMark/>
          </w:tcPr>
          <w:p w14:paraId="324A36EA"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Enzalutamide</w:t>
            </w:r>
          </w:p>
        </w:tc>
        <w:tc>
          <w:tcPr>
            <w:tcW w:w="2458" w:type="dxa"/>
            <w:shd w:val="clear" w:color="auto" w:fill="FFFFFF" w:themeFill="background1"/>
            <w:noWrap/>
            <w:vAlign w:val="center"/>
            <w:hideMark/>
          </w:tcPr>
          <w:p w14:paraId="642986AC"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Prostate cancer</w:t>
            </w:r>
          </w:p>
        </w:tc>
        <w:tc>
          <w:tcPr>
            <w:tcW w:w="6543" w:type="dxa"/>
            <w:shd w:val="clear" w:color="auto" w:fill="FFFFFF" w:themeFill="background1"/>
            <w:vAlign w:val="center"/>
            <w:hideMark/>
          </w:tcPr>
          <w:p w14:paraId="28206242"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Scher HI, Fizazi K, Saad F, Taplin ME, Sternberg CN, Miller K, de Wit R, Mulders P, Chi KN, Shore ND, Armstrong AJ, Flaig TW, Fléchon A, Mainwaring P, Fleming M, Hainsworth JD, Hirmand M, Selby B, Seely L, de Bono JS; AFFIRM Investigators. Increased survival with enzalutamide in prostate cancer after chemotherapy. N Engl J Med. 2012 Sep 27;367(13):1187-97. doi: 10.1056/NEJMoa1207506. Epub 2012 Aug 15. PMID: 22894553.</w:t>
            </w:r>
          </w:p>
        </w:tc>
      </w:tr>
      <w:tr w:rsidR="00542C3C" w:rsidRPr="00C7556C" w14:paraId="162CC7A2" w14:textId="77777777" w:rsidTr="009622A0">
        <w:trPr>
          <w:trHeight w:val="1030"/>
        </w:trPr>
        <w:tc>
          <w:tcPr>
            <w:tcW w:w="780" w:type="dxa"/>
            <w:shd w:val="clear" w:color="auto" w:fill="FFFFFF" w:themeFill="background1"/>
            <w:noWrap/>
            <w:vAlign w:val="center"/>
            <w:hideMark/>
          </w:tcPr>
          <w:p w14:paraId="551C59F5"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A-16</w:t>
            </w:r>
          </w:p>
        </w:tc>
        <w:tc>
          <w:tcPr>
            <w:tcW w:w="1560" w:type="dxa"/>
            <w:shd w:val="clear" w:color="auto" w:fill="FFFFFF" w:themeFill="background1"/>
            <w:noWrap/>
            <w:vAlign w:val="center"/>
            <w:hideMark/>
          </w:tcPr>
          <w:p w14:paraId="3BB3F13C"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NCT00417079</w:t>
            </w:r>
          </w:p>
        </w:tc>
        <w:tc>
          <w:tcPr>
            <w:tcW w:w="1879" w:type="dxa"/>
            <w:shd w:val="clear" w:color="auto" w:fill="FFFFFF" w:themeFill="background1"/>
            <w:vAlign w:val="center"/>
            <w:hideMark/>
          </w:tcPr>
          <w:p w14:paraId="013A4D7D"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Cabazitaxel plus prednisone</w:t>
            </w:r>
          </w:p>
        </w:tc>
        <w:tc>
          <w:tcPr>
            <w:tcW w:w="2458" w:type="dxa"/>
            <w:shd w:val="clear" w:color="auto" w:fill="FFFFFF" w:themeFill="background1"/>
            <w:noWrap/>
            <w:vAlign w:val="center"/>
            <w:hideMark/>
          </w:tcPr>
          <w:p w14:paraId="34BB5AD9"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Prostate cancer</w:t>
            </w:r>
          </w:p>
        </w:tc>
        <w:tc>
          <w:tcPr>
            <w:tcW w:w="6543" w:type="dxa"/>
            <w:shd w:val="clear" w:color="auto" w:fill="FFFFFF" w:themeFill="background1"/>
            <w:vAlign w:val="center"/>
            <w:hideMark/>
          </w:tcPr>
          <w:p w14:paraId="129917A5"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de Bono JS, Oudard S, Ozguroglu M, Hansen S, Machiels JP, Kocak I, Gravis G, Bodrogi I, Mackenzie MJ, Shen L, Roessner M, Gupta S, Sartor AO; TROPIC Investigators. Prednisone plus cabazitaxel or mitoxantrone for metastatic castration-resistant prostate cancer progressing after docetaxel treatment: a randomised open-label trial. Lancet. 2010 Oct 2;376(9747):1147-54. doi: 10.1016/S0140-6736(10)61389-X. PMID: 20888992.</w:t>
            </w:r>
          </w:p>
        </w:tc>
      </w:tr>
      <w:tr w:rsidR="00542C3C" w:rsidRPr="00C7556C" w14:paraId="51ECD12C" w14:textId="77777777" w:rsidTr="009622A0">
        <w:trPr>
          <w:trHeight w:val="1230"/>
        </w:trPr>
        <w:tc>
          <w:tcPr>
            <w:tcW w:w="780" w:type="dxa"/>
            <w:shd w:val="clear" w:color="auto" w:fill="FFFFFF" w:themeFill="background1"/>
            <w:noWrap/>
            <w:vAlign w:val="center"/>
            <w:hideMark/>
          </w:tcPr>
          <w:p w14:paraId="4EF353E6"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A-17</w:t>
            </w:r>
          </w:p>
        </w:tc>
        <w:tc>
          <w:tcPr>
            <w:tcW w:w="1560" w:type="dxa"/>
            <w:shd w:val="clear" w:color="auto" w:fill="FFFFFF" w:themeFill="background1"/>
            <w:noWrap/>
            <w:vAlign w:val="center"/>
            <w:hideMark/>
          </w:tcPr>
          <w:p w14:paraId="67E69008"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NCT02013167</w:t>
            </w:r>
          </w:p>
        </w:tc>
        <w:tc>
          <w:tcPr>
            <w:tcW w:w="1879" w:type="dxa"/>
            <w:shd w:val="clear" w:color="auto" w:fill="FFFFFF" w:themeFill="background1"/>
            <w:vAlign w:val="center"/>
            <w:hideMark/>
          </w:tcPr>
          <w:p w14:paraId="1330739A"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Blinatumomab</w:t>
            </w:r>
          </w:p>
        </w:tc>
        <w:tc>
          <w:tcPr>
            <w:tcW w:w="2458" w:type="dxa"/>
            <w:shd w:val="clear" w:color="auto" w:fill="FFFFFF" w:themeFill="background1"/>
            <w:noWrap/>
            <w:vAlign w:val="center"/>
            <w:hideMark/>
          </w:tcPr>
          <w:p w14:paraId="44CF959D"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Acute lymphocytic leukemia</w:t>
            </w:r>
          </w:p>
        </w:tc>
        <w:tc>
          <w:tcPr>
            <w:tcW w:w="6543" w:type="dxa"/>
            <w:shd w:val="clear" w:color="auto" w:fill="FFFFFF" w:themeFill="background1"/>
            <w:vAlign w:val="center"/>
            <w:hideMark/>
          </w:tcPr>
          <w:p w14:paraId="6AAB8A7D"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Kantarjian H, Stein A, Gökbuget N, Fielding AK, Schuh AC, Ribera JM, Wei A, Dombret H, Foà R, Bassan R, Arslan Ö, Sanz MA, Bergeron J, Demirkan F, Lech-Maranda E, Rambaldi A, Thomas X, Horst HA, Brüggemann M, Klapper W, Wood BL, Fleishman A, Nagorsen D, Holland C, Zimmerman Z, Topp MS. Blinatumomab versus Chemotherapy for Advanced Acute Lymphoblastic Leukemia. N Engl J Med. 2017 Mar 2;376(9):836-847. doi: 10.1056/NEJMoa1609783. PMID: 28249141; PMCID: PMC5881572.</w:t>
            </w:r>
          </w:p>
        </w:tc>
      </w:tr>
      <w:tr w:rsidR="00542C3C" w:rsidRPr="00C7556C" w14:paraId="6BAD76B7" w14:textId="77777777" w:rsidTr="009622A0">
        <w:trPr>
          <w:trHeight w:val="1630"/>
        </w:trPr>
        <w:tc>
          <w:tcPr>
            <w:tcW w:w="780" w:type="dxa"/>
            <w:shd w:val="clear" w:color="auto" w:fill="FFFFFF" w:themeFill="background1"/>
            <w:noWrap/>
            <w:vAlign w:val="center"/>
            <w:hideMark/>
          </w:tcPr>
          <w:p w14:paraId="0521772E"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A-18</w:t>
            </w:r>
          </w:p>
        </w:tc>
        <w:tc>
          <w:tcPr>
            <w:tcW w:w="1560" w:type="dxa"/>
            <w:shd w:val="clear" w:color="auto" w:fill="FFFFFF" w:themeFill="background1"/>
            <w:noWrap/>
            <w:vAlign w:val="center"/>
            <w:hideMark/>
          </w:tcPr>
          <w:p w14:paraId="6FE5CC4A"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NCT02231749</w:t>
            </w:r>
          </w:p>
        </w:tc>
        <w:tc>
          <w:tcPr>
            <w:tcW w:w="1879" w:type="dxa"/>
            <w:shd w:val="clear" w:color="auto" w:fill="FFFFFF" w:themeFill="background1"/>
            <w:vAlign w:val="center"/>
            <w:hideMark/>
          </w:tcPr>
          <w:p w14:paraId="5DDB3601"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Nivolumab and ipilimumab</w:t>
            </w:r>
          </w:p>
        </w:tc>
        <w:tc>
          <w:tcPr>
            <w:tcW w:w="2458" w:type="dxa"/>
            <w:shd w:val="clear" w:color="auto" w:fill="FFFFFF" w:themeFill="background1"/>
            <w:noWrap/>
            <w:vAlign w:val="center"/>
            <w:hideMark/>
          </w:tcPr>
          <w:p w14:paraId="3DB3BFC5"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Renal cell carcinoma</w:t>
            </w:r>
          </w:p>
        </w:tc>
        <w:tc>
          <w:tcPr>
            <w:tcW w:w="6543" w:type="dxa"/>
            <w:shd w:val="clear" w:color="auto" w:fill="FFFFFF" w:themeFill="background1"/>
            <w:vAlign w:val="center"/>
            <w:hideMark/>
          </w:tcPr>
          <w:p w14:paraId="33D0C8A0"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Motzer RJ, Tannir NM, McDermott DF, Arén Frontera O, Melichar B, Choueiri TK, Plimack ER, Barthélémy P, Porta C, George S, Powles T, Donskov F, Neiman V, Kollmannsberger CK, Salman P, Gurney H, Hawkins R, Ravaud A, Grimm MO, Bracarda S, Barrios CH, Tomita Y, Castellano D, Rini BI, Chen AC, Mekan S, McHenry MB, Wind-Rotolo M, Doan J, Sharma P, Hammers HJ, Escudier B; CheckMate 214 Investigators. Nivolumab plus Ipilimumab versus Sunitinib in Advanced Renal-Cell Carcinoma. N Engl J Med. 2018 Apr 5;378(14):1277-1290. doi: 10.1056/NEJMoa1712126. Epub 2018 Mar 21. PMID: 29562145; PMCID: PMC5972549.</w:t>
            </w:r>
          </w:p>
        </w:tc>
      </w:tr>
      <w:tr w:rsidR="00542C3C" w:rsidRPr="00C7556C" w14:paraId="3B6F98C2" w14:textId="77777777" w:rsidTr="009622A0">
        <w:trPr>
          <w:trHeight w:val="1030"/>
        </w:trPr>
        <w:tc>
          <w:tcPr>
            <w:tcW w:w="780" w:type="dxa"/>
            <w:shd w:val="clear" w:color="auto" w:fill="FFFFFF" w:themeFill="background1"/>
            <w:noWrap/>
            <w:vAlign w:val="center"/>
            <w:hideMark/>
          </w:tcPr>
          <w:p w14:paraId="78B04D74"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A-19</w:t>
            </w:r>
          </w:p>
        </w:tc>
        <w:tc>
          <w:tcPr>
            <w:tcW w:w="1560" w:type="dxa"/>
            <w:shd w:val="clear" w:color="auto" w:fill="FFFFFF" w:themeFill="background1"/>
            <w:noWrap/>
            <w:vAlign w:val="center"/>
            <w:hideMark/>
          </w:tcPr>
          <w:p w14:paraId="1E984877"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NCT00065468</w:t>
            </w:r>
          </w:p>
        </w:tc>
        <w:tc>
          <w:tcPr>
            <w:tcW w:w="1879" w:type="dxa"/>
            <w:shd w:val="clear" w:color="auto" w:fill="FFFFFF" w:themeFill="background1"/>
            <w:vAlign w:val="center"/>
            <w:hideMark/>
          </w:tcPr>
          <w:p w14:paraId="5320B14E"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Temsirolimus</w:t>
            </w:r>
          </w:p>
        </w:tc>
        <w:tc>
          <w:tcPr>
            <w:tcW w:w="2458" w:type="dxa"/>
            <w:shd w:val="clear" w:color="auto" w:fill="FFFFFF" w:themeFill="background1"/>
            <w:noWrap/>
            <w:vAlign w:val="center"/>
            <w:hideMark/>
          </w:tcPr>
          <w:p w14:paraId="283EE065"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Renal cell carcinoma</w:t>
            </w:r>
          </w:p>
        </w:tc>
        <w:tc>
          <w:tcPr>
            <w:tcW w:w="6543" w:type="dxa"/>
            <w:shd w:val="clear" w:color="auto" w:fill="FFFFFF" w:themeFill="background1"/>
            <w:vAlign w:val="center"/>
            <w:hideMark/>
          </w:tcPr>
          <w:p w14:paraId="0F333B1E"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Hudes G, Carducci M, Tomczak P, Dutcher J, Figlin R, Kapoor A, Staroslawska E, Sosman J, McDermott D, Bodrogi I, Kovacevic Z, Lesovoy V, Schmidt-Wolf IG, Barbarash O, Gokmen E, O'Toole T, Lustgarten S, Moore L, Motzer RJ; Global ARCC Trial. Temsirolimus, interferon alfa, or both for advanced renal-cell carcinoma. N Engl J Med. 2007 May 31;356(22):2271-81. doi: 10.1056/NEJMoa066838. PMID: 17538086.</w:t>
            </w:r>
          </w:p>
        </w:tc>
      </w:tr>
      <w:tr w:rsidR="00542C3C" w:rsidRPr="00C7556C" w14:paraId="396578EF" w14:textId="77777777" w:rsidTr="009622A0">
        <w:trPr>
          <w:trHeight w:val="1230"/>
        </w:trPr>
        <w:tc>
          <w:tcPr>
            <w:tcW w:w="780" w:type="dxa"/>
            <w:shd w:val="clear" w:color="auto" w:fill="FFFFFF" w:themeFill="background1"/>
            <w:noWrap/>
            <w:vAlign w:val="center"/>
            <w:hideMark/>
          </w:tcPr>
          <w:p w14:paraId="4344206B"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A-20</w:t>
            </w:r>
          </w:p>
        </w:tc>
        <w:tc>
          <w:tcPr>
            <w:tcW w:w="1560" w:type="dxa"/>
            <w:shd w:val="clear" w:color="auto" w:fill="FFFFFF" w:themeFill="background1"/>
            <w:noWrap/>
            <w:vAlign w:val="center"/>
            <w:hideMark/>
          </w:tcPr>
          <w:p w14:paraId="279C8FD3"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NCT01006980</w:t>
            </w:r>
          </w:p>
        </w:tc>
        <w:tc>
          <w:tcPr>
            <w:tcW w:w="1879" w:type="dxa"/>
            <w:shd w:val="clear" w:color="auto" w:fill="FFFFFF" w:themeFill="background1"/>
            <w:vAlign w:val="center"/>
            <w:hideMark/>
          </w:tcPr>
          <w:p w14:paraId="3C465B28"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Vemurafenib</w:t>
            </w:r>
          </w:p>
        </w:tc>
        <w:tc>
          <w:tcPr>
            <w:tcW w:w="2458" w:type="dxa"/>
            <w:shd w:val="clear" w:color="auto" w:fill="FFFFFF" w:themeFill="background1"/>
            <w:noWrap/>
            <w:vAlign w:val="center"/>
            <w:hideMark/>
          </w:tcPr>
          <w:p w14:paraId="7223EEA3"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Melanoma</w:t>
            </w:r>
          </w:p>
        </w:tc>
        <w:tc>
          <w:tcPr>
            <w:tcW w:w="6543" w:type="dxa"/>
            <w:shd w:val="clear" w:color="auto" w:fill="FFFFFF" w:themeFill="background1"/>
            <w:vAlign w:val="center"/>
            <w:hideMark/>
          </w:tcPr>
          <w:p w14:paraId="6786CCA3"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Chapman PB, Hauschild A, Robert C, Haanen JB, Ascierto P, Larkin J, Dummer R, Garbe C, Testori A, Maio M, Hogg D, Lorigan P, Lebbe C, Jouary T, Schadendorf D, Ribas A, O'Day SJ, Sosman JA, Kirkwood JM, Eggermont AM, Dreno B, Nolop K, Li J, Nelson B, Hou J, Lee RJ, Flaherty KT, McArthur GA; BRIM-3 Study Group. Improved survival with vemurafenib in melanoma with BRAF V600E mutation. N Engl J Med. 2011 Jun 30;364(26):2507-16. doi: 10.1056/NEJMoa1103782. Epub 2011 Jun 5. PMID: 21639808; PMCID: PMC3549296.</w:t>
            </w:r>
          </w:p>
        </w:tc>
      </w:tr>
      <w:tr w:rsidR="00542C3C" w:rsidRPr="00C7556C" w14:paraId="292641B7" w14:textId="77777777" w:rsidTr="009622A0">
        <w:trPr>
          <w:trHeight w:val="1430"/>
        </w:trPr>
        <w:tc>
          <w:tcPr>
            <w:tcW w:w="780" w:type="dxa"/>
            <w:shd w:val="clear" w:color="auto" w:fill="FFFFFF" w:themeFill="background1"/>
            <w:noWrap/>
            <w:vAlign w:val="center"/>
            <w:hideMark/>
          </w:tcPr>
          <w:p w14:paraId="04DD3C00"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A-21</w:t>
            </w:r>
          </w:p>
        </w:tc>
        <w:tc>
          <w:tcPr>
            <w:tcW w:w="1560" w:type="dxa"/>
            <w:shd w:val="clear" w:color="auto" w:fill="FFFFFF" w:themeFill="background1"/>
            <w:noWrap/>
            <w:vAlign w:val="center"/>
            <w:hideMark/>
          </w:tcPr>
          <w:p w14:paraId="365370F1"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NCT01494506</w:t>
            </w:r>
          </w:p>
        </w:tc>
        <w:tc>
          <w:tcPr>
            <w:tcW w:w="1879" w:type="dxa"/>
            <w:shd w:val="clear" w:color="auto" w:fill="FFFFFF" w:themeFill="background1"/>
            <w:vAlign w:val="center"/>
            <w:hideMark/>
          </w:tcPr>
          <w:p w14:paraId="3A209615"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Nanoliposomal irinotecan and fluorouracil and folinic acid</w:t>
            </w:r>
          </w:p>
        </w:tc>
        <w:tc>
          <w:tcPr>
            <w:tcW w:w="2458" w:type="dxa"/>
            <w:shd w:val="clear" w:color="auto" w:fill="FFFFFF" w:themeFill="background1"/>
            <w:noWrap/>
            <w:vAlign w:val="center"/>
            <w:hideMark/>
          </w:tcPr>
          <w:p w14:paraId="0F2A76E1"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Pancreatic cancer</w:t>
            </w:r>
          </w:p>
        </w:tc>
        <w:tc>
          <w:tcPr>
            <w:tcW w:w="6543" w:type="dxa"/>
            <w:shd w:val="clear" w:color="auto" w:fill="FFFFFF" w:themeFill="background1"/>
            <w:vAlign w:val="center"/>
            <w:hideMark/>
          </w:tcPr>
          <w:p w14:paraId="6B1F41A5"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Wang-Gillam A, Li CP, Bodoky G, Dean A, Shan YS, Jameson G, Macarulla T, Lee KH, Cunningham D, Blanc JF, Hubner RA, Chiu CF, Schwartsmann G, Siveke JT, Braiteh F, Moyo V, Belanger B, Dhindsa N, Bayever E, Von Hoff DD, Chen LT; NAPOLI-1 Study Group. Nanoliposomal irinotecan with fluorouracil and folinic acid in metastatic pancreatic cancer after previous gemcitabine-based therapy (NAPOLI-1): a global, randomised, open-label, phase 3 trial. Lancet. 2016 Feb 6;387(10018):545-557. doi: 10.1016/S0140-6736(15)00986-1. Epub 2015 Nov 29. Erratum in: Lancet. 2016 Feb 6;387(10018):536. PMID: 26615328.</w:t>
            </w:r>
          </w:p>
        </w:tc>
      </w:tr>
      <w:tr w:rsidR="00542C3C" w:rsidRPr="00C7556C" w14:paraId="4F169B7B" w14:textId="77777777" w:rsidTr="009622A0">
        <w:trPr>
          <w:trHeight w:val="1230"/>
        </w:trPr>
        <w:tc>
          <w:tcPr>
            <w:tcW w:w="780" w:type="dxa"/>
            <w:shd w:val="clear" w:color="auto" w:fill="FFFFFF" w:themeFill="background1"/>
            <w:noWrap/>
            <w:vAlign w:val="center"/>
            <w:hideMark/>
          </w:tcPr>
          <w:p w14:paraId="3BB3DD2D"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lastRenderedPageBreak/>
              <w:t>A-22</w:t>
            </w:r>
          </w:p>
        </w:tc>
        <w:tc>
          <w:tcPr>
            <w:tcW w:w="1560" w:type="dxa"/>
            <w:shd w:val="clear" w:color="auto" w:fill="FFFFFF" w:themeFill="background1"/>
            <w:noWrap/>
            <w:vAlign w:val="center"/>
            <w:hideMark/>
          </w:tcPr>
          <w:p w14:paraId="7E38DD10"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NCT00073307</w:t>
            </w:r>
          </w:p>
        </w:tc>
        <w:tc>
          <w:tcPr>
            <w:tcW w:w="1879" w:type="dxa"/>
            <w:shd w:val="clear" w:color="auto" w:fill="FFFFFF" w:themeFill="background1"/>
            <w:vAlign w:val="center"/>
            <w:hideMark/>
          </w:tcPr>
          <w:p w14:paraId="6685A738"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Sorafenib</w:t>
            </w:r>
          </w:p>
        </w:tc>
        <w:tc>
          <w:tcPr>
            <w:tcW w:w="2458" w:type="dxa"/>
            <w:shd w:val="clear" w:color="auto" w:fill="FFFFFF" w:themeFill="background1"/>
            <w:noWrap/>
            <w:vAlign w:val="center"/>
            <w:hideMark/>
          </w:tcPr>
          <w:p w14:paraId="306D0BA7"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Renal cell carcinoma</w:t>
            </w:r>
          </w:p>
        </w:tc>
        <w:tc>
          <w:tcPr>
            <w:tcW w:w="6543" w:type="dxa"/>
            <w:shd w:val="clear" w:color="auto" w:fill="FFFFFF" w:themeFill="background1"/>
            <w:vAlign w:val="center"/>
            <w:hideMark/>
          </w:tcPr>
          <w:p w14:paraId="6264C641"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Escudier B, Eisen T, Stadler WM, Szczylik C, Oudard S, Siebels M, Negrier S, Chevreau C, Solska E, Desai AA, Rolland F, Demkow T, Hutson TE, Gore M, Freeman S, Schwartz B, Shan M, Simantov R, Bukowski RM; TARGET Study Group. Sorafenib in advanced clear-cell renal-cell carcinoma. N Engl J Med. 2007 Jan 11;356(2):125-34. doi: 10.1056/NEJMoa060655. Erratum in: N Engl J Med. 2007 Jul 12;357(2):203. PMID: 17215530.</w:t>
            </w:r>
          </w:p>
        </w:tc>
      </w:tr>
      <w:tr w:rsidR="00542C3C" w:rsidRPr="00C7556C" w14:paraId="508CFDFC" w14:textId="77777777" w:rsidTr="009622A0">
        <w:trPr>
          <w:trHeight w:val="1430"/>
        </w:trPr>
        <w:tc>
          <w:tcPr>
            <w:tcW w:w="780" w:type="dxa"/>
            <w:shd w:val="clear" w:color="auto" w:fill="FFFFFF" w:themeFill="background1"/>
            <w:noWrap/>
            <w:vAlign w:val="center"/>
            <w:hideMark/>
          </w:tcPr>
          <w:p w14:paraId="31579ECB"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A-23</w:t>
            </w:r>
          </w:p>
        </w:tc>
        <w:tc>
          <w:tcPr>
            <w:tcW w:w="1560" w:type="dxa"/>
            <w:shd w:val="clear" w:color="auto" w:fill="FFFFFF" w:themeFill="background1"/>
            <w:noWrap/>
            <w:vAlign w:val="center"/>
            <w:hideMark/>
          </w:tcPr>
          <w:p w14:paraId="097394D0"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NCT01212991</w:t>
            </w:r>
          </w:p>
        </w:tc>
        <w:tc>
          <w:tcPr>
            <w:tcW w:w="1879" w:type="dxa"/>
            <w:shd w:val="clear" w:color="auto" w:fill="FFFFFF" w:themeFill="background1"/>
            <w:vAlign w:val="center"/>
            <w:hideMark/>
          </w:tcPr>
          <w:p w14:paraId="3220927B"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Enzalutamide</w:t>
            </w:r>
          </w:p>
        </w:tc>
        <w:tc>
          <w:tcPr>
            <w:tcW w:w="2458" w:type="dxa"/>
            <w:shd w:val="clear" w:color="auto" w:fill="FFFFFF" w:themeFill="background1"/>
            <w:noWrap/>
            <w:vAlign w:val="center"/>
            <w:hideMark/>
          </w:tcPr>
          <w:p w14:paraId="26A044E3"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Prostate cancer</w:t>
            </w:r>
          </w:p>
        </w:tc>
        <w:tc>
          <w:tcPr>
            <w:tcW w:w="6543" w:type="dxa"/>
            <w:shd w:val="clear" w:color="auto" w:fill="FFFFFF" w:themeFill="background1"/>
            <w:vAlign w:val="center"/>
            <w:hideMark/>
          </w:tcPr>
          <w:p w14:paraId="6D7F87E3"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Beer TM, Armstrong AJ, Rathkopf DE, Loriot Y, Sternberg CN, Higano CS, Iversen P, Bhattacharya S, Carles J, Chowdhury S, Davis ID, de Bono JS, Evans CP, Fizazi K, Joshua AM, Kim CS, Kimura G, Mainwaring P, Mansbach H, Miller K, Noonberg SB, Perabo F, Phung D, Saad F, Scher HI, Taplin ME, Venner PM, Tombal B; PREVAIL Investigators. Enzalutamide in metastatic prostate cancer before chemotherapy. N Engl J Med. 2014 Jul 31;371(5):424-33. doi: 10.1056/NEJMoa1405095. Epub 2014 Jun 1. PMID: 24881730; PMCID: PMC4418931.</w:t>
            </w:r>
          </w:p>
        </w:tc>
      </w:tr>
      <w:tr w:rsidR="00542C3C" w:rsidRPr="00C7556C" w14:paraId="5F709E66" w14:textId="77777777" w:rsidTr="009622A0">
        <w:trPr>
          <w:trHeight w:val="1630"/>
        </w:trPr>
        <w:tc>
          <w:tcPr>
            <w:tcW w:w="780" w:type="dxa"/>
            <w:shd w:val="clear" w:color="auto" w:fill="FFFFFF" w:themeFill="background1"/>
            <w:noWrap/>
            <w:vAlign w:val="center"/>
            <w:hideMark/>
          </w:tcPr>
          <w:p w14:paraId="4BF88363"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A-24</w:t>
            </w:r>
          </w:p>
        </w:tc>
        <w:tc>
          <w:tcPr>
            <w:tcW w:w="1560" w:type="dxa"/>
            <w:shd w:val="clear" w:color="auto" w:fill="FFFFFF" w:themeFill="background1"/>
            <w:noWrap/>
            <w:vAlign w:val="center"/>
            <w:hideMark/>
          </w:tcPr>
          <w:p w14:paraId="17D55AD0"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NCT00917384</w:t>
            </w:r>
          </w:p>
        </w:tc>
        <w:tc>
          <w:tcPr>
            <w:tcW w:w="1879" w:type="dxa"/>
            <w:shd w:val="clear" w:color="auto" w:fill="FFFFFF" w:themeFill="background1"/>
            <w:vAlign w:val="center"/>
            <w:hideMark/>
          </w:tcPr>
          <w:p w14:paraId="6F099BFA"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Ramucirumab</w:t>
            </w:r>
          </w:p>
        </w:tc>
        <w:tc>
          <w:tcPr>
            <w:tcW w:w="2458" w:type="dxa"/>
            <w:shd w:val="clear" w:color="auto" w:fill="FFFFFF" w:themeFill="background1"/>
            <w:noWrap/>
            <w:vAlign w:val="center"/>
            <w:hideMark/>
          </w:tcPr>
          <w:p w14:paraId="5EB1AB6C"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Gastric cancer</w:t>
            </w:r>
          </w:p>
        </w:tc>
        <w:tc>
          <w:tcPr>
            <w:tcW w:w="6543" w:type="dxa"/>
            <w:shd w:val="clear" w:color="auto" w:fill="FFFFFF" w:themeFill="background1"/>
            <w:vAlign w:val="center"/>
            <w:hideMark/>
          </w:tcPr>
          <w:p w14:paraId="610A33C3"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Fuchs CS, Tomasek J, Yong CJ, Dumitru F, Passalacqua R, Goswami C, Safran H, Dos Santos LV, Aprile G, Ferry DR, Melichar B, Tehfe M, Topuzov E, Zalcberg JR, Chau I, Campbell W, Sivanandan C, Pikiel J, Koshiji M, Hsu Y, Liepa AM, Gao L, Schwartz JD, Tabernero J; REGARD Trial Investigators. Ramucirumab monotherapy for previously treated advanced gastric or gastro-oesophageal junction adenocarcinoma (REGARD): an international, randomised, multicentre, placebo-controlled, phase 3 trial. Lancet. 2014 Jan 4;383(9911):31-39. doi: 10.1016/S0140-6736(13)61719-5. Epub 2013 Oct 3. PMID: 24094768.</w:t>
            </w:r>
          </w:p>
        </w:tc>
      </w:tr>
      <w:tr w:rsidR="00542C3C" w:rsidRPr="00C7556C" w14:paraId="4430B3F8" w14:textId="77777777" w:rsidTr="009622A0">
        <w:trPr>
          <w:trHeight w:val="1630"/>
        </w:trPr>
        <w:tc>
          <w:tcPr>
            <w:tcW w:w="780" w:type="dxa"/>
            <w:shd w:val="clear" w:color="auto" w:fill="FFFFFF" w:themeFill="background1"/>
            <w:noWrap/>
            <w:vAlign w:val="center"/>
            <w:hideMark/>
          </w:tcPr>
          <w:p w14:paraId="7E7991BB"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A-25</w:t>
            </w:r>
          </w:p>
        </w:tc>
        <w:tc>
          <w:tcPr>
            <w:tcW w:w="1560" w:type="dxa"/>
            <w:shd w:val="clear" w:color="auto" w:fill="FFFFFF" w:themeFill="background1"/>
            <w:noWrap/>
            <w:vAlign w:val="center"/>
            <w:hideMark/>
          </w:tcPr>
          <w:p w14:paraId="18D8BB9B"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NCT01168973</w:t>
            </w:r>
          </w:p>
        </w:tc>
        <w:tc>
          <w:tcPr>
            <w:tcW w:w="1879" w:type="dxa"/>
            <w:shd w:val="clear" w:color="auto" w:fill="FFFFFF" w:themeFill="background1"/>
            <w:vAlign w:val="center"/>
            <w:hideMark/>
          </w:tcPr>
          <w:p w14:paraId="4DA1E8C6"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Ramucirumab plus docetaxel</w:t>
            </w:r>
          </w:p>
        </w:tc>
        <w:tc>
          <w:tcPr>
            <w:tcW w:w="2458" w:type="dxa"/>
            <w:shd w:val="clear" w:color="auto" w:fill="FFFFFF" w:themeFill="background1"/>
            <w:noWrap/>
            <w:vAlign w:val="center"/>
            <w:hideMark/>
          </w:tcPr>
          <w:p w14:paraId="576BC800"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Non-small cell lung cancer</w:t>
            </w:r>
          </w:p>
        </w:tc>
        <w:tc>
          <w:tcPr>
            <w:tcW w:w="6543" w:type="dxa"/>
            <w:shd w:val="clear" w:color="auto" w:fill="FFFFFF" w:themeFill="background1"/>
            <w:vAlign w:val="center"/>
            <w:hideMark/>
          </w:tcPr>
          <w:p w14:paraId="5CE47A32"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Garon EB, Ciuleanu TE, Arrieta O, Prabhash K, Syrigos KN, Goksel T, Park K, Gorbunova V, Kowalyszyn RD, Pikiel J, Czyzewicz G, Orlov SV, Lewanski CR, Thomas M, Bidoli P, Dakhil S, Gans S, Kim JH, Grigorescu A, Karaseva N, Reck M, Cappuzzo F, Alexandris E, Sashegyi A, Yurasov S, Pérol M. Ramucirumab plus docetaxel versus placebo plus docetaxel for second-line treatment of stage IV non-small-cell lung cancer after disease progression on platinum-based therapy (REVEL): a multicentre, double-blind, randomised phase 3 trial. Lancet. 2014 Aug 23;384(9944):665-73. doi: 10.1016/S0140-6736(14)60845-X. Epub 2014 Jun 2. PMID: 24933332.</w:t>
            </w:r>
          </w:p>
        </w:tc>
      </w:tr>
      <w:tr w:rsidR="00542C3C" w:rsidRPr="00C7556C" w14:paraId="5D47B0C6" w14:textId="77777777" w:rsidTr="009622A0">
        <w:trPr>
          <w:trHeight w:val="1630"/>
        </w:trPr>
        <w:tc>
          <w:tcPr>
            <w:tcW w:w="780" w:type="dxa"/>
            <w:shd w:val="clear" w:color="auto" w:fill="FFFFFF" w:themeFill="background1"/>
            <w:noWrap/>
            <w:vAlign w:val="center"/>
            <w:hideMark/>
          </w:tcPr>
          <w:p w14:paraId="1B7508D6"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A-26</w:t>
            </w:r>
          </w:p>
        </w:tc>
        <w:tc>
          <w:tcPr>
            <w:tcW w:w="1560" w:type="dxa"/>
            <w:shd w:val="clear" w:color="auto" w:fill="FFFFFF" w:themeFill="background1"/>
            <w:noWrap/>
            <w:vAlign w:val="center"/>
            <w:hideMark/>
          </w:tcPr>
          <w:p w14:paraId="73E0C81D"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NCT03215706</w:t>
            </w:r>
          </w:p>
        </w:tc>
        <w:tc>
          <w:tcPr>
            <w:tcW w:w="1879" w:type="dxa"/>
            <w:shd w:val="clear" w:color="auto" w:fill="FFFFFF" w:themeFill="background1"/>
            <w:vAlign w:val="center"/>
            <w:hideMark/>
          </w:tcPr>
          <w:p w14:paraId="116A0097"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Nivolumab, ipilimumab and platinum based chemotherapy</w:t>
            </w:r>
          </w:p>
        </w:tc>
        <w:tc>
          <w:tcPr>
            <w:tcW w:w="2458" w:type="dxa"/>
            <w:shd w:val="clear" w:color="auto" w:fill="FFFFFF" w:themeFill="background1"/>
            <w:noWrap/>
            <w:vAlign w:val="center"/>
            <w:hideMark/>
          </w:tcPr>
          <w:p w14:paraId="2AA564AB"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Non-small cell lung cancer</w:t>
            </w:r>
          </w:p>
        </w:tc>
        <w:tc>
          <w:tcPr>
            <w:tcW w:w="6543" w:type="dxa"/>
            <w:shd w:val="clear" w:color="auto" w:fill="FFFFFF" w:themeFill="background1"/>
            <w:vAlign w:val="center"/>
            <w:hideMark/>
          </w:tcPr>
          <w:p w14:paraId="2613B65C"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Paz-Ares L, Ciuleanu TE, Cobo M, Schenker M, Zurawski B, Menezes J, Richardet E, Bennouna J, Felip E, Juan-Vidal O, Alexandru A, Sakai H, Lingua A, Salman P, Souquet PJ, De Marchi P, Martin C, Pérol M, Scherpereel A, Lu S, John T, Carbone DP, Meadows-Shropshire S, Agrawal S, Oukessou A, Yan J, Reck M. First-line nivolumab plus ipilimumab combined with two cycles of chemotherapy in patients with non-small-cell lung cancer (CheckMate 9LA): an international, randomised, open-label, phase 3 trial. Lancet Oncol. 2021 Feb;22(2):198-211. doi: 10.1016/S1470-2045(20)30641-0. Epub 2021 Jan 18. Erratum in: Lancet Oncol. 2021 Mar;22(3):e92. PMID: 33476593.</w:t>
            </w:r>
          </w:p>
        </w:tc>
      </w:tr>
      <w:tr w:rsidR="00542C3C" w:rsidRPr="00C7556C" w14:paraId="1AD535D0" w14:textId="77777777" w:rsidTr="009622A0">
        <w:trPr>
          <w:trHeight w:val="1630"/>
        </w:trPr>
        <w:tc>
          <w:tcPr>
            <w:tcW w:w="780" w:type="dxa"/>
            <w:shd w:val="clear" w:color="auto" w:fill="FFFFFF" w:themeFill="background1"/>
            <w:noWrap/>
            <w:vAlign w:val="center"/>
            <w:hideMark/>
          </w:tcPr>
          <w:p w14:paraId="22559577"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A-27</w:t>
            </w:r>
          </w:p>
        </w:tc>
        <w:tc>
          <w:tcPr>
            <w:tcW w:w="1560" w:type="dxa"/>
            <w:shd w:val="clear" w:color="auto" w:fill="FFFFFF" w:themeFill="background1"/>
            <w:noWrap/>
            <w:vAlign w:val="center"/>
            <w:hideMark/>
          </w:tcPr>
          <w:p w14:paraId="4853C189"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NCT01808573</w:t>
            </w:r>
          </w:p>
        </w:tc>
        <w:tc>
          <w:tcPr>
            <w:tcW w:w="1879" w:type="dxa"/>
            <w:shd w:val="clear" w:color="auto" w:fill="FFFFFF" w:themeFill="background1"/>
            <w:vAlign w:val="center"/>
            <w:hideMark/>
          </w:tcPr>
          <w:p w14:paraId="50346D4D"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Neratinib plus capecitabine</w:t>
            </w:r>
          </w:p>
        </w:tc>
        <w:tc>
          <w:tcPr>
            <w:tcW w:w="2458" w:type="dxa"/>
            <w:shd w:val="clear" w:color="auto" w:fill="FFFFFF" w:themeFill="background1"/>
            <w:noWrap/>
            <w:vAlign w:val="center"/>
            <w:hideMark/>
          </w:tcPr>
          <w:p w14:paraId="0651F639"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Breast cancer</w:t>
            </w:r>
          </w:p>
        </w:tc>
        <w:tc>
          <w:tcPr>
            <w:tcW w:w="6543" w:type="dxa"/>
            <w:shd w:val="clear" w:color="auto" w:fill="FFFFFF" w:themeFill="background1"/>
            <w:vAlign w:val="center"/>
            <w:hideMark/>
          </w:tcPr>
          <w:p w14:paraId="115F949E"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Saura C, Oliveira M, Feng YH, Dai MS, Chen SW, Hurvitz SA, Kim SB, Moy B, Delaloge S, Gradishar W, Masuda N, Palacova M, Trudeau ME, Mattson J, Yap YS, Hou MF, De Laurentiis M, Yeh YM, Chang HT, Yau T, Wildiers H, Haley B, Fagnani D, Lu YS, Crown J, Lin J, Takahashi M, Takano T, Yamaguchi M, Fujii T, Yao B, Bebchuk J, Keyvanjah K, Bryce R, Brufsky A; NALA Investigators. Neratinib Plus Capecitabine Versus Lapatinib Plus Capecitabine in HER2-Positive Metastatic Breast Cancer Previously Treated With ≥ 2 HER2-Directed Regimens: Phase III NALA Trial. J Clin Oncol. 2020 Sep 20;38(27):3138-3149. doi: 10.1200/JCO.20.00147. Epub 2020 Jul 17. PMID: 32678716; PMCID: PMC7499616.</w:t>
            </w:r>
          </w:p>
        </w:tc>
      </w:tr>
      <w:tr w:rsidR="00542C3C" w:rsidRPr="00C7556C" w14:paraId="65114AF2" w14:textId="77777777" w:rsidTr="009622A0">
        <w:trPr>
          <w:trHeight w:val="1230"/>
        </w:trPr>
        <w:tc>
          <w:tcPr>
            <w:tcW w:w="780" w:type="dxa"/>
            <w:shd w:val="clear" w:color="auto" w:fill="FFFFFF" w:themeFill="background1"/>
            <w:noWrap/>
            <w:vAlign w:val="center"/>
            <w:hideMark/>
          </w:tcPr>
          <w:p w14:paraId="007E19D3"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lastRenderedPageBreak/>
              <w:t>A-28</w:t>
            </w:r>
          </w:p>
        </w:tc>
        <w:tc>
          <w:tcPr>
            <w:tcW w:w="1560" w:type="dxa"/>
            <w:shd w:val="clear" w:color="auto" w:fill="FFFFFF" w:themeFill="background1"/>
            <w:noWrap/>
            <w:vAlign w:val="center"/>
            <w:hideMark/>
          </w:tcPr>
          <w:p w14:paraId="00B15C0B"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NCT02603432</w:t>
            </w:r>
          </w:p>
        </w:tc>
        <w:tc>
          <w:tcPr>
            <w:tcW w:w="1879" w:type="dxa"/>
            <w:shd w:val="clear" w:color="auto" w:fill="FFFFFF" w:themeFill="background1"/>
            <w:vAlign w:val="center"/>
            <w:hideMark/>
          </w:tcPr>
          <w:p w14:paraId="2F24C1CE"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Avelumab maintenance plus BSC</w:t>
            </w:r>
          </w:p>
        </w:tc>
        <w:tc>
          <w:tcPr>
            <w:tcW w:w="2458" w:type="dxa"/>
            <w:shd w:val="clear" w:color="auto" w:fill="FFFFFF" w:themeFill="background1"/>
            <w:noWrap/>
            <w:vAlign w:val="center"/>
            <w:hideMark/>
          </w:tcPr>
          <w:p w14:paraId="302BB677"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Urothelial carcinoma</w:t>
            </w:r>
          </w:p>
        </w:tc>
        <w:tc>
          <w:tcPr>
            <w:tcW w:w="6543" w:type="dxa"/>
            <w:shd w:val="clear" w:color="auto" w:fill="FFFFFF" w:themeFill="background1"/>
            <w:vAlign w:val="center"/>
            <w:hideMark/>
          </w:tcPr>
          <w:p w14:paraId="1803CE62"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Powles T, Park SH, Voog E, Caserta C, Valderrama BP, Gurney H, Kalofonos H, Radulović S, Demey W, Ullén A, Loriot Y, Sridhar SS, Tsuchiya N, Kopyltsov E, Sternberg CN, Bellmunt J, Aragon-Ching JB, Petrylak DP, Laliberte R, Wang J, Huang B, Davis C, Fowst C, Costa N, Blake-Haskins JA, di Pietro A, Grivas P. Avelumab Maintenance Therapy for Advanced or Metastatic Urothelial Carcinoma. N Engl J Med. 2020 Sep 24;383(13):1218-1230. doi: 10.1056/NEJMoa2002788. Epub 2020 Sep 18. PMID: 32945632.</w:t>
            </w:r>
          </w:p>
        </w:tc>
      </w:tr>
      <w:tr w:rsidR="00542C3C" w:rsidRPr="00C7556C" w14:paraId="4E6B4BB9" w14:textId="77777777" w:rsidTr="009622A0">
        <w:trPr>
          <w:trHeight w:val="1030"/>
        </w:trPr>
        <w:tc>
          <w:tcPr>
            <w:tcW w:w="780" w:type="dxa"/>
            <w:shd w:val="clear" w:color="auto" w:fill="FFFFFF" w:themeFill="background1"/>
            <w:noWrap/>
            <w:vAlign w:val="center"/>
            <w:hideMark/>
          </w:tcPr>
          <w:p w14:paraId="63751717"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A-29</w:t>
            </w:r>
          </w:p>
        </w:tc>
        <w:tc>
          <w:tcPr>
            <w:tcW w:w="1560" w:type="dxa"/>
            <w:shd w:val="clear" w:color="auto" w:fill="FFFFFF" w:themeFill="background1"/>
            <w:noWrap/>
            <w:vAlign w:val="center"/>
            <w:hideMark/>
          </w:tcPr>
          <w:p w14:paraId="1E03C88A"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NCT00333840</w:t>
            </w:r>
          </w:p>
        </w:tc>
        <w:tc>
          <w:tcPr>
            <w:tcW w:w="1879" w:type="dxa"/>
            <w:shd w:val="clear" w:color="auto" w:fill="FFFFFF" w:themeFill="background1"/>
            <w:vAlign w:val="center"/>
            <w:hideMark/>
          </w:tcPr>
          <w:p w14:paraId="1231214A"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 xml:space="preserve">Imatinib </w:t>
            </w:r>
          </w:p>
        </w:tc>
        <w:tc>
          <w:tcPr>
            <w:tcW w:w="2458" w:type="dxa"/>
            <w:shd w:val="clear" w:color="auto" w:fill="FFFFFF" w:themeFill="background1"/>
            <w:noWrap/>
            <w:vAlign w:val="center"/>
            <w:hideMark/>
          </w:tcPr>
          <w:p w14:paraId="01D6CE7B"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Chronic myelogenous leukemia</w:t>
            </w:r>
          </w:p>
        </w:tc>
        <w:tc>
          <w:tcPr>
            <w:tcW w:w="6543" w:type="dxa"/>
            <w:shd w:val="clear" w:color="auto" w:fill="FFFFFF" w:themeFill="background1"/>
            <w:vAlign w:val="center"/>
            <w:hideMark/>
          </w:tcPr>
          <w:p w14:paraId="28BBF9CF"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Hochhaus A, Larson RA, Guilhot F, Radich JP, Branford S, Hughes TP, Baccarani M, Deininger MW, Cervantes F, Fujihara S, Ortmann CE, Menssen HD, Kantarjian H, O'Brien SG, Druker BJ; IRIS Investigators. Long-Term Outcomes of Imatinib Treatment for Chronic Myeloid Leukemia. N Engl J Med. 2017 Mar 9;376(10):917-927. doi: 10.1056/NEJMoa1609324. PMID: 28273028; PMCID: PMC5901965.</w:t>
            </w:r>
          </w:p>
        </w:tc>
      </w:tr>
      <w:tr w:rsidR="00542C3C" w:rsidRPr="00C7556C" w14:paraId="1E6B485B" w14:textId="77777777" w:rsidTr="009622A0">
        <w:trPr>
          <w:trHeight w:val="1430"/>
        </w:trPr>
        <w:tc>
          <w:tcPr>
            <w:tcW w:w="780" w:type="dxa"/>
            <w:shd w:val="clear" w:color="auto" w:fill="FFFFFF" w:themeFill="background1"/>
            <w:noWrap/>
            <w:vAlign w:val="center"/>
            <w:hideMark/>
          </w:tcPr>
          <w:p w14:paraId="0544DAAB"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A-30</w:t>
            </w:r>
          </w:p>
        </w:tc>
        <w:tc>
          <w:tcPr>
            <w:tcW w:w="1560" w:type="dxa"/>
            <w:shd w:val="clear" w:color="auto" w:fill="FFFFFF" w:themeFill="background1"/>
            <w:noWrap/>
            <w:vAlign w:val="center"/>
            <w:hideMark/>
          </w:tcPr>
          <w:p w14:paraId="3D857929"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NCT00699751</w:t>
            </w:r>
          </w:p>
        </w:tc>
        <w:tc>
          <w:tcPr>
            <w:tcW w:w="1879" w:type="dxa"/>
            <w:shd w:val="clear" w:color="auto" w:fill="FFFFFF" w:themeFill="background1"/>
            <w:vAlign w:val="center"/>
            <w:hideMark/>
          </w:tcPr>
          <w:p w14:paraId="4485E5B9"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Radium-223 dichloride</w:t>
            </w:r>
          </w:p>
        </w:tc>
        <w:tc>
          <w:tcPr>
            <w:tcW w:w="2458" w:type="dxa"/>
            <w:shd w:val="clear" w:color="auto" w:fill="FFFFFF" w:themeFill="background1"/>
            <w:noWrap/>
            <w:vAlign w:val="center"/>
            <w:hideMark/>
          </w:tcPr>
          <w:p w14:paraId="5FCABD27"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Prostate cancer</w:t>
            </w:r>
          </w:p>
        </w:tc>
        <w:tc>
          <w:tcPr>
            <w:tcW w:w="6543" w:type="dxa"/>
            <w:shd w:val="clear" w:color="auto" w:fill="FFFFFF" w:themeFill="background1"/>
            <w:vAlign w:val="center"/>
            <w:hideMark/>
          </w:tcPr>
          <w:p w14:paraId="7FC75DED"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Parker C, Nilsson S, Heinrich D, Helle SI, O'Sullivan JM, Fosså SD, Chodacki A, Wiechno P, Logue J, Seke M, Widmark A, Johannessen DC, Hoskin P, Bottomley D, James ND, Solberg A, Syndikus I, Kliment J, Wedel S, Boehmer S, Dall'Oglio M, Franzén L, Coleman R, Vogelzang NJ, O'Bryan-Tear CG, Staudacher K, Garcia-Vargas J, Shan M, Bruland ØS, Sartor O; ALSYMPCA Investigators. Alpha emitter radium-223 and survival in metastatic prostate cancer. N Engl J Med. 2013 Jul 18;369(3):213-23. doi: 10.1056/NEJMoa1213755. PMID: 23863050.</w:t>
            </w:r>
          </w:p>
        </w:tc>
      </w:tr>
      <w:tr w:rsidR="00542C3C" w:rsidRPr="00C7556C" w14:paraId="6529DD8D" w14:textId="77777777" w:rsidTr="009622A0">
        <w:trPr>
          <w:trHeight w:val="1430"/>
        </w:trPr>
        <w:tc>
          <w:tcPr>
            <w:tcW w:w="780" w:type="dxa"/>
            <w:shd w:val="clear" w:color="auto" w:fill="FFFFFF" w:themeFill="background1"/>
            <w:noWrap/>
            <w:vAlign w:val="center"/>
            <w:hideMark/>
          </w:tcPr>
          <w:p w14:paraId="14C39D42"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A-31</w:t>
            </w:r>
          </w:p>
        </w:tc>
        <w:tc>
          <w:tcPr>
            <w:tcW w:w="1560" w:type="dxa"/>
            <w:shd w:val="clear" w:color="auto" w:fill="FFFFFF" w:themeFill="background1"/>
            <w:noWrap/>
            <w:vAlign w:val="center"/>
            <w:hideMark/>
          </w:tcPr>
          <w:p w14:paraId="2F74AA6B"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NCT00981058</w:t>
            </w:r>
          </w:p>
        </w:tc>
        <w:tc>
          <w:tcPr>
            <w:tcW w:w="1879" w:type="dxa"/>
            <w:shd w:val="clear" w:color="auto" w:fill="FFFFFF" w:themeFill="background1"/>
            <w:vAlign w:val="center"/>
            <w:hideMark/>
          </w:tcPr>
          <w:p w14:paraId="29BAA29D"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Necitumumab, gemcitabine and cisplatin</w:t>
            </w:r>
          </w:p>
        </w:tc>
        <w:tc>
          <w:tcPr>
            <w:tcW w:w="2458" w:type="dxa"/>
            <w:shd w:val="clear" w:color="auto" w:fill="FFFFFF" w:themeFill="background1"/>
            <w:noWrap/>
            <w:vAlign w:val="center"/>
            <w:hideMark/>
          </w:tcPr>
          <w:p w14:paraId="77FD2F68"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Non-small cell lung cancer</w:t>
            </w:r>
          </w:p>
        </w:tc>
        <w:tc>
          <w:tcPr>
            <w:tcW w:w="6543" w:type="dxa"/>
            <w:shd w:val="clear" w:color="auto" w:fill="FFFFFF" w:themeFill="background1"/>
            <w:vAlign w:val="center"/>
            <w:hideMark/>
          </w:tcPr>
          <w:p w14:paraId="4710A8D5"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Thatcher N, Hirsch FR, Luft AV, Szczesna A, Ciuleanu TE, Dediu M, Ramlau R, Galiulin RK, Bálint B, Losonczy G, Kazarnowicz A, Park K, Schumann C, Reck M, Depenbrock H, Nanda S, Kruljac-Letunic A, Kurek R, Paz-Ares L, Socinski MA; SQUIRE Investigators. Necitumumab plus gemcitabine and cisplatin versus gemcitabine and cisplatin alone as first-line therapy in patients with stage IV squamous non-small-cell lung cancer (SQUIRE): an open-label, randomised, controlled phase 3 trial. Lancet Oncol. 2015 Jul;16(7):763-74. doi: 10.1016/S1470-2045(15)00021-2. Epub 2015 Jun 1. PMID: 26045340.</w:t>
            </w:r>
          </w:p>
        </w:tc>
      </w:tr>
      <w:tr w:rsidR="00542C3C" w:rsidRPr="00C7556C" w14:paraId="11693464" w14:textId="77777777" w:rsidTr="009622A0">
        <w:trPr>
          <w:trHeight w:val="1430"/>
        </w:trPr>
        <w:tc>
          <w:tcPr>
            <w:tcW w:w="780" w:type="dxa"/>
            <w:shd w:val="clear" w:color="auto" w:fill="FFFFFF" w:themeFill="background1"/>
            <w:noWrap/>
            <w:vAlign w:val="center"/>
            <w:hideMark/>
          </w:tcPr>
          <w:p w14:paraId="122552D3"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A-32</w:t>
            </w:r>
          </w:p>
        </w:tc>
        <w:tc>
          <w:tcPr>
            <w:tcW w:w="1560" w:type="dxa"/>
            <w:shd w:val="clear" w:color="auto" w:fill="FFFFFF" w:themeFill="background1"/>
            <w:noWrap/>
            <w:vAlign w:val="center"/>
            <w:hideMark/>
          </w:tcPr>
          <w:p w14:paraId="3CE73202"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NCT01668784</w:t>
            </w:r>
          </w:p>
        </w:tc>
        <w:tc>
          <w:tcPr>
            <w:tcW w:w="1879" w:type="dxa"/>
            <w:shd w:val="clear" w:color="auto" w:fill="FFFFFF" w:themeFill="background1"/>
            <w:vAlign w:val="center"/>
            <w:hideMark/>
          </w:tcPr>
          <w:p w14:paraId="0C7649E7"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Nivolumab</w:t>
            </w:r>
          </w:p>
        </w:tc>
        <w:tc>
          <w:tcPr>
            <w:tcW w:w="2458" w:type="dxa"/>
            <w:shd w:val="clear" w:color="auto" w:fill="FFFFFF" w:themeFill="background1"/>
            <w:noWrap/>
            <w:vAlign w:val="center"/>
            <w:hideMark/>
          </w:tcPr>
          <w:p w14:paraId="30FDC7DC"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Renal cell carcinoma</w:t>
            </w:r>
          </w:p>
        </w:tc>
        <w:tc>
          <w:tcPr>
            <w:tcW w:w="6543" w:type="dxa"/>
            <w:shd w:val="clear" w:color="auto" w:fill="FFFFFF" w:themeFill="background1"/>
            <w:vAlign w:val="center"/>
            <w:hideMark/>
          </w:tcPr>
          <w:p w14:paraId="12E90B75"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Motzer RJ, Escudier B, McDermott DF, George S, Hammers HJ, Srinivas S, Tykodi SS, Sosman JA, Procopio G, Plimack ER, Castellano D, Choueiri TK, Gurney H, Donskov F, Bono P, Wagstaff J, Gauler TC, Ueda T, Tomita Y, Schutz FA, Kollmannsberger C, Larkin J, Ravaud A, Simon JS, Xu LA, Waxman IM, Sharma P; CheckMate 025 Investigators. Nivolumab versus Everolimus in Advanced Renal-Cell Carcinoma. N Engl J Med. 2015 Nov 5;373(19):1803-13. doi: 10.1056/NEJMoa1510665. Epub 2015 Sep 25. PMID: 26406148; PMCID: PMC5719487.</w:t>
            </w:r>
          </w:p>
        </w:tc>
      </w:tr>
      <w:tr w:rsidR="00542C3C" w:rsidRPr="00C7556C" w14:paraId="384AAD2A" w14:textId="77777777" w:rsidTr="009622A0">
        <w:trPr>
          <w:trHeight w:val="1430"/>
        </w:trPr>
        <w:tc>
          <w:tcPr>
            <w:tcW w:w="780" w:type="dxa"/>
            <w:shd w:val="clear" w:color="auto" w:fill="FFFFFF" w:themeFill="background1"/>
            <w:noWrap/>
            <w:vAlign w:val="center"/>
            <w:hideMark/>
          </w:tcPr>
          <w:p w14:paraId="0C0B8C3D" w14:textId="77777777" w:rsidR="00542C3C" w:rsidRPr="00C7556C" w:rsidRDefault="00542C3C" w:rsidP="009622A0">
            <w:pPr>
              <w:spacing w:after="0" w:line="240" w:lineRule="auto"/>
              <w:rPr>
                <w:rFonts w:ascii="Calibri" w:eastAsia="Times New Roman" w:hAnsi="Calibri" w:cs="Calibri"/>
                <w:noProof w:val="0"/>
                <w:color w:val="000000"/>
              </w:rPr>
            </w:pPr>
            <w:r w:rsidRPr="00C7556C">
              <w:rPr>
                <w:rFonts w:ascii="Calibri" w:eastAsia="Times New Roman" w:hAnsi="Calibri" w:cs="Calibri"/>
                <w:noProof w:val="0"/>
                <w:color w:val="000000"/>
              </w:rPr>
              <w:t>A-33</w:t>
            </w:r>
          </w:p>
        </w:tc>
        <w:tc>
          <w:tcPr>
            <w:tcW w:w="1560" w:type="dxa"/>
            <w:shd w:val="clear" w:color="auto" w:fill="FFFFFF" w:themeFill="background1"/>
            <w:noWrap/>
            <w:vAlign w:val="center"/>
            <w:hideMark/>
          </w:tcPr>
          <w:p w14:paraId="320FC492"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NCT02684006</w:t>
            </w:r>
          </w:p>
        </w:tc>
        <w:tc>
          <w:tcPr>
            <w:tcW w:w="1879" w:type="dxa"/>
            <w:shd w:val="clear" w:color="auto" w:fill="FFFFFF" w:themeFill="background1"/>
            <w:vAlign w:val="center"/>
            <w:hideMark/>
          </w:tcPr>
          <w:p w14:paraId="21F4E8A9"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Avelumab plus axitinib</w:t>
            </w:r>
          </w:p>
        </w:tc>
        <w:tc>
          <w:tcPr>
            <w:tcW w:w="2458" w:type="dxa"/>
            <w:shd w:val="clear" w:color="auto" w:fill="FFFFFF" w:themeFill="background1"/>
            <w:noWrap/>
            <w:vAlign w:val="center"/>
            <w:hideMark/>
          </w:tcPr>
          <w:p w14:paraId="4B8E6A25"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Renal cell carcinoma</w:t>
            </w:r>
          </w:p>
        </w:tc>
        <w:tc>
          <w:tcPr>
            <w:tcW w:w="6543" w:type="dxa"/>
            <w:shd w:val="clear" w:color="auto" w:fill="FFFFFF" w:themeFill="background1"/>
            <w:vAlign w:val="center"/>
            <w:hideMark/>
          </w:tcPr>
          <w:p w14:paraId="318AE39C"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Motzer RJ, Penkov K, Haanen J, Rini B, Albiges L, Campbell MT, Venugopal B, Kollmannsberger C, Negrier S, Uemura M, Lee JL, Vasiliev A, Miller WH Jr, Gurney H, Schmidinger M, Larkin J, Atkins MB, Bedke J, Alekseev B, Wang J, Mariani M, Robbins PB, Chudnovsky A, Fowst C, Hariharan S, Huang B, di Pietro A, Choueiri TK. Avelumab plus Axitinib versus Sunitinib for Advanced Renal-Cell Carcinoma. N Engl J Med. 2019 Mar 21;380(12):1103-1115. doi: 10.1056/NEJMoa1816047. Epub 2019 Feb 16. PMID: 30779531; PMCID: PMC6716603.</w:t>
            </w:r>
          </w:p>
        </w:tc>
      </w:tr>
      <w:tr w:rsidR="00542C3C" w:rsidRPr="00C7556C" w14:paraId="15B724F4" w14:textId="77777777" w:rsidTr="009622A0">
        <w:trPr>
          <w:trHeight w:val="1630"/>
        </w:trPr>
        <w:tc>
          <w:tcPr>
            <w:tcW w:w="780" w:type="dxa"/>
            <w:shd w:val="clear" w:color="auto" w:fill="FFFFFF" w:themeFill="background1"/>
            <w:noWrap/>
            <w:vAlign w:val="center"/>
            <w:hideMark/>
          </w:tcPr>
          <w:p w14:paraId="23E207C4"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A-34</w:t>
            </w:r>
          </w:p>
        </w:tc>
        <w:tc>
          <w:tcPr>
            <w:tcW w:w="1560" w:type="dxa"/>
            <w:shd w:val="clear" w:color="auto" w:fill="FFFFFF" w:themeFill="background1"/>
            <w:noWrap/>
            <w:vAlign w:val="center"/>
            <w:hideMark/>
          </w:tcPr>
          <w:p w14:paraId="3150A612"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NCT00887198</w:t>
            </w:r>
          </w:p>
        </w:tc>
        <w:tc>
          <w:tcPr>
            <w:tcW w:w="1879" w:type="dxa"/>
            <w:shd w:val="clear" w:color="auto" w:fill="FFFFFF" w:themeFill="background1"/>
            <w:vAlign w:val="center"/>
            <w:hideMark/>
          </w:tcPr>
          <w:p w14:paraId="7DFFDF65"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Abiraterone acetate plus prednisone</w:t>
            </w:r>
          </w:p>
        </w:tc>
        <w:tc>
          <w:tcPr>
            <w:tcW w:w="2458" w:type="dxa"/>
            <w:shd w:val="clear" w:color="auto" w:fill="FFFFFF" w:themeFill="background1"/>
            <w:noWrap/>
            <w:vAlign w:val="center"/>
            <w:hideMark/>
          </w:tcPr>
          <w:p w14:paraId="5C2A243E"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Prostate cancer</w:t>
            </w:r>
          </w:p>
        </w:tc>
        <w:tc>
          <w:tcPr>
            <w:tcW w:w="6543" w:type="dxa"/>
            <w:shd w:val="clear" w:color="auto" w:fill="FFFFFF" w:themeFill="background1"/>
            <w:vAlign w:val="center"/>
            <w:hideMark/>
          </w:tcPr>
          <w:p w14:paraId="57BD56C8"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Ryan CJ, Smith MR, de Bono JS, Molina A, Logothetis CJ, de Souza P, Fizazi K, Mainwaring P, Piulats JM, Ng S, Carles J, Mulders PF, Basch E, Small EJ, Saad F, Schrijvers D, Van Poppel H, Mukherjee SD, Suttmann H, Gerritsen WR, Flaig TW, George DJ, Yu EY, Efstathiou E, Pantuck A, Winquist E, Higano CS, Taplin ME, Park Y, Kheoh T, Griffin T, Scher HI, Rathkopf DE; COU-AA-302 Investigators. Abiraterone in metastatic prostate cancer without previous chemotherapy. N Engl J Med. 2013 Jan 10;368(2):138-48. doi: 10.1056/NEJMoa1209096. Epub 2012 Dec 10. Erratum in: N Engl J Med. 2013 Feb 7;368(6):584. PMID: 23228172; PMCID: PMC3683570.</w:t>
            </w:r>
          </w:p>
        </w:tc>
      </w:tr>
      <w:tr w:rsidR="00542C3C" w:rsidRPr="00C7556C" w14:paraId="7D7D28B4" w14:textId="77777777" w:rsidTr="009622A0">
        <w:trPr>
          <w:trHeight w:val="1430"/>
        </w:trPr>
        <w:tc>
          <w:tcPr>
            <w:tcW w:w="780" w:type="dxa"/>
            <w:shd w:val="clear" w:color="auto" w:fill="FFFFFF" w:themeFill="background1"/>
            <w:noWrap/>
            <w:vAlign w:val="center"/>
            <w:hideMark/>
          </w:tcPr>
          <w:p w14:paraId="2E116681"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lastRenderedPageBreak/>
              <w:t>A-35</w:t>
            </w:r>
          </w:p>
        </w:tc>
        <w:tc>
          <w:tcPr>
            <w:tcW w:w="1560" w:type="dxa"/>
            <w:shd w:val="clear" w:color="auto" w:fill="FFFFFF" w:themeFill="background1"/>
            <w:noWrap/>
            <w:vAlign w:val="center"/>
            <w:hideMark/>
          </w:tcPr>
          <w:p w14:paraId="6C962FBD"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NCT02500043</w:t>
            </w:r>
          </w:p>
        </w:tc>
        <w:tc>
          <w:tcPr>
            <w:tcW w:w="1879" w:type="dxa"/>
            <w:shd w:val="clear" w:color="auto" w:fill="FFFFFF" w:themeFill="background1"/>
            <w:vAlign w:val="center"/>
            <w:hideMark/>
          </w:tcPr>
          <w:p w14:paraId="58B24D6F"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TAS-102</w:t>
            </w:r>
          </w:p>
        </w:tc>
        <w:tc>
          <w:tcPr>
            <w:tcW w:w="2458" w:type="dxa"/>
            <w:shd w:val="clear" w:color="auto" w:fill="FFFFFF" w:themeFill="background1"/>
            <w:noWrap/>
            <w:vAlign w:val="center"/>
            <w:hideMark/>
          </w:tcPr>
          <w:p w14:paraId="4B518B31"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Gastric cancer</w:t>
            </w:r>
          </w:p>
        </w:tc>
        <w:tc>
          <w:tcPr>
            <w:tcW w:w="6543" w:type="dxa"/>
            <w:shd w:val="clear" w:color="auto" w:fill="FFFFFF" w:themeFill="background1"/>
            <w:vAlign w:val="center"/>
            <w:hideMark/>
          </w:tcPr>
          <w:p w14:paraId="1255B7E9"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Shitara K, Doi T, Dvorkin M, Mansoor W, Arkenau HT, Prokharau A, Alsina M, Ghidini M, Faustino C, Gorbunova V, Zhavrid E, Nishikawa K, Hosokawa A, Yalçın Ş, Fujitani K, Beretta GD, Cutsem EV, Winkler RE, Makris L, Ilson DH, Tabernero J. Trifluridine/tipiracil versus placebo in patients with heavily pretreated metastatic gastric cancer (TAGS): a randomised, double-blind, placebo-controlled, phase 3 trial. Lancet Oncol. 2018 Nov;19(11):1437-1448. doi: 10.1016/S1470-2045(18)30739-3. Epub 2018 Oct 21. Erratum in: Lancet Oncol. 2018 Dec;19(12):e668. PMID: 30355453.</w:t>
            </w:r>
          </w:p>
        </w:tc>
      </w:tr>
      <w:tr w:rsidR="00542C3C" w:rsidRPr="00C7556C" w14:paraId="60AC7B23" w14:textId="77777777" w:rsidTr="009622A0">
        <w:trPr>
          <w:trHeight w:val="1430"/>
        </w:trPr>
        <w:tc>
          <w:tcPr>
            <w:tcW w:w="780" w:type="dxa"/>
            <w:shd w:val="clear" w:color="auto" w:fill="FFFFFF" w:themeFill="background1"/>
            <w:noWrap/>
            <w:vAlign w:val="center"/>
            <w:hideMark/>
          </w:tcPr>
          <w:p w14:paraId="458F7109"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A-36</w:t>
            </w:r>
          </w:p>
        </w:tc>
        <w:tc>
          <w:tcPr>
            <w:tcW w:w="1560" w:type="dxa"/>
            <w:shd w:val="clear" w:color="auto" w:fill="FFFFFF" w:themeFill="background1"/>
            <w:noWrap/>
            <w:vAlign w:val="center"/>
            <w:hideMark/>
          </w:tcPr>
          <w:p w14:paraId="2AF032A0"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NCT02252042</w:t>
            </w:r>
          </w:p>
        </w:tc>
        <w:tc>
          <w:tcPr>
            <w:tcW w:w="1879" w:type="dxa"/>
            <w:shd w:val="clear" w:color="auto" w:fill="FFFFFF" w:themeFill="background1"/>
            <w:vAlign w:val="center"/>
            <w:hideMark/>
          </w:tcPr>
          <w:p w14:paraId="5BD2DB1F"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Pembrolizumab</w:t>
            </w:r>
          </w:p>
        </w:tc>
        <w:tc>
          <w:tcPr>
            <w:tcW w:w="2458" w:type="dxa"/>
            <w:shd w:val="clear" w:color="auto" w:fill="FFFFFF" w:themeFill="background1"/>
            <w:noWrap/>
            <w:vAlign w:val="center"/>
            <w:hideMark/>
          </w:tcPr>
          <w:p w14:paraId="432D1A8A"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Head and neck cancer</w:t>
            </w:r>
          </w:p>
        </w:tc>
        <w:tc>
          <w:tcPr>
            <w:tcW w:w="6543" w:type="dxa"/>
            <w:shd w:val="clear" w:color="auto" w:fill="FFFFFF" w:themeFill="background1"/>
            <w:vAlign w:val="center"/>
            <w:hideMark/>
          </w:tcPr>
          <w:p w14:paraId="345FF7A6"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Cohen EEW, Soulières D, Le Tourneau C, Dinis J, Licitra L, Ahn MJ, Soria A, Machiels JP, Mach N, Mehra R, Burtness B, Zhang P, Cheng J, Swaby RF, Harrington KJ; KEYNOTE-040 investigators. Pembrolizumab versus methotrexate, docetaxel, or cetuximab for recurrent or metastatic head-and-neck squamous cell carcinoma (KEYNOTE-040): a randomised, open-label, phase 3 study. Lancet. 2019 Jan 12;393(10167):156-167. doi: 10.1016/S0140-6736(18)31999-8. Epub 2018 Nov 30. Erratum in: Lancet. 2019 Jan 12;393(10167):132. PMID: 30509740.</w:t>
            </w:r>
          </w:p>
        </w:tc>
      </w:tr>
      <w:tr w:rsidR="00542C3C" w:rsidRPr="00C7556C" w14:paraId="0A8D9538" w14:textId="77777777" w:rsidTr="009622A0">
        <w:trPr>
          <w:trHeight w:val="1430"/>
        </w:trPr>
        <w:tc>
          <w:tcPr>
            <w:tcW w:w="780" w:type="dxa"/>
            <w:shd w:val="clear" w:color="auto" w:fill="FFFFFF" w:themeFill="background1"/>
            <w:noWrap/>
            <w:vAlign w:val="center"/>
            <w:hideMark/>
          </w:tcPr>
          <w:p w14:paraId="53FCD3C4"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A-37</w:t>
            </w:r>
          </w:p>
        </w:tc>
        <w:tc>
          <w:tcPr>
            <w:tcW w:w="1560" w:type="dxa"/>
            <w:shd w:val="clear" w:color="auto" w:fill="FFFFFF" w:themeFill="background1"/>
            <w:noWrap/>
            <w:vAlign w:val="center"/>
            <w:hideMark/>
          </w:tcPr>
          <w:p w14:paraId="2554EF2E"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NCT02578680</w:t>
            </w:r>
          </w:p>
        </w:tc>
        <w:tc>
          <w:tcPr>
            <w:tcW w:w="1879" w:type="dxa"/>
            <w:shd w:val="clear" w:color="auto" w:fill="FFFFFF" w:themeFill="background1"/>
            <w:vAlign w:val="center"/>
            <w:hideMark/>
          </w:tcPr>
          <w:p w14:paraId="46687D8B"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Pembrolizumab plus platinum based chemotherapy or pemetrexed</w:t>
            </w:r>
          </w:p>
        </w:tc>
        <w:tc>
          <w:tcPr>
            <w:tcW w:w="2458" w:type="dxa"/>
            <w:shd w:val="clear" w:color="auto" w:fill="FFFFFF" w:themeFill="background1"/>
            <w:noWrap/>
            <w:vAlign w:val="center"/>
            <w:hideMark/>
          </w:tcPr>
          <w:p w14:paraId="31A5226D"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Non-small cell lung cancer</w:t>
            </w:r>
          </w:p>
        </w:tc>
        <w:tc>
          <w:tcPr>
            <w:tcW w:w="6543" w:type="dxa"/>
            <w:shd w:val="clear" w:color="auto" w:fill="FFFFFF" w:themeFill="background1"/>
            <w:vAlign w:val="center"/>
            <w:hideMark/>
          </w:tcPr>
          <w:p w14:paraId="27267CC7"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Gandhi L, Rodríguez-Abreu D, Gadgeel S, Esteban E, Felip E, De Angelis F, Domine M, Clingan P, Hochmair MJ, Powell SF, Cheng SY, Bischoff HG, Peled N, Grossi F, Jennens RR, Reck M, Hui R, Garon EB, Boyer M, Rubio-Viqueira B, Novello S, Kurata T, Gray JE, Vida J, Wei Z, Yang J, Raftopoulos H, Pietanza MC, Garassino MC; KEYNOTE-189 Investigators. Pembrolizumab plus Chemotherapy in Metastatic Non-Small-Cell Lung Cancer. N Engl J Med. 2018 May 31;378(22):2078-2092. doi: 10.1056/NEJMoa1801005. Epub 2018 Apr 16. PMID: 29658856.</w:t>
            </w:r>
          </w:p>
        </w:tc>
      </w:tr>
      <w:tr w:rsidR="00542C3C" w:rsidRPr="00C7556C" w14:paraId="12762BDF" w14:textId="77777777" w:rsidTr="009622A0">
        <w:trPr>
          <w:trHeight w:val="1430"/>
        </w:trPr>
        <w:tc>
          <w:tcPr>
            <w:tcW w:w="780" w:type="dxa"/>
            <w:shd w:val="clear" w:color="auto" w:fill="FFFFFF" w:themeFill="background1"/>
            <w:noWrap/>
            <w:vAlign w:val="center"/>
            <w:hideMark/>
          </w:tcPr>
          <w:p w14:paraId="74A23E49"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A-38</w:t>
            </w:r>
          </w:p>
        </w:tc>
        <w:tc>
          <w:tcPr>
            <w:tcW w:w="1560" w:type="dxa"/>
            <w:shd w:val="clear" w:color="auto" w:fill="FFFFFF" w:themeFill="background1"/>
            <w:noWrap/>
            <w:vAlign w:val="center"/>
            <w:hideMark/>
          </w:tcPr>
          <w:p w14:paraId="0F3C7886"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NCT02421939</w:t>
            </w:r>
          </w:p>
        </w:tc>
        <w:tc>
          <w:tcPr>
            <w:tcW w:w="1879" w:type="dxa"/>
            <w:shd w:val="clear" w:color="auto" w:fill="FFFFFF" w:themeFill="background1"/>
            <w:vAlign w:val="center"/>
            <w:hideMark/>
          </w:tcPr>
          <w:p w14:paraId="1DE865DA"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 xml:space="preserve">Gilteritinib </w:t>
            </w:r>
          </w:p>
        </w:tc>
        <w:tc>
          <w:tcPr>
            <w:tcW w:w="2458" w:type="dxa"/>
            <w:shd w:val="clear" w:color="auto" w:fill="FFFFFF" w:themeFill="background1"/>
            <w:noWrap/>
            <w:vAlign w:val="center"/>
            <w:hideMark/>
          </w:tcPr>
          <w:p w14:paraId="7798265F"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Acute myeloid leukemia</w:t>
            </w:r>
          </w:p>
        </w:tc>
        <w:tc>
          <w:tcPr>
            <w:tcW w:w="6543" w:type="dxa"/>
            <w:shd w:val="clear" w:color="auto" w:fill="FFFFFF" w:themeFill="background1"/>
            <w:vAlign w:val="center"/>
            <w:hideMark/>
          </w:tcPr>
          <w:p w14:paraId="230503F9"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Perl AE, Martinelli G, Cortes JE, Neubauer A, Berman E, Paolini S, Montesinos P, Baer MR, Larson RA, Ustun C, Fabbiano F, Erba HP, Di Stasi A, Stuart R, Olin R, Kasner M, Ciceri F, Chou WC, Podoltsev N, Recher C, Yokoyama H, Hosono N, Yoon SS, Lee JH, Pardee T, Fathi AT, Liu C, Hasabou N, Liu X, Bahceci E, Levis MJ. Gilteritinib or Chemotherapy for Relapsed or Refractory FLT3-Mutated AML. N Engl J Med. 2019 Oct 31;381(18):1728-1740. doi: 10.1056/NEJMoa1902688. Erratum in: N Engl J Med. 2022 May 12;386(19):1868. PMID: 31665578.</w:t>
            </w:r>
          </w:p>
        </w:tc>
      </w:tr>
      <w:tr w:rsidR="00542C3C" w:rsidRPr="00C7556C" w14:paraId="09BA7C7F" w14:textId="77777777" w:rsidTr="009622A0">
        <w:trPr>
          <w:trHeight w:val="1430"/>
        </w:trPr>
        <w:tc>
          <w:tcPr>
            <w:tcW w:w="780" w:type="dxa"/>
            <w:shd w:val="clear" w:color="auto" w:fill="FFFFFF" w:themeFill="background1"/>
            <w:noWrap/>
            <w:vAlign w:val="center"/>
            <w:hideMark/>
          </w:tcPr>
          <w:p w14:paraId="5A7DB744"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A-39</w:t>
            </w:r>
          </w:p>
        </w:tc>
        <w:tc>
          <w:tcPr>
            <w:tcW w:w="1560" w:type="dxa"/>
            <w:shd w:val="clear" w:color="auto" w:fill="FFFFFF" w:themeFill="background1"/>
            <w:noWrap/>
            <w:vAlign w:val="center"/>
            <w:hideMark/>
          </w:tcPr>
          <w:p w14:paraId="23ECA0D1"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NCT01673867</w:t>
            </w:r>
          </w:p>
        </w:tc>
        <w:tc>
          <w:tcPr>
            <w:tcW w:w="1879" w:type="dxa"/>
            <w:shd w:val="clear" w:color="auto" w:fill="FFFFFF" w:themeFill="background1"/>
            <w:vAlign w:val="center"/>
            <w:hideMark/>
          </w:tcPr>
          <w:p w14:paraId="47E24818"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 xml:space="preserve">Nivolumab </w:t>
            </w:r>
          </w:p>
        </w:tc>
        <w:tc>
          <w:tcPr>
            <w:tcW w:w="2458" w:type="dxa"/>
            <w:shd w:val="clear" w:color="auto" w:fill="FFFFFF" w:themeFill="background1"/>
            <w:noWrap/>
            <w:vAlign w:val="center"/>
            <w:hideMark/>
          </w:tcPr>
          <w:p w14:paraId="4EF49636"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Non-small cell lung cancer</w:t>
            </w:r>
          </w:p>
        </w:tc>
        <w:tc>
          <w:tcPr>
            <w:tcW w:w="6543" w:type="dxa"/>
            <w:shd w:val="clear" w:color="auto" w:fill="FFFFFF" w:themeFill="background1"/>
            <w:vAlign w:val="center"/>
            <w:hideMark/>
          </w:tcPr>
          <w:p w14:paraId="18337920"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Borghaei H, Paz-Ares L, Horn L, Spigel DR, Steins M, Ready NE, Chow LQ, Vokes EE, Felip E, Holgado E, Barlesi F, Kohlhäufl M, Arrieta O, Burgio MA, Fayette J, Lena H, Poddubskaya E, Gerber DE, Gettinger SN, Rudin CM, Rizvi N, Crinò L, Blumenschein GR Jr, Antonia SJ, Dorange C, Harbison CT, Graf Finckenstein F, Brahmer JR. Nivolumab versus Docetaxel in Advanced Nonsquamous Non-Small-Cell Lung Cancer. N Engl J Med. 2015 Oct 22;373(17):1627-39. doi: 10.1056/NEJMoa1507643. Epub 2015 Sep 27. PMID: 26412456; PMCID: PMC5705936.</w:t>
            </w:r>
          </w:p>
        </w:tc>
      </w:tr>
      <w:tr w:rsidR="00542C3C" w:rsidRPr="00C7556C" w14:paraId="01ACCC46" w14:textId="77777777" w:rsidTr="009622A0">
        <w:trPr>
          <w:trHeight w:val="1430"/>
        </w:trPr>
        <w:tc>
          <w:tcPr>
            <w:tcW w:w="780" w:type="dxa"/>
            <w:shd w:val="clear" w:color="auto" w:fill="FFFFFF" w:themeFill="background1"/>
            <w:noWrap/>
            <w:vAlign w:val="center"/>
            <w:hideMark/>
          </w:tcPr>
          <w:p w14:paraId="5246CCA2"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A-40</w:t>
            </w:r>
          </w:p>
        </w:tc>
        <w:tc>
          <w:tcPr>
            <w:tcW w:w="1560" w:type="dxa"/>
            <w:shd w:val="clear" w:color="auto" w:fill="FFFFFF" w:themeFill="background1"/>
            <w:noWrap/>
            <w:vAlign w:val="center"/>
            <w:hideMark/>
          </w:tcPr>
          <w:p w14:paraId="01253B0C"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NCT00388726</w:t>
            </w:r>
          </w:p>
        </w:tc>
        <w:tc>
          <w:tcPr>
            <w:tcW w:w="1879" w:type="dxa"/>
            <w:shd w:val="clear" w:color="auto" w:fill="FFFFFF" w:themeFill="background1"/>
            <w:vAlign w:val="center"/>
            <w:hideMark/>
          </w:tcPr>
          <w:p w14:paraId="0C56E6D2"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Eribulin mesylate</w:t>
            </w:r>
          </w:p>
        </w:tc>
        <w:tc>
          <w:tcPr>
            <w:tcW w:w="2458" w:type="dxa"/>
            <w:shd w:val="clear" w:color="auto" w:fill="FFFFFF" w:themeFill="background1"/>
            <w:noWrap/>
            <w:vAlign w:val="center"/>
            <w:hideMark/>
          </w:tcPr>
          <w:p w14:paraId="7CE1C740"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Breast cancer</w:t>
            </w:r>
          </w:p>
        </w:tc>
        <w:tc>
          <w:tcPr>
            <w:tcW w:w="6543" w:type="dxa"/>
            <w:shd w:val="clear" w:color="auto" w:fill="FFFFFF" w:themeFill="background1"/>
            <w:vAlign w:val="center"/>
            <w:hideMark/>
          </w:tcPr>
          <w:p w14:paraId="7CA5DA18"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Cortes J, O'Shaughnessy J, Loesch D, Blum JL, Vahdat LT, Petrakova K, Chollet P, Manikas A, Diéras V, Delozier T, Vladimirov V, Cardoso F, Koh H, Bougnoux P, Dutcus CE, Seegobin S, Mir D, Meneses N, Wanders J, Twelves C; EMBRACE (Eisai Metastatic Breast Cancer Study Assessing Physician's Choice Versus E7389) investigators. Eribulin monotherapy versus treatment of physician's choice in patients with metastatic breast cancer (EMBRACE): a phase 3 open-label randomised study. Lancet. 2011 Mar 12;377(9769):914-23. doi: 10.1016/S0140-6736(11)60070-6. Epub 2011 Mar 2. PMID: 21376385.</w:t>
            </w:r>
          </w:p>
        </w:tc>
      </w:tr>
      <w:tr w:rsidR="00542C3C" w:rsidRPr="00C7556C" w14:paraId="781B6128" w14:textId="77777777" w:rsidTr="009622A0">
        <w:trPr>
          <w:trHeight w:val="1030"/>
        </w:trPr>
        <w:tc>
          <w:tcPr>
            <w:tcW w:w="780" w:type="dxa"/>
            <w:shd w:val="clear" w:color="auto" w:fill="FFFFFF" w:themeFill="background1"/>
            <w:noWrap/>
            <w:vAlign w:val="center"/>
            <w:hideMark/>
          </w:tcPr>
          <w:p w14:paraId="5D254F27"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A-41</w:t>
            </w:r>
          </w:p>
        </w:tc>
        <w:tc>
          <w:tcPr>
            <w:tcW w:w="1560" w:type="dxa"/>
            <w:shd w:val="clear" w:color="auto" w:fill="FFFFFF" w:themeFill="background1"/>
            <w:noWrap/>
            <w:vAlign w:val="center"/>
            <w:hideMark/>
          </w:tcPr>
          <w:p w14:paraId="7B5A6E13"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NCT00105443</w:t>
            </w:r>
          </w:p>
        </w:tc>
        <w:tc>
          <w:tcPr>
            <w:tcW w:w="1879" w:type="dxa"/>
            <w:shd w:val="clear" w:color="auto" w:fill="FFFFFF" w:themeFill="background1"/>
            <w:vAlign w:val="center"/>
            <w:hideMark/>
          </w:tcPr>
          <w:p w14:paraId="573DB6C0"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Sorafenib</w:t>
            </w:r>
          </w:p>
        </w:tc>
        <w:tc>
          <w:tcPr>
            <w:tcW w:w="2458" w:type="dxa"/>
            <w:shd w:val="clear" w:color="auto" w:fill="FFFFFF" w:themeFill="background1"/>
            <w:noWrap/>
            <w:vAlign w:val="center"/>
            <w:hideMark/>
          </w:tcPr>
          <w:p w14:paraId="7598DAA9"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Hepatocellular carcinoma</w:t>
            </w:r>
          </w:p>
        </w:tc>
        <w:tc>
          <w:tcPr>
            <w:tcW w:w="6543" w:type="dxa"/>
            <w:shd w:val="clear" w:color="auto" w:fill="FFFFFF" w:themeFill="background1"/>
            <w:vAlign w:val="center"/>
            <w:hideMark/>
          </w:tcPr>
          <w:p w14:paraId="0409695A"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Llovet JM, Ricci S, Mazzaferro V, Hilgard P, Gane E, Blanc JF, de Oliveira AC, Santoro A, Raoul JL, Forner A, Schwartz M, Porta C, Zeuzem S, Bolondi L, Greten TF, Galle PR, Seitz JF, Borbath I, Häussinger D, Giannaris T, Shan M, Moscovici M, Voliotis D, Bruix J; SHARP Investigators Study Group. Sorafenib in advanced hepatocellular carcinoma. N Engl J Med. 2008 Jul 24;359(4):378-90. doi: 10.1056/NEJMoa0708857. PMID: 18650514.</w:t>
            </w:r>
          </w:p>
        </w:tc>
      </w:tr>
      <w:tr w:rsidR="00542C3C" w:rsidRPr="00C7556C" w14:paraId="65C7E0FE" w14:textId="77777777" w:rsidTr="009622A0">
        <w:trPr>
          <w:trHeight w:val="830"/>
        </w:trPr>
        <w:tc>
          <w:tcPr>
            <w:tcW w:w="780" w:type="dxa"/>
            <w:shd w:val="clear" w:color="auto" w:fill="FFFFFF" w:themeFill="background1"/>
            <w:noWrap/>
            <w:vAlign w:val="center"/>
            <w:hideMark/>
          </w:tcPr>
          <w:p w14:paraId="4D6B35F7"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lastRenderedPageBreak/>
              <w:t>A-42</w:t>
            </w:r>
          </w:p>
        </w:tc>
        <w:tc>
          <w:tcPr>
            <w:tcW w:w="1560" w:type="dxa"/>
            <w:shd w:val="clear" w:color="auto" w:fill="FFFFFF" w:themeFill="background1"/>
            <w:noWrap/>
            <w:vAlign w:val="center"/>
            <w:hideMark/>
          </w:tcPr>
          <w:p w14:paraId="25021714"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NCT00065442</w:t>
            </w:r>
          </w:p>
        </w:tc>
        <w:tc>
          <w:tcPr>
            <w:tcW w:w="1879" w:type="dxa"/>
            <w:shd w:val="clear" w:color="auto" w:fill="FFFFFF" w:themeFill="background1"/>
            <w:vAlign w:val="center"/>
            <w:hideMark/>
          </w:tcPr>
          <w:p w14:paraId="5C3C25A4"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Sipuleucel-T</w:t>
            </w:r>
          </w:p>
        </w:tc>
        <w:tc>
          <w:tcPr>
            <w:tcW w:w="2458" w:type="dxa"/>
            <w:shd w:val="clear" w:color="auto" w:fill="FFFFFF" w:themeFill="background1"/>
            <w:noWrap/>
            <w:vAlign w:val="center"/>
            <w:hideMark/>
          </w:tcPr>
          <w:p w14:paraId="0A7CFA72"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Prostate cancer</w:t>
            </w:r>
          </w:p>
        </w:tc>
        <w:tc>
          <w:tcPr>
            <w:tcW w:w="6543" w:type="dxa"/>
            <w:shd w:val="clear" w:color="auto" w:fill="FFFFFF" w:themeFill="background1"/>
            <w:vAlign w:val="center"/>
            <w:hideMark/>
          </w:tcPr>
          <w:p w14:paraId="77A0902C"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Kantoff PW, Higano CS, Shore ND, Berger ER, Small EJ, Penson DF, Redfern CH, Ferrari AC, Dreicer R, Sims RB, Xu Y, Frohlich MW, Schellhammer PF; IMPACT Study Investigators. Sipuleucel-T immunotherapy for castration-resistant prostate cancer. N Engl J Med. 2010 Jul 29;363(5):411-22. doi: 10.1056/NEJMoa1001294. PMID: 20818862.</w:t>
            </w:r>
          </w:p>
        </w:tc>
      </w:tr>
      <w:tr w:rsidR="00542C3C" w:rsidRPr="00C7556C" w14:paraId="0A8DE904" w14:textId="77777777" w:rsidTr="009622A0">
        <w:trPr>
          <w:trHeight w:val="1430"/>
        </w:trPr>
        <w:tc>
          <w:tcPr>
            <w:tcW w:w="780" w:type="dxa"/>
            <w:shd w:val="clear" w:color="auto" w:fill="FFFFFF" w:themeFill="background1"/>
            <w:noWrap/>
            <w:vAlign w:val="center"/>
            <w:hideMark/>
          </w:tcPr>
          <w:p w14:paraId="400F579A"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A-43</w:t>
            </w:r>
          </w:p>
        </w:tc>
        <w:tc>
          <w:tcPr>
            <w:tcW w:w="1560" w:type="dxa"/>
            <w:shd w:val="clear" w:color="auto" w:fill="FFFFFF" w:themeFill="background1"/>
            <w:noWrap/>
            <w:vAlign w:val="center"/>
            <w:hideMark/>
          </w:tcPr>
          <w:p w14:paraId="27A074EE"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NCT02853331</w:t>
            </w:r>
          </w:p>
        </w:tc>
        <w:tc>
          <w:tcPr>
            <w:tcW w:w="1879" w:type="dxa"/>
            <w:shd w:val="clear" w:color="auto" w:fill="FFFFFF" w:themeFill="background1"/>
            <w:vAlign w:val="center"/>
            <w:hideMark/>
          </w:tcPr>
          <w:p w14:paraId="51B29AF6"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Pembrolizumab plus axitinib</w:t>
            </w:r>
          </w:p>
        </w:tc>
        <w:tc>
          <w:tcPr>
            <w:tcW w:w="2458" w:type="dxa"/>
            <w:shd w:val="clear" w:color="auto" w:fill="FFFFFF" w:themeFill="background1"/>
            <w:noWrap/>
            <w:vAlign w:val="center"/>
            <w:hideMark/>
          </w:tcPr>
          <w:p w14:paraId="4BEFBAAA"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Renal cell carcinoma</w:t>
            </w:r>
          </w:p>
        </w:tc>
        <w:tc>
          <w:tcPr>
            <w:tcW w:w="6543" w:type="dxa"/>
            <w:shd w:val="clear" w:color="auto" w:fill="FFFFFF" w:themeFill="background1"/>
            <w:vAlign w:val="center"/>
            <w:hideMark/>
          </w:tcPr>
          <w:p w14:paraId="46D8E9CB"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Rini BI, Plimack ER, Stus V, Gafanov R, Hawkins R, Nosov D, Pouliot F, Alekseev B, Soulières D, Melichar B, Vynnychenko I, Kryzhanivska A, Bondarenko I, Azevedo SJ, Borchiellini D, Szczylik C, Markus M, McDermott RS, Bedke J, Tartas S, Chang YH, Tamada S, Shou Q, Perini RF, Chen M, Atkins MB, Powles T; KEYNOTE-426 Investigators. Pembrolizumab plus Axitinib versus Sunitinib for Advanced Renal-Cell Carcinoma. N Engl J Med. 2019 Mar 21;380(12):1116-1127. doi: 10.1056/NEJMoa1816714. Epub 2019 Feb 16. PMID: 30779529.</w:t>
            </w:r>
          </w:p>
        </w:tc>
      </w:tr>
      <w:tr w:rsidR="00542C3C" w:rsidRPr="00C7556C" w14:paraId="39985713" w14:textId="77777777" w:rsidTr="009622A0">
        <w:trPr>
          <w:trHeight w:val="1430"/>
        </w:trPr>
        <w:tc>
          <w:tcPr>
            <w:tcW w:w="780" w:type="dxa"/>
            <w:shd w:val="clear" w:color="auto" w:fill="FFFFFF" w:themeFill="background1"/>
            <w:noWrap/>
            <w:vAlign w:val="center"/>
            <w:hideMark/>
          </w:tcPr>
          <w:p w14:paraId="0130F0E2"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A-44</w:t>
            </w:r>
          </w:p>
        </w:tc>
        <w:tc>
          <w:tcPr>
            <w:tcW w:w="1560" w:type="dxa"/>
            <w:shd w:val="clear" w:color="auto" w:fill="FFFFFF" w:themeFill="background1"/>
            <w:noWrap/>
            <w:vAlign w:val="center"/>
            <w:hideMark/>
          </w:tcPr>
          <w:p w14:paraId="4D95CAF1"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NCT02569242</w:t>
            </w:r>
          </w:p>
        </w:tc>
        <w:tc>
          <w:tcPr>
            <w:tcW w:w="1879" w:type="dxa"/>
            <w:shd w:val="clear" w:color="auto" w:fill="FFFFFF" w:themeFill="background1"/>
            <w:vAlign w:val="center"/>
            <w:hideMark/>
          </w:tcPr>
          <w:p w14:paraId="06976C47"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Nivolumab</w:t>
            </w:r>
          </w:p>
        </w:tc>
        <w:tc>
          <w:tcPr>
            <w:tcW w:w="2458" w:type="dxa"/>
            <w:shd w:val="clear" w:color="auto" w:fill="FFFFFF" w:themeFill="background1"/>
            <w:noWrap/>
            <w:vAlign w:val="center"/>
            <w:hideMark/>
          </w:tcPr>
          <w:p w14:paraId="7A218DDF"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Esophageal cancer</w:t>
            </w:r>
          </w:p>
        </w:tc>
        <w:tc>
          <w:tcPr>
            <w:tcW w:w="6543" w:type="dxa"/>
            <w:shd w:val="clear" w:color="auto" w:fill="FFFFFF" w:themeFill="background1"/>
            <w:vAlign w:val="center"/>
            <w:hideMark/>
          </w:tcPr>
          <w:p w14:paraId="744C990C"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Kato K, Cho BC, Takahashi M, Okada M, Lin CY, Chin K, Kadowaki S, Ahn MJ, Hamamoto Y, Doki Y, Yen CC, Kubota Y, Kim SB, Hsu CH, Holtved E, Xynos I, Kodani M, Kitagawa Y. Nivolumab versus chemotherapy in patients with advanced oesophageal squamous cell carcinoma refractory or intolerant to previous chemotherapy (ATTRACTION-3): a multicentre, randomised, open-label, phase 3 trial. Lancet Oncol. 2019 Nov;20(11):1506-1517. doi: 10.1016/S1470-2045(19)30626-6. Epub 2019 Sep 30. Erratum in: Lancet Oncol. 2019 Nov;20(11):e613. PMID: 31582355.</w:t>
            </w:r>
          </w:p>
        </w:tc>
      </w:tr>
      <w:tr w:rsidR="00542C3C" w:rsidRPr="00C7556C" w14:paraId="03D6BC98" w14:textId="77777777" w:rsidTr="009622A0">
        <w:trPr>
          <w:trHeight w:val="1030"/>
        </w:trPr>
        <w:tc>
          <w:tcPr>
            <w:tcW w:w="780" w:type="dxa"/>
            <w:shd w:val="clear" w:color="auto" w:fill="FFFFFF" w:themeFill="background1"/>
            <w:noWrap/>
            <w:vAlign w:val="center"/>
            <w:hideMark/>
          </w:tcPr>
          <w:p w14:paraId="2451352B"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A-45</w:t>
            </w:r>
          </w:p>
        </w:tc>
        <w:tc>
          <w:tcPr>
            <w:tcW w:w="1560" w:type="dxa"/>
            <w:shd w:val="clear" w:color="auto" w:fill="FFFFFF" w:themeFill="background1"/>
            <w:noWrap/>
            <w:vAlign w:val="center"/>
            <w:hideMark/>
          </w:tcPr>
          <w:p w14:paraId="5A716E1D"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NCT02409342</w:t>
            </w:r>
          </w:p>
        </w:tc>
        <w:tc>
          <w:tcPr>
            <w:tcW w:w="1879" w:type="dxa"/>
            <w:shd w:val="clear" w:color="auto" w:fill="FFFFFF" w:themeFill="background1"/>
            <w:vAlign w:val="center"/>
            <w:hideMark/>
          </w:tcPr>
          <w:p w14:paraId="4C9A30EA"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Atezolizumab</w:t>
            </w:r>
          </w:p>
        </w:tc>
        <w:tc>
          <w:tcPr>
            <w:tcW w:w="2458" w:type="dxa"/>
            <w:shd w:val="clear" w:color="auto" w:fill="FFFFFF" w:themeFill="background1"/>
            <w:noWrap/>
            <w:vAlign w:val="center"/>
            <w:hideMark/>
          </w:tcPr>
          <w:p w14:paraId="52536DCE"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Non-small cell lung cancer</w:t>
            </w:r>
          </w:p>
        </w:tc>
        <w:tc>
          <w:tcPr>
            <w:tcW w:w="6543" w:type="dxa"/>
            <w:shd w:val="clear" w:color="auto" w:fill="FFFFFF" w:themeFill="background1"/>
            <w:vAlign w:val="center"/>
            <w:hideMark/>
          </w:tcPr>
          <w:p w14:paraId="65A847C8"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Herbst RS, Giaccone G, de Marinis F, Reinmuth N, Vergnenegre A, Barrios CH, Morise M, Felip E, Andric Z, Geater S, Özgüroğlu M, Zou W, Sandler A, Enquist I, Komatsubara K, Deng Y, Kuriki H, Wen X, McCleland M, Mocci S, Jassem J, Spigel DR. Atezolizumab for First-Line Treatment of PD-L1-Selected Patients with NSCLC. N Engl J Med. 2020 Oct 1;383(14):1328-1339. doi: 10.1056/NEJMoa1917346. PMID: 32997907.</w:t>
            </w:r>
          </w:p>
        </w:tc>
      </w:tr>
      <w:tr w:rsidR="00542C3C" w:rsidRPr="00C7556C" w14:paraId="795E19BF" w14:textId="77777777" w:rsidTr="009622A0">
        <w:trPr>
          <w:trHeight w:val="1830"/>
        </w:trPr>
        <w:tc>
          <w:tcPr>
            <w:tcW w:w="780" w:type="dxa"/>
            <w:shd w:val="clear" w:color="auto" w:fill="FFFFFF" w:themeFill="background1"/>
            <w:noWrap/>
            <w:vAlign w:val="center"/>
            <w:hideMark/>
          </w:tcPr>
          <w:p w14:paraId="600DCD23"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A-46</w:t>
            </w:r>
          </w:p>
        </w:tc>
        <w:tc>
          <w:tcPr>
            <w:tcW w:w="1560" w:type="dxa"/>
            <w:shd w:val="clear" w:color="auto" w:fill="FFFFFF" w:themeFill="background1"/>
            <w:noWrap/>
            <w:vAlign w:val="center"/>
            <w:hideMark/>
          </w:tcPr>
          <w:p w14:paraId="0C83A138"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NCT01183780</w:t>
            </w:r>
          </w:p>
        </w:tc>
        <w:tc>
          <w:tcPr>
            <w:tcW w:w="1879" w:type="dxa"/>
            <w:shd w:val="clear" w:color="auto" w:fill="FFFFFF" w:themeFill="background1"/>
            <w:vAlign w:val="center"/>
            <w:hideMark/>
          </w:tcPr>
          <w:p w14:paraId="30CC8B3B"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Ramucirumab plus FOLFIRI</w:t>
            </w:r>
          </w:p>
        </w:tc>
        <w:tc>
          <w:tcPr>
            <w:tcW w:w="2458" w:type="dxa"/>
            <w:shd w:val="clear" w:color="auto" w:fill="FFFFFF" w:themeFill="background1"/>
            <w:noWrap/>
            <w:vAlign w:val="center"/>
            <w:hideMark/>
          </w:tcPr>
          <w:p w14:paraId="32061E84"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Colorectal cancer</w:t>
            </w:r>
          </w:p>
        </w:tc>
        <w:tc>
          <w:tcPr>
            <w:tcW w:w="6543" w:type="dxa"/>
            <w:shd w:val="clear" w:color="auto" w:fill="FFFFFF" w:themeFill="background1"/>
            <w:vAlign w:val="center"/>
            <w:hideMark/>
          </w:tcPr>
          <w:p w14:paraId="2FCD7DC1"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Tabernero J, Yoshino T, Cohn AL, Obermannova R, Bodoky G, Garcia-Carbonero R, Ciuleanu TE, Portnoy DC, Van Cutsem E, Grothey A, Prausová J, Garcia-Alfonso P, Yamazaki K, Clingan PR, Lonardi S, Kim TW, Simms L, Chang SC, Nasroulah F; RAISE Study Investigators. Ramucirumab versus placebo in combination with second-line FOLFIRI in patients with metastatic colorectal carcinoma that progressed during or after first-line therapy with bevacizumab, oxaliplatin, and a fluoropyrimidine (RAISE): a randomised, double-blind, multicentre, phase 3 study. Lancet Oncol. 2015 May;16(5):499-508. doi: 10.1016/S1470-2045(15)70127-0. Epub 2015 Apr 12. Erratum in: Lancet Oncol. 2015 Jun;16(6):e262. PMID: 25877855.</w:t>
            </w:r>
          </w:p>
        </w:tc>
      </w:tr>
      <w:tr w:rsidR="00542C3C" w:rsidRPr="00C7556C" w14:paraId="57A049BB" w14:textId="77777777" w:rsidTr="009622A0">
        <w:trPr>
          <w:trHeight w:val="1430"/>
        </w:trPr>
        <w:tc>
          <w:tcPr>
            <w:tcW w:w="780" w:type="dxa"/>
            <w:shd w:val="clear" w:color="auto" w:fill="FFFFFF" w:themeFill="background1"/>
            <w:noWrap/>
            <w:vAlign w:val="center"/>
            <w:hideMark/>
          </w:tcPr>
          <w:p w14:paraId="2A0E9CEA"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A-47</w:t>
            </w:r>
          </w:p>
        </w:tc>
        <w:tc>
          <w:tcPr>
            <w:tcW w:w="1560" w:type="dxa"/>
            <w:shd w:val="clear" w:color="auto" w:fill="FFFFFF" w:themeFill="background1"/>
            <w:noWrap/>
            <w:vAlign w:val="center"/>
            <w:hideMark/>
          </w:tcPr>
          <w:p w14:paraId="0DA67F79"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NCT01170663</w:t>
            </w:r>
          </w:p>
        </w:tc>
        <w:tc>
          <w:tcPr>
            <w:tcW w:w="1879" w:type="dxa"/>
            <w:shd w:val="clear" w:color="auto" w:fill="FFFFFF" w:themeFill="background1"/>
            <w:vAlign w:val="center"/>
            <w:hideMark/>
          </w:tcPr>
          <w:p w14:paraId="4774FCDA"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Ramucirumab plus paclitaxel</w:t>
            </w:r>
          </w:p>
        </w:tc>
        <w:tc>
          <w:tcPr>
            <w:tcW w:w="2458" w:type="dxa"/>
            <w:shd w:val="clear" w:color="auto" w:fill="FFFFFF" w:themeFill="background1"/>
            <w:noWrap/>
            <w:vAlign w:val="center"/>
            <w:hideMark/>
          </w:tcPr>
          <w:p w14:paraId="6E15245D"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Gastric cancer</w:t>
            </w:r>
          </w:p>
        </w:tc>
        <w:tc>
          <w:tcPr>
            <w:tcW w:w="6543" w:type="dxa"/>
            <w:shd w:val="clear" w:color="auto" w:fill="FFFFFF" w:themeFill="background1"/>
            <w:vAlign w:val="center"/>
            <w:hideMark/>
          </w:tcPr>
          <w:p w14:paraId="3C20F693"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Wilke H, Muro K, Van Cutsem E, Oh SC, Bodoky G, Shimada Y, Hironaka S, Sugimoto N, Lipatov O, Kim TY, Cunningham D, Rougier P, Komatsu Y, Ajani J, Emig M, Carlesi R, Ferry D, Chandrawansa K, Schwartz JD, Ohtsu A; RAINBOW Study Group. Ramucirumab plus paclitaxel versus placebo plus paclitaxel in patients with previously treated advanced gastric or gastro-oesophageal junction adenocarcinoma (RAINBOW): a double-blind, randomised phase 3 trial. Lancet Oncol. 2014 Oct;15(11):1224-35. doi: 10.1016/S1470-2045(14)70420-6. Epub 2014 Sep 17. PMID: 25240821.</w:t>
            </w:r>
          </w:p>
        </w:tc>
      </w:tr>
      <w:tr w:rsidR="00542C3C" w:rsidRPr="00C7556C" w14:paraId="006AAAEE" w14:textId="77777777" w:rsidTr="009622A0">
        <w:trPr>
          <w:trHeight w:val="1030"/>
        </w:trPr>
        <w:tc>
          <w:tcPr>
            <w:tcW w:w="780" w:type="dxa"/>
            <w:shd w:val="clear" w:color="auto" w:fill="FFFFFF" w:themeFill="background1"/>
            <w:noWrap/>
            <w:vAlign w:val="center"/>
            <w:hideMark/>
          </w:tcPr>
          <w:p w14:paraId="3B396D17"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A-48</w:t>
            </w:r>
          </w:p>
        </w:tc>
        <w:tc>
          <w:tcPr>
            <w:tcW w:w="1560" w:type="dxa"/>
            <w:shd w:val="clear" w:color="auto" w:fill="FFFFFF" w:themeFill="background1"/>
            <w:noWrap/>
            <w:vAlign w:val="center"/>
            <w:hideMark/>
          </w:tcPr>
          <w:p w14:paraId="251AE340"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NCT01866319</w:t>
            </w:r>
          </w:p>
        </w:tc>
        <w:tc>
          <w:tcPr>
            <w:tcW w:w="1879" w:type="dxa"/>
            <w:shd w:val="clear" w:color="auto" w:fill="FFFFFF" w:themeFill="background1"/>
            <w:vAlign w:val="center"/>
            <w:hideMark/>
          </w:tcPr>
          <w:p w14:paraId="138CC434"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Pembrolizumab (every 2 weeks)</w:t>
            </w:r>
          </w:p>
        </w:tc>
        <w:tc>
          <w:tcPr>
            <w:tcW w:w="2458" w:type="dxa"/>
            <w:shd w:val="clear" w:color="auto" w:fill="FFFFFF" w:themeFill="background1"/>
            <w:noWrap/>
            <w:vAlign w:val="center"/>
            <w:hideMark/>
          </w:tcPr>
          <w:p w14:paraId="1A4FA9FA"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Melanoma</w:t>
            </w:r>
          </w:p>
        </w:tc>
        <w:tc>
          <w:tcPr>
            <w:tcW w:w="6543" w:type="dxa"/>
            <w:shd w:val="clear" w:color="auto" w:fill="FFFFFF" w:themeFill="background1"/>
            <w:vAlign w:val="center"/>
            <w:hideMark/>
          </w:tcPr>
          <w:p w14:paraId="7D38A04D"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Robert C, Schachter J, Long GV, Arance A, Grob JJ, Mortier L, Daud A, Carlino MS, McNeil C, Lotem M, Larkin J, Lorigan P, Neyns B, Blank CU, Hamid O, Mateus C, Shapira-Frommer R, Kosh M, Zhou H, Ibrahim N, Ebbinghaus S, Ribas A; KEYNOTE-006 investigators. Pembrolizumab versus Ipilimumab in Advanced Melanoma. N Engl J Med. 2015 Jun 25;372(26):2521-32. doi: 10.1056/NEJMoa1503093. Epub 2015 Apr 19. PMID: 25891173.</w:t>
            </w:r>
          </w:p>
        </w:tc>
      </w:tr>
      <w:tr w:rsidR="00542C3C" w:rsidRPr="00C7556C" w14:paraId="775B1240" w14:textId="77777777" w:rsidTr="009622A0">
        <w:trPr>
          <w:trHeight w:val="1030"/>
        </w:trPr>
        <w:tc>
          <w:tcPr>
            <w:tcW w:w="780" w:type="dxa"/>
            <w:shd w:val="clear" w:color="auto" w:fill="FFFFFF" w:themeFill="background1"/>
            <w:noWrap/>
            <w:vAlign w:val="center"/>
            <w:hideMark/>
          </w:tcPr>
          <w:p w14:paraId="172C10CE"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A-49</w:t>
            </w:r>
          </w:p>
        </w:tc>
        <w:tc>
          <w:tcPr>
            <w:tcW w:w="1560" w:type="dxa"/>
            <w:shd w:val="clear" w:color="auto" w:fill="FFFFFF" w:themeFill="background1"/>
            <w:noWrap/>
            <w:vAlign w:val="center"/>
            <w:hideMark/>
          </w:tcPr>
          <w:p w14:paraId="108D65FD"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NCT01866319</w:t>
            </w:r>
          </w:p>
        </w:tc>
        <w:tc>
          <w:tcPr>
            <w:tcW w:w="1879" w:type="dxa"/>
            <w:shd w:val="clear" w:color="auto" w:fill="FFFFFF" w:themeFill="background1"/>
            <w:vAlign w:val="center"/>
            <w:hideMark/>
          </w:tcPr>
          <w:p w14:paraId="1B8E4DE7"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Pembrolizumab (every 3 weeks)</w:t>
            </w:r>
          </w:p>
        </w:tc>
        <w:tc>
          <w:tcPr>
            <w:tcW w:w="2458" w:type="dxa"/>
            <w:shd w:val="clear" w:color="auto" w:fill="FFFFFF" w:themeFill="background1"/>
            <w:noWrap/>
            <w:vAlign w:val="center"/>
            <w:hideMark/>
          </w:tcPr>
          <w:p w14:paraId="3D4F4E7A"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Melanoma</w:t>
            </w:r>
          </w:p>
        </w:tc>
        <w:tc>
          <w:tcPr>
            <w:tcW w:w="6543" w:type="dxa"/>
            <w:shd w:val="clear" w:color="auto" w:fill="FFFFFF" w:themeFill="background1"/>
            <w:vAlign w:val="center"/>
            <w:hideMark/>
          </w:tcPr>
          <w:p w14:paraId="26827F51"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Robert C, Schachter J, Long GV, Arance A, Grob JJ, Mortier L, Daud A, Carlino MS, McNeil C, Lotem M, Larkin J, Lorigan P, Neyns B, Blank CU, Hamid O, Mateus C, Shapira-Frommer R, Kosh M, Zhou H, Ibrahim N, Ebbinghaus S, Ribas A; KEYNOTE-006 investigators. Pembrolizumab versus Ipilimumab in Advanced Melanoma. N Engl J Med. 2015 Jun 25;372(26):2521-32. doi: 10.1056/NEJMoa1503093. Epub 2015 Apr 19. PMID: 25891173.</w:t>
            </w:r>
          </w:p>
        </w:tc>
      </w:tr>
      <w:tr w:rsidR="00542C3C" w:rsidRPr="00C7556C" w14:paraId="73093992" w14:textId="77777777" w:rsidTr="009622A0">
        <w:trPr>
          <w:trHeight w:val="1430"/>
        </w:trPr>
        <w:tc>
          <w:tcPr>
            <w:tcW w:w="780" w:type="dxa"/>
            <w:shd w:val="clear" w:color="auto" w:fill="FFFFFF" w:themeFill="background1"/>
            <w:noWrap/>
            <w:vAlign w:val="center"/>
            <w:hideMark/>
          </w:tcPr>
          <w:p w14:paraId="7BD81A8E"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lastRenderedPageBreak/>
              <w:t>A-50</w:t>
            </w:r>
          </w:p>
        </w:tc>
        <w:tc>
          <w:tcPr>
            <w:tcW w:w="1560" w:type="dxa"/>
            <w:shd w:val="clear" w:color="auto" w:fill="FFFFFF" w:themeFill="background1"/>
            <w:noWrap/>
            <w:vAlign w:val="center"/>
            <w:hideMark/>
          </w:tcPr>
          <w:p w14:paraId="2C7FBCC9"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NCT01844505</w:t>
            </w:r>
          </w:p>
        </w:tc>
        <w:tc>
          <w:tcPr>
            <w:tcW w:w="1879" w:type="dxa"/>
            <w:shd w:val="clear" w:color="auto" w:fill="FFFFFF" w:themeFill="background1"/>
            <w:vAlign w:val="center"/>
            <w:hideMark/>
          </w:tcPr>
          <w:p w14:paraId="3B7A46F5"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Nivolumab plus ipilimumab</w:t>
            </w:r>
          </w:p>
        </w:tc>
        <w:tc>
          <w:tcPr>
            <w:tcW w:w="2458" w:type="dxa"/>
            <w:shd w:val="clear" w:color="auto" w:fill="FFFFFF" w:themeFill="background1"/>
            <w:noWrap/>
            <w:vAlign w:val="center"/>
            <w:hideMark/>
          </w:tcPr>
          <w:p w14:paraId="5D00F9F9"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Melanoma</w:t>
            </w:r>
          </w:p>
        </w:tc>
        <w:tc>
          <w:tcPr>
            <w:tcW w:w="6543" w:type="dxa"/>
            <w:shd w:val="clear" w:color="auto" w:fill="FFFFFF" w:themeFill="background1"/>
            <w:vAlign w:val="center"/>
            <w:hideMark/>
          </w:tcPr>
          <w:p w14:paraId="09829E8D"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Larkin J, Chiarion-Sileni V, Gonzalez R, Grob JJ, Cowey CL, Lao CD, Schadendorf D, Dummer R, Smylie M, Rutkowski P, Ferrucci PF, Hill A, Wagstaff J, Carlino MS, Haanen JB, Maio M, Marquez-Rodas I, McArthur GA, Ascierto PA, Long GV, Callahan MK, Postow MA, Grossmann K, Sznol M, Dreno B, Bastholt L, Yang A, Rollin LM, Horak C, Hodi FS, Wolchok JD. Combined Nivolumab and Ipilimumab or Monotherapy in Untreated Melanoma. N Engl J Med. 2015 Jul 2;373(1):23-34. doi: 10.1056/NEJMoa1504030. Epub 2015 May 31. Erratum in: N Engl J Med. 2018 Nov 29;379(22):2185. PMID: 26027431; PMCID: PMC5698905.</w:t>
            </w:r>
          </w:p>
        </w:tc>
      </w:tr>
      <w:tr w:rsidR="00542C3C" w:rsidRPr="00C7556C" w14:paraId="5AD3C8C7" w14:textId="77777777" w:rsidTr="009622A0">
        <w:trPr>
          <w:trHeight w:val="1430"/>
        </w:trPr>
        <w:tc>
          <w:tcPr>
            <w:tcW w:w="780" w:type="dxa"/>
            <w:shd w:val="clear" w:color="auto" w:fill="FFFFFF" w:themeFill="background1"/>
            <w:noWrap/>
            <w:vAlign w:val="center"/>
            <w:hideMark/>
          </w:tcPr>
          <w:p w14:paraId="43F298A4"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A-51</w:t>
            </w:r>
          </w:p>
        </w:tc>
        <w:tc>
          <w:tcPr>
            <w:tcW w:w="1560" w:type="dxa"/>
            <w:shd w:val="clear" w:color="auto" w:fill="FFFFFF" w:themeFill="background1"/>
            <w:noWrap/>
            <w:vAlign w:val="center"/>
            <w:hideMark/>
          </w:tcPr>
          <w:p w14:paraId="4CD69622"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NCT01844505</w:t>
            </w:r>
          </w:p>
        </w:tc>
        <w:tc>
          <w:tcPr>
            <w:tcW w:w="1879" w:type="dxa"/>
            <w:shd w:val="clear" w:color="auto" w:fill="FFFFFF" w:themeFill="background1"/>
            <w:vAlign w:val="center"/>
            <w:hideMark/>
          </w:tcPr>
          <w:p w14:paraId="5F4A65EC"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Nivolumab</w:t>
            </w:r>
          </w:p>
        </w:tc>
        <w:tc>
          <w:tcPr>
            <w:tcW w:w="2458" w:type="dxa"/>
            <w:shd w:val="clear" w:color="auto" w:fill="FFFFFF" w:themeFill="background1"/>
            <w:noWrap/>
            <w:vAlign w:val="center"/>
            <w:hideMark/>
          </w:tcPr>
          <w:p w14:paraId="44350B31"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Melanoma</w:t>
            </w:r>
          </w:p>
        </w:tc>
        <w:tc>
          <w:tcPr>
            <w:tcW w:w="6543" w:type="dxa"/>
            <w:shd w:val="clear" w:color="auto" w:fill="FFFFFF" w:themeFill="background1"/>
            <w:vAlign w:val="center"/>
            <w:hideMark/>
          </w:tcPr>
          <w:p w14:paraId="41FB2553"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Larkin J, Chiarion-Sileni V, Gonzalez R, Grob JJ, Cowey CL, Lao CD, Schadendorf D, Dummer R, Smylie M, Rutkowski P, Ferrucci PF, Hill A, Wagstaff J, Carlino MS, Haanen JB, Maio M, Marquez-Rodas I, McArthur GA, Ascierto PA, Long GV, Callahan MK, Postow MA, Grossmann K, Sznol M, Dreno B, Bastholt L, Yang A, Rollin LM, Horak C, Hodi FS, Wolchok JD. Combined Nivolumab and Ipilimumab or Monotherapy in Untreated Melanoma. N Engl J Med. 2015 Jul 2;373(1):23-34. doi: 10.1056/NEJMoa1504030. Epub 2015 May 31. Erratum in: N Engl J Med. 2018 Nov 29;379(22):2185. PMID: 26027431; PMCID: PMC5698905.</w:t>
            </w:r>
          </w:p>
        </w:tc>
      </w:tr>
      <w:tr w:rsidR="00542C3C" w:rsidRPr="00C7556C" w14:paraId="1751A758" w14:textId="77777777" w:rsidTr="009622A0">
        <w:trPr>
          <w:trHeight w:val="1430"/>
        </w:trPr>
        <w:tc>
          <w:tcPr>
            <w:tcW w:w="780" w:type="dxa"/>
            <w:shd w:val="clear" w:color="auto" w:fill="FFFFFF" w:themeFill="background1"/>
            <w:noWrap/>
            <w:vAlign w:val="center"/>
            <w:hideMark/>
          </w:tcPr>
          <w:p w14:paraId="09CA5C27"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A-52</w:t>
            </w:r>
          </w:p>
        </w:tc>
        <w:tc>
          <w:tcPr>
            <w:tcW w:w="1560" w:type="dxa"/>
            <w:shd w:val="clear" w:color="auto" w:fill="FFFFFF" w:themeFill="background1"/>
            <w:noWrap/>
            <w:vAlign w:val="center"/>
            <w:hideMark/>
          </w:tcPr>
          <w:p w14:paraId="333E0030"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NCT00094653</w:t>
            </w:r>
          </w:p>
        </w:tc>
        <w:tc>
          <w:tcPr>
            <w:tcW w:w="1879" w:type="dxa"/>
            <w:shd w:val="clear" w:color="auto" w:fill="FFFFFF" w:themeFill="background1"/>
            <w:vAlign w:val="center"/>
            <w:hideMark/>
          </w:tcPr>
          <w:p w14:paraId="6C99F7DE"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Ipilimumab plus glycoprotein100</w:t>
            </w:r>
          </w:p>
        </w:tc>
        <w:tc>
          <w:tcPr>
            <w:tcW w:w="2458" w:type="dxa"/>
            <w:shd w:val="clear" w:color="auto" w:fill="FFFFFF" w:themeFill="background1"/>
            <w:noWrap/>
            <w:vAlign w:val="center"/>
            <w:hideMark/>
          </w:tcPr>
          <w:p w14:paraId="69C6F5F5"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Melanoma</w:t>
            </w:r>
          </w:p>
        </w:tc>
        <w:tc>
          <w:tcPr>
            <w:tcW w:w="6543" w:type="dxa"/>
            <w:shd w:val="clear" w:color="auto" w:fill="FFFFFF" w:themeFill="background1"/>
            <w:vAlign w:val="center"/>
            <w:hideMark/>
          </w:tcPr>
          <w:p w14:paraId="10D6B104"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Hodi FS, O'Day SJ, McDermott DF, Weber RW, Sosman JA, Haanen JB, Gonzalez R, Robert C, Schadendorf D, Hassel JC, Akerley W, van den Eertwegh AJ, Lutzky J, Lorigan P, Vaubel JM, Linette GP, Hogg D, Ottensmeier CH, Lebbé C, Peschel C, Quirt I, Clark JI, Wolchok JD, Weber JS, Tian J, Yellin MJ, Nichol GM, Hoos A, Urba WJ. Improved survival with ipilimumab in patients with metastatic melanoma. N Engl J Med. 2010 Aug 19;363(8):711-23. doi: 10.1056/NEJMoa1003466. Epub 2010 Jun 5. Erratum in: N Engl J Med. 2010 Sep 23;363(13):1290. PMID: 20525992; PMCID: PMC3549297.</w:t>
            </w:r>
          </w:p>
        </w:tc>
      </w:tr>
      <w:tr w:rsidR="00542C3C" w:rsidRPr="00C7556C" w14:paraId="5E4B3606" w14:textId="77777777" w:rsidTr="009622A0">
        <w:trPr>
          <w:trHeight w:val="1430"/>
        </w:trPr>
        <w:tc>
          <w:tcPr>
            <w:tcW w:w="780" w:type="dxa"/>
            <w:shd w:val="clear" w:color="auto" w:fill="FFFFFF" w:themeFill="background1"/>
            <w:noWrap/>
            <w:vAlign w:val="center"/>
            <w:hideMark/>
          </w:tcPr>
          <w:p w14:paraId="328D99FC"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A-53</w:t>
            </w:r>
          </w:p>
        </w:tc>
        <w:tc>
          <w:tcPr>
            <w:tcW w:w="1560" w:type="dxa"/>
            <w:shd w:val="clear" w:color="auto" w:fill="FFFFFF" w:themeFill="background1"/>
            <w:noWrap/>
            <w:vAlign w:val="center"/>
            <w:hideMark/>
          </w:tcPr>
          <w:p w14:paraId="7D59292B"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NCT00094653</w:t>
            </w:r>
          </w:p>
        </w:tc>
        <w:tc>
          <w:tcPr>
            <w:tcW w:w="1879" w:type="dxa"/>
            <w:shd w:val="clear" w:color="auto" w:fill="FFFFFF" w:themeFill="background1"/>
            <w:vAlign w:val="center"/>
            <w:hideMark/>
          </w:tcPr>
          <w:p w14:paraId="608D418B"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Ipilimumab</w:t>
            </w:r>
          </w:p>
        </w:tc>
        <w:tc>
          <w:tcPr>
            <w:tcW w:w="2458" w:type="dxa"/>
            <w:shd w:val="clear" w:color="auto" w:fill="FFFFFF" w:themeFill="background1"/>
            <w:noWrap/>
            <w:vAlign w:val="center"/>
            <w:hideMark/>
          </w:tcPr>
          <w:p w14:paraId="26185321"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Melanoma</w:t>
            </w:r>
          </w:p>
        </w:tc>
        <w:tc>
          <w:tcPr>
            <w:tcW w:w="6543" w:type="dxa"/>
            <w:shd w:val="clear" w:color="auto" w:fill="FFFFFF" w:themeFill="background1"/>
            <w:vAlign w:val="center"/>
            <w:hideMark/>
          </w:tcPr>
          <w:p w14:paraId="0E39E678"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Hodi FS, O'Day SJ, McDermott DF, Weber RW, Sosman JA, Haanen JB, Gonzalez R, Robert C, Schadendorf D, Hassel JC, Akerley W, van den Eertwegh AJ, Lutzky J, Lorigan P, Vaubel JM, Linette GP, Hogg D, Ottensmeier CH, Lebbé C, Peschel C, Quirt I, Clark JI, Wolchok JD, Weber JS, Tian J, Yellin MJ, Nichol GM, Hoos A, Urba WJ. Improved survival with ipilimumab in patients with metastatic melanoma. N Engl J Med. 2010 Aug 19;363(8):711-23. doi: 10.1056/NEJMoa1003466. Epub 2010 Jun 5. Erratum in: N Engl J Med. 2010 Sep 23;363(13):1290. PMID: 20525992; PMCID: PMC3549297.</w:t>
            </w:r>
          </w:p>
        </w:tc>
      </w:tr>
      <w:tr w:rsidR="00542C3C" w:rsidRPr="00C7556C" w14:paraId="6388F05A" w14:textId="77777777" w:rsidTr="009622A0">
        <w:trPr>
          <w:trHeight w:val="1230"/>
        </w:trPr>
        <w:tc>
          <w:tcPr>
            <w:tcW w:w="780" w:type="dxa"/>
            <w:shd w:val="clear" w:color="auto" w:fill="FFFFFF" w:themeFill="background1"/>
            <w:noWrap/>
            <w:vAlign w:val="center"/>
            <w:hideMark/>
          </w:tcPr>
          <w:p w14:paraId="0664795F" w14:textId="77777777" w:rsidR="00542C3C" w:rsidRPr="00C7556C" w:rsidRDefault="00542C3C" w:rsidP="009622A0">
            <w:pPr>
              <w:spacing w:after="0" w:line="240" w:lineRule="auto"/>
              <w:rPr>
                <w:rFonts w:ascii="Calibri" w:eastAsia="Times New Roman" w:hAnsi="Calibri" w:cs="Calibri"/>
                <w:noProof w:val="0"/>
                <w:color w:val="000000"/>
              </w:rPr>
            </w:pPr>
            <w:r w:rsidRPr="00C7556C">
              <w:rPr>
                <w:rFonts w:ascii="Calibri" w:eastAsia="Times New Roman" w:hAnsi="Calibri" w:cs="Calibri"/>
                <w:noProof w:val="0"/>
                <w:color w:val="000000"/>
              </w:rPr>
              <w:t>A-54</w:t>
            </w:r>
          </w:p>
        </w:tc>
        <w:tc>
          <w:tcPr>
            <w:tcW w:w="1560" w:type="dxa"/>
            <w:shd w:val="clear" w:color="auto" w:fill="FFFFFF" w:themeFill="background1"/>
            <w:noWrap/>
            <w:vAlign w:val="center"/>
            <w:hideMark/>
          </w:tcPr>
          <w:p w14:paraId="5790E848" w14:textId="77777777" w:rsidR="00542C3C" w:rsidRPr="00C7556C" w:rsidRDefault="00542C3C" w:rsidP="009622A0">
            <w:pPr>
              <w:spacing w:after="0" w:line="240" w:lineRule="auto"/>
              <w:rPr>
                <w:rFonts w:ascii="Calibri" w:eastAsia="Times New Roman" w:hAnsi="Calibri" w:cs="Calibri"/>
                <w:noProof w:val="0"/>
                <w:color w:val="000000"/>
              </w:rPr>
            </w:pPr>
            <w:r w:rsidRPr="00C7556C">
              <w:rPr>
                <w:rFonts w:ascii="Calibri" w:eastAsia="Times New Roman" w:hAnsi="Calibri" w:cs="Calibri"/>
                <w:noProof w:val="0"/>
                <w:color w:val="000000"/>
              </w:rPr>
              <w:t>NCT03511664</w:t>
            </w:r>
          </w:p>
        </w:tc>
        <w:tc>
          <w:tcPr>
            <w:tcW w:w="1879" w:type="dxa"/>
            <w:shd w:val="clear" w:color="auto" w:fill="FFFFFF" w:themeFill="background1"/>
            <w:vAlign w:val="center"/>
            <w:hideMark/>
          </w:tcPr>
          <w:p w14:paraId="6D2C09E4"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 xml:space="preserve">177Lu-PSMA-617 plus stndard care treatment </w:t>
            </w:r>
          </w:p>
        </w:tc>
        <w:tc>
          <w:tcPr>
            <w:tcW w:w="2458" w:type="dxa"/>
            <w:shd w:val="clear" w:color="auto" w:fill="FFFFFF" w:themeFill="background1"/>
            <w:noWrap/>
            <w:vAlign w:val="center"/>
            <w:hideMark/>
          </w:tcPr>
          <w:p w14:paraId="4D8453B5"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Prostate cancer</w:t>
            </w:r>
          </w:p>
        </w:tc>
        <w:tc>
          <w:tcPr>
            <w:tcW w:w="6543" w:type="dxa"/>
            <w:shd w:val="clear" w:color="auto" w:fill="FFFFFF" w:themeFill="background1"/>
            <w:vAlign w:val="center"/>
            <w:hideMark/>
          </w:tcPr>
          <w:p w14:paraId="688C2589"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Sartor O, de Bono J, Chi KN, Fizazi K, Herrmann K, Rahbar K, Tagawa ST, Nordquist LT, Vaishampayan N, El-Haddad G, Park CH, Beer TM, Armour A, Pérez-Contreras WJ, DeSilvio M, Kpamegan E, Gericke G, Messmann RA, Morris MJ, Krause BJ; VISION Investigators. Lutetium-177-PSMA-617 for Metastatic Castration-Resistant Prostate Cancer. N Engl J Med. 2021 Sep 16;385(12):1091-1103. doi: 10.1056/NEJMoa2107322. Epub 2021 Jun 23. PMID: 34161051; PMCID: PMC8446332.</w:t>
            </w:r>
          </w:p>
        </w:tc>
      </w:tr>
      <w:tr w:rsidR="00542C3C" w:rsidRPr="00C7556C" w14:paraId="298856E0" w14:textId="77777777" w:rsidTr="009622A0">
        <w:trPr>
          <w:trHeight w:val="1430"/>
        </w:trPr>
        <w:tc>
          <w:tcPr>
            <w:tcW w:w="780" w:type="dxa"/>
            <w:shd w:val="clear" w:color="auto" w:fill="FFFFFF" w:themeFill="background1"/>
            <w:noWrap/>
            <w:vAlign w:val="center"/>
            <w:hideMark/>
          </w:tcPr>
          <w:p w14:paraId="1779A901"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A-55</w:t>
            </w:r>
          </w:p>
        </w:tc>
        <w:tc>
          <w:tcPr>
            <w:tcW w:w="1560" w:type="dxa"/>
            <w:shd w:val="clear" w:color="auto" w:fill="FFFFFF" w:themeFill="background1"/>
            <w:noWrap/>
            <w:vAlign w:val="center"/>
            <w:hideMark/>
          </w:tcPr>
          <w:p w14:paraId="31554BF4"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NCT02125461</w:t>
            </w:r>
          </w:p>
        </w:tc>
        <w:tc>
          <w:tcPr>
            <w:tcW w:w="1879" w:type="dxa"/>
            <w:shd w:val="clear" w:color="auto" w:fill="FFFFFF" w:themeFill="background1"/>
            <w:vAlign w:val="center"/>
            <w:hideMark/>
          </w:tcPr>
          <w:p w14:paraId="304F9926"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Durvalumab</w:t>
            </w:r>
          </w:p>
        </w:tc>
        <w:tc>
          <w:tcPr>
            <w:tcW w:w="2458" w:type="dxa"/>
            <w:shd w:val="clear" w:color="auto" w:fill="FFFFFF" w:themeFill="background1"/>
            <w:noWrap/>
            <w:vAlign w:val="center"/>
            <w:hideMark/>
          </w:tcPr>
          <w:p w14:paraId="78B3018C"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Non-small cell lung cancer</w:t>
            </w:r>
          </w:p>
        </w:tc>
        <w:tc>
          <w:tcPr>
            <w:tcW w:w="6543" w:type="dxa"/>
            <w:shd w:val="clear" w:color="auto" w:fill="FFFFFF" w:themeFill="background1"/>
            <w:vAlign w:val="center"/>
            <w:hideMark/>
          </w:tcPr>
          <w:p w14:paraId="064F414A"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Antonia SJ, Villegas A, Daniel D, Vicente D, Murakami S, Hui R, Yokoi T, Chiappori A, Lee KH, de Wit M, Cho BC, Bourhaba M, Quantin X, Tokito T, Mekhail T, Planchard D, Kim YC, Karapetis CS, Hiret S, Ostoros G, Kubota K, Gray JE, Paz-Ares L, de Castro Carpeño J, Wadsworth C, Melillo G, Jiang H, Huang Y, Dennis PA, Özgüroğlu M; PACIFIC Investigators. Durvalumab after Chemoradiotherapy in Stage III Non-Small-Cell Lung Cancer. N Engl J Med. 2017 Nov 16;377(20):1919-1929. doi: 10.1056/NEJMoa1709937. Epub 2017 Sep 8. PMID: 28885881.</w:t>
            </w:r>
          </w:p>
        </w:tc>
      </w:tr>
      <w:tr w:rsidR="00542C3C" w:rsidRPr="00C7556C" w14:paraId="4E630E87" w14:textId="77777777" w:rsidTr="009622A0">
        <w:trPr>
          <w:trHeight w:val="1430"/>
        </w:trPr>
        <w:tc>
          <w:tcPr>
            <w:tcW w:w="780" w:type="dxa"/>
            <w:shd w:val="clear" w:color="auto" w:fill="FFFFFF" w:themeFill="background1"/>
            <w:noWrap/>
            <w:vAlign w:val="center"/>
            <w:hideMark/>
          </w:tcPr>
          <w:p w14:paraId="6E79A28B"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A-56</w:t>
            </w:r>
          </w:p>
        </w:tc>
        <w:tc>
          <w:tcPr>
            <w:tcW w:w="1560" w:type="dxa"/>
            <w:shd w:val="clear" w:color="auto" w:fill="FFFFFF" w:themeFill="background1"/>
            <w:noWrap/>
            <w:vAlign w:val="center"/>
            <w:hideMark/>
          </w:tcPr>
          <w:p w14:paraId="4B5DA029"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NCT00273546</w:t>
            </w:r>
          </w:p>
        </w:tc>
        <w:tc>
          <w:tcPr>
            <w:tcW w:w="1879" w:type="dxa"/>
            <w:shd w:val="clear" w:color="auto" w:fill="FFFFFF" w:themeFill="background1"/>
            <w:vAlign w:val="center"/>
            <w:hideMark/>
          </w:tcPr>
          <w:p w14:paraId="61D633DD"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Docetaxel, cisplatin and fluorouracil followed by chemoradiation</w:t>
            </w:r>
          </w:p>
        </w:tc>
        <w:tc>
          <w:tcPr>
            <w:tcW w:w="2458" w:type="dxa"/>
            <w:shd w:val="clear" w:color="auto" w:fill="FFFFFF" w:themeFill="background1"/>
            <w:noWrap/>
            <w:vAlign w:val="center"/>
            <w:hideMark/>
          </w:tcPr>
          <w:p w14:paraId="71907F7F"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Head and neck cancer</w:t>
            </w:r>
          </w:p>
        </w:tc>
        <w:tc>
          <w:tcPr>
            <w:tcW w:w="6543" w:type="dxa"/>
            <w:shd w:val="clear" w:color="auto" w:fill="FFFFFF" w:themeFill="background1"/>
            <w:vAlign w:val="center"/>
            <w:hideMark/>
          </w:tcPr>
          <w:p w14:paraId="4F781FA6"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Posner MR, Hershock DM, Blajman CR, Mickiewicz E, Winquist E, Gorbounova V, Tjulandin S, Shin DM, Cullen K, Ervin TJ, Murphy BA, Raez LE, Cohen RB, Spaulding M, Tishler RB, Roth B, Viroglio Rdel C, Venkatesan V, Romanov I, Agarwala S, Harter KW, Dugan M, Cmelak A, Markoe AM, Read PW, Steinbrenner L, Colevas AD, Norris CM Jr, Haddad RI; TAX 324 Study Group. Cisplatin and fluorouracil alone or with docetaxel in head and neck cancer. N Engl J Med. 2007 Oct 25;357(17):1705-15. doi: 10.1056/NEJMoa070956. PMID: 17960013.</w:t>
            </w:r>
          </w:p>
        </w:tc>
      </w:tr>
      <w:tr w:rsidR="00542C3C" w:rsidRPr="00C7556C" w14:paraId="4C32F4B1" w14:textId="77777777" w:rsidTr="009622A0">
        <w:trPr>
          <w:trHeight w:val="1030"/>
        </w:trPr>
        <w:tc>
          <w:tcPr>
            <w:tcW w:w="780" w:type="dxa"/>
            <w:shd w:val="clear" w:color="auto" w:fill="FFFFFF" w:themeFill="background1"/>
            <w:noWrap/>
            <w:vAlign w:val="center"/>
            <w:hideMark/>
          </w:tcPr>
          <w:p w14:paraId="4931281C" w14:textId="77777777" w:rsidR="00542C3C" w:rsidRPr="00C7556C" w:rsidRDefault="00542C3C" w:rsidP="009622A0">
            <w:pPr>
              <w:spacing w:after="0" w:line="240" w:lineRule="auto"/>
              <w:rPr>
                <w:rFonts w:ascii="Calibri" w:eastAsia="Times New Roman" w:hAnsi="Calibri" w:cs="Calibri"/>
                <w:noProof w:val="0"/>
                <w:color w:val="000000"/>
              </w:rPr>
            </w:pPr>
            <w:r w:rsidRPr="00C7556C">
              <w:rPr>
                <w:rFonts w:ascii="Calibri" w:eastAsia="Times New Roman" w:hAnsi="Calibri" w:cs="Calibri"/>
                <w:noProof w:val="0"/>
                <w:color w:val="000000"/>
              </w:rPr>
              <w:lastRenderedPageBreak/>
              <w:t>A-57</w:t>
            </w:r>
          </w:p>
        </w:tc>
        <w:tc>
          <w:tcPr>
            <w:tcW w:w="1560" w:type="dxa"/>
            <w:shd w:val="clear" w:color="auto" w:fill="FFFFFF" w:themeFill="background1"/>
            <w:noWrap/>
            <w:vAlign w:val="center"/>
            <w:hideMark/>
          </w:tcPr>
          <w:p w14:paraId="7DDC968E"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NCT03474107</w:t>
            </w:r>
          </w:p>
        </w:tc>
        <w:tc>
          <w:tcPr>
            <w:tcW w:w="1879" w:type="dxa"/>
            <w:shd w:val="clear" w:color="auto" w:fill="FFFFFF" w:themeFill="background1"/>
            <w:vAlign w:val="center"/>
            <w:hideMark/>
          </w:tcPr>
          <w:p w14:paraId="1288C45E"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Enfortumab vedotin</w:t>
            </w:r>
          </w:p>
        </w:tc>
        <w:tc>
          <w:tcPr>
            <w:tcW w:w="2458" w:type="dxa"/>
            <w:shd w:val="clear" w:color="auto" w:fill="FFFFFF" w:themeFill="background1"/>
            <w:noWrap/>
            <w:vAlign w:val="center"/>
            <w:hideMark/>
          </w:tcPr>
          <w:p w14:paraId="23E20A84"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Urothelial carcinoma</w:t>
            </w:r>
          </w:p>
        </w:tc>
        <w:tc>
          <w:tcPr>
            <w:tcW w:w="6543" w:type="dxa"/>
            <w:shd w:val="clear" w:color="auto" w:fill="FFFFFF" w:themeFill="background1"/>
            <w:vAlign w:val="center"/>
            <w:hideMark/>
          </w:tcPr>
          <w:p w14:paraId="31BA1E8E"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Powles T, Rosenberg JE, Sonpavde GP, Loriot Y, Durán I, Lee JL, Matsubara N, Vulsteke C, Castellano D, Wu C, Campbell M, Matsangou M, Petrylak DP. Enfortumab Vedotin in Previously Treated Advanced Urothelial Carcinoma. N Engl J Med. 2021 Mar 25;384(12):1125-1135. doi: 10.1056/NEJMoa2035807. Epub 2021 Feb 12. PMID: 33577729; PMCID: PMC8450892.</w:t>
            </w:r>
          </w:p>
        </w:tc>
      </w:tr>
      <w:tr w:rsidR="00542C3C" w:rsidRPr="00C7556C" w14:paraId="1834AB47" w14:textId="77777777" w:rsidTr="009622A0">
        <w:trPr>
          <w:trHeight w:val="1030"/>
        </w:trPr>
        <w:tc>
          <w:tcPr>
            <w:tcW w:w="780" w:type="dxa"/>
            <w:shd w:val="clear" w:color="auto" w:fill="FFFFFF" w:themeFill="background1"/>
            <w:noWrap/>
            <w:vAlign w:val="center"/>
            <w:hideMark/>
          </w:tcPr>
          <w:p w14:paraId="59E2129A"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A-58</w:t>
            </w:r>
          </w:p>
        </w:tc>
        <w:tc>
          <w:tcPr>
            <w:tcW w:w="1560" w:type="dxa"/>
            <w:shd w:val="clear" w:color="auto" w:fill="FFFFFF" w:themeFill="background1"/>
            <w:noWrap/>
            <w:vAlign w:val="center"/>
            <w:hideMark/>
          </w:tcPr>
          <w:p w14:paraId="50F071CA"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NCT03434379</w:t>
            </w:r>
          </w:p>
        </w:tc>
        <w:tc>
          <w:tcPr>
            <w:tcW w:w="1879" w:type="dxa"/>
            <w:shd w:val="clear" w:color="auto" w:fill="FFFFFF" w:themeFill="background1"/>
            <w:vAlign w:val="center"/>
            <w:hideMark/>
          </w:tcPr>
          <w:p w14:paraId="334A360A"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 xml:space="preserve">Atezolizumab plus bevacizumab </w:t>
            </w:r>
          </w:p>
        </w:tc>
        <w:tc>
          <w:tcPr>
            <w:tcW w:w="2458" w:type="dxa"/>
            <w:shd w:val="clear" w:color="auto" w:fill="FFFFFF" w:themeFill="background1"/>
            <w:noWrap/>
            <w:vAlign w:val="center"/>
            <w:hideMark/>
          </w:tcPr>
          <w:p w14:paraId="4107E770"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Hepatocellular carcinoma</w:t>
            </w:r>
          </w:p>
        </w:tc>
        <w:tc>
          <w:tcPr>
            <w:tcW w:w="6543" w:type="dxa"/>
            <w:shd w:val="clear" w:color="auto" w:fill="FFFFFF" w:themeFill="background1"/>
            <w:vAlign w:val="center"/>
            <w:hideMark/>
          </w:tcPr>
          <w:p w14:paraId="67468A4D"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Finn RS, Qin S, Ikeda M, Galle PR, Ducreux M, Kim TY, Kudo M, Breder V, Merle P, Kaseb AO, Li D, Verret W, Xu DZ, Hernandez S, Liu J, Huang C, Mulla S, Wang Y, Lim HY, Zhu AX, Cheng AL; IMbrave150 Investigators. Atezolizumab plus Bevacizumab in Unresectable Hepatocellular Carcinoma. N Engl J Med. 2020 May 14;382(20):1894-1905. doi: 10.1056/NEJMoa1915745. PMID: 32402160.</w:t>
            </w:r>
          </w:p>
        </w:tc>
      </w:tr>
      <w:tr w:rsidR="00542C3C" w:rsidRPr="00C7556C" w14:paraId="5F4466C9" w14:textId="77777777" w:rsidTr="009622A0">
        <w:trPr>
          <w:trHeight w:val="1230"/>
        </w:trPr>
        <w:tc>
          <w:tcPr>
            <w:tcW w:w="780" w:type="dxa"/>
            <w:shd w:val="clear" w:color="auto" w:fill="FFFFFF" w:themeFill="background1"/>
            <w:noWrap/>
            <w:vAlign w:val="center"/>
            <w:hideMark/>
          </w:tcPr>
          <w:p w14:paraId="379B8D92"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A-59</w:t>
            </w:r>
          </w:p>
        </w:tc>
        <w:tc>
          <w:tcPr>
            <w:tcW w:w="1560" w:type="dxa"/>
            <w:shd w:val="clear" w:color="auto" w:fill="FFFFFF" w:themeFill="background1"/>
            <w:noWrap/>
            <w:vAlign w:val="center"/>
            <w:hideMark/>
          </w:tcPr>
          <w:p w14:paraId="6592FE84"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NCT02775435</w:t>
            </w:r>
          </w:p>
        </w:tc>
        <w:tc>
          <w:tcPr>
            <w:tcW w:w="1879" w:type="dxa"/>
            <w:shd w:val="clear" w:color="auto" w:fill="FFFFFF" w:themeFill="background1"/>
            <w:vAlign w:val="center"/>
            <w:hideMark/>
          </w:tcPr>
          <w:p w14:paraId="533AFE0C"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Pembrolizumab plus carboplatin and paclitaxel/nab-paclitaxel</w:t>
            </w:r>
          </w:p>
        </w:tc>
        <w:tc>
          <w:tcPr>
            <w:tcW w:w="2458" w:type="dxa"/>
            <w:shd w:val="clear" w:color="auto" w:fill="FFFFFF" w:themeFill="background1"/>
            <w:noWrap/>
            <w:vAlign w:val="center"/>
            <w:hideMark/>
          </w:tcPr>
          <w:p w14:paraId="1930E203"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Non-small cell lung cancer</w:t>
            </w:r>
          </w:p>
        </w:tc>
        <w:tc>
          <w:tcPr>
            <w:tcW w:w="6543" w:type="dxa"/>
            <w:shd w:val="clear" w:color="auto" w:fill="FFFFFF" w:themeFill="background1"/>
            <w:vAlign w:val="center"/>
            <w:hideMark/>
          </w:tcPr>
          <w:p w14:paraId="035B43CB"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Paz-Ares L, Luft A, Vicente D, Tafreshi A, Gümüş M, Mazières J, Hermes B, Çay Şenler F, Csőszi T, Fülöp A, Rodríguez-Cid J, Wilson J, Sugawara S, Kato T, Lee KH, Cheng Y, Novello S, Halmos B, Li X, Lubiniecki GM, Piperdi B, Kowalski DM; KEYNOTE-407 Investigators. Pembrolizumab plus Chemotherapy for Squamous Non-Small-Cell Lung Cancer. N Engl J Med. 2018 Nov 22;379(21):2040-2051. doi: 10.1056/NEJMoa1810865. Epub 2018 Sep 25. PMID: 30280635.</w:t>
            </w:r>
          </w:p>
        </w:tc>
      </w:tr>
      <w:tr w:rsidR="00542C3C" w:rsidRPr="00C7556C" w14:paraId="667B43FE" w14:textId="77777777" w:rsidTr="009622A0">
        <w:trPr>
          <w:trHeight w:val="1230"/>
        </w:trPr>
        <w:tc>
          <w:tcPr>
            <w:tcW w:w="780" w:type="dxa"/>
            <w:shd w:val="clear" w:color="auto" w:fill="FFFFFF" w:themeFill="background1"/>
            <w:noWrap/>
            <w:vAlign w:val="center"/>
            <w:hideMark/>
          </w:tcPr>
          <w:p w14:paraId="5E281505"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A-60</w:t>
            </w:r>
          </w:p>
        </w:tc>
        <w:tc>
          <w:tcPr>
            <w:tcW w:w="1560" w:type="dxa"/>
            <w:shd w:val="clear" w:color="auto" w:fill="FFFFFF" w:themeFill="background1"/>
            <w:noWrap/>
            <w:vAlign w:val="center"/>
            <w:hideMark/>
          </w:tcPr>
          <w:p w14:paraId="42BB3F27"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NCT02564263</w:t>
            </w:r>
          </w:p>
        </w:tc>
        <w:tc>
          <w:tcPr>
            <w:tcW w:w="1879" w:type="dxa"/>
            <w:shd w:val="clear" w:color="auto" w:fill="FFFFFF" w:themeFill="background1"/>
            <w:vAlign w:val="center"/>
            <w:hideMark/>
          </w:tcPr>
          <w:p w14:paraId="247288F2"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Pembrolizumab</w:t>
            </w:r>
          </w:p>
        </w:tc>
        <w:tc>
          <w:tcPr>
            <w:tcW w:w="2458" w:type="dxa"/>
            <w:shd w:val="clear" w:color="auto" w:fill="FFFFFF" w:themeFill="background1"/>
            <w:noWrap/>
            <w:vAlign w:val="center"/>
            <w:hideMark/>
          </w:tcPr>
          <w:p w14:paraId="58FC7438"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Esophageal cancer</w:t>
            </w:r>
          </w:p>
        </w:tc>
        <w:tc>
          <w:tcPr>
            <w:tcW w:w="6543" w:type="dxa"/>
            <w:shd w:val="clear" w:color="auto" w:fill="FFFFFF" w:themeFill="background1"/>
            <w:vAlign w:val="center"/>
            <w:hideMark/>
          </w:tcPr>
          <w:p w14:paraId="68036D0C"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Kojima T, Shah MA, Muro K, Francois E, Adenis A, Hsu CH, Doi T, Moriwaki T, Kim SB, Lee SH, Bennouna J, Kato K, Shen L, Enzinger P, Qin SK, Ferreira P, Chen J, Girotto G, de la Fouchardiere C, Senellart H, Al-Rajabi R, Lordick F, Wang R, Suryawanshi S, Bhagia P, Kang SP, Metges JP; KEYNOTE-181 Investigators. Randomized Phase III KEYNOTE-181 Study of Pembrolizumab Versus Chemotherapy in Advanced Esophageal Cancer. J Clin Oncol. 2020 Dec 10;38(35):4138-4148. doi: 10.1200/JCO.20.01888. Epub 2020 Oct 7. PMID: 33026938.</w:t>
            </w:r>
          </w:p>
        </w:tc>
      </w:tr>
      <w:tr w:rsidR="00542C3C" w:rsidRPr="00C7556C" w14:paraId="13572669" w14:textId="77777777" w:rsidTr="009622A0">
        <w:trPr>
          <w:trHeight w:val="1230"/>
        </w:trPr>
        <w:tc>
          <w:tcPr>
            <w:tcW w:w="780" w:type="dxa"/>
            <w:shd w:val="clear" w:color="auto" w:fill="FFFFFF" w:themeFill="background1"/>
            <w:noWrap/>
            <w:vAlign w:val="center"/>
            <w:hideMark/>
          </w:tcPr>
          <w:p w14:paraId="21EC50ED"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A-61</w:t>
            </w:r>
          </w:p>
        </w:tc>
        <w:tc>
          <w:tcPr>
            <w:tcW w:w="1560" w:type="dxa"/>
            <w:shd w:val="clear" w:color="auto" w:fill="FFFFFF" w:themeFill="background1"/>
            <w:noWrap/>
            <w:vAlign w:val="center"/>
            <w:hideMark/>
          </w:tcPr>
          <w:p w14:paraId="01E94BEC"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NCT02763579</w:t>
            </w:r>
          </w:p>
        </w:tc>
        <w:tc>
          <w:tcPr>
            <w:tcW w:w="1879" w:type="dxa"/>
            <w:shd w:val="clear" w:color="auto" w:fill="FFFFFF" w:themeFill="background1"/>
            <w:vAlign w:val="center"/>
            <w:hideMark/>
          </w:tcPr>
          <w:p w14:paraId="6E125C92"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Atezolizumab plus carboplatin and etoposide</w:t>
            </w:r>
          </w:p>
        </w:tc>
        <w:tc>
          <w:tcPr>
            <w:tcW w:w="2458" w:type="dxa"/>
            <w:shd w:val="clear" w:color="auto" w:fill="FFFFFF" w:themeFill="background1"/>
            <w:noWrap/>
            <w:vAlign w:val="center"/>
            <w:hideMark/>
          </w:tcPr>
          <w:p w14:paraId="517643F4"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Small cell lung cancer</w:t>
            </w:r>
          </w:p>
        </w:tc>
        <w:tc>
          <w:tcPr>
            <w:tcW w:w="6543" w:type="dxa"/>
            <w:shd w:val="clear" w:color="auto" w:fill="FFFFFF" w:themeFill="background1"/>
            <w:vAlign w:val="center"/>
            <w:hideMark/>
          </w:tcPr>
          <w:p w14:paraId="4119BC3C"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Horn L, Mansfield AS, Szczęsna A, Havel L, Krzakowski M, Hochmair MJ, Huemer F, Losonczy G, Johnson ML, Nishio M, Reck M, Mok T, Lam S, Shames DS, Liu J, Ding B, Lopez-Chavez A, Kabbinavar F, Lin W, Sandler A, Liu SV; IMpower133 Study Group. First-Line Atezolizumab plus Chemotherapy in Extensive-Stage Small-Cell Lung Cancer. N Engl J Med. 2018 Dec 6;379(23):2220-2229. doi: 10.1056/NEJMoa1809064. Epub 2018 Sep 25. PMID: 30280641.</w:t>
            </w:r>
          </w:p>
        </w:tc>
      </w:tr>
      <w:tr w:rsidR="00542C3C" w:rsidRPr="00C7556C" w14:paraId="0DF8B8F5" w14:textId="77777777" w:rsidTr="009622A0">
        <w:trPr>
          <w:trHeight w:val="1430"/>
        </w:trPr>
        <w:tc>
          <w:tcPr>
            <w:tcW w:w="780" w:type="dxa"/>
            <w:shd w:val="clear" w:color="auto" w:fill="FFFFFF" w:themeFill="background1"/>
            <w:noWrap/>
            <w:vAlign w:val="center"/>
            <w:hideMark/>
          </w:tcPr>
          <w:p w14:paraId="1169511B"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A-62</w:t>
            </w:r>
          </w:p>
        </w:tc>
        <w:tc>
          <w:tcPr>
            <w:tcW w:w="1560" w:type="dxa"/>
            <w:shd w:val="clear" w:color="auto" w:fill="FFFFFF" w:themeFill="background1"/>
            <w:noWrap/>
            <w:vAlign w:val="center"/>
            <w:hideMark/>
          </w:tcPr>
          <w:p w14:paraId="10592CD0"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NCT02367781</w:t>
            </w:r>
          </w:p>
        </w:tc>
        <w:tc>
          <w:tcPr>
            <w:tcW w:w="1879" w:type="dxa"/>
            <w:shd w:val="clear" w:color="auto" w:fill="FFFFFF" w:themeFill="background1"/>
            <w:vAlign w:val="center"/>
            <w:hideMark/>
          </w:tcPr>
          <w:p w14:paraId="4818DD49"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Atezolizumab plus carboplatin and nab-paclitaxel</w:t>
            </w:r>
          </w:p>
        </w:tc>
        <w:tc>
          <w:tcPr>
            <w:tcW w:w="2458" w:type="dxa"/>
            <w:shd w:val="clear" w:color="auto" w:fill="FFFFFF" w:themeFill="background1"/>
            <w:noWrap/>
            <w:vAlign w:val="center"/>
            <w:hideMark/>
          </w:tcPr>
          <w:p w14:paraId="7CEE1C6C"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Non-small cell lung cancer</w:t>
            </w:r>
          </w:p>
        </w:tc>
        <w:tc>
          <w:tcPr>
            <w:tcW w:w="6543" w:type="dxa"/>
            <w:shd w:val="clear" w:color="auto" w:fill="FFFFFF" w:themeFill="background1"/>
            <w:vAlign w:val="center"/>
            <w:hideMark/>
          </w:tcPr>
          <w:p w14:paraId="55C55272"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West H, McCleod M, Hussein M, Morabito A, Rittmeyer A, Conter HJ, Kopp HG, Daniel D, McCune S, Mekhail T, Zer A, Reinmuth N, Sadiq A, Sandler A, Lin W, Ochi Lohmann T, Archer V, Wang L, Kowanetz M, Cappuzzo F. Atezolizumab in combination with carboplatin plus nab-paclitaxel chemotherapy compared with chemotherapy alone as first-line treatment for metastatic non-squamous non-small-cell lung cancer (IMpower130): a multicentre, randomised, open-label, phase 3 trial. Lancet Oncol. 2019 Jul;20(7):924-937. doi: 10.1016/S1470-2045(19)30167-6. Epub 2019 May 20. PMID: 31122901.</w:t>
            </w:r>
          </w:p>
        </w:tc>
      </w:tr>
      <w:tr w:rsidR="00542C3C" w:rsidRPr="00C7556C" w14:paraId="3E13EEFA" w14:textId="77777777" w:rsidTr="009622A0">
        <w:trPr>
          <w:trHeight w:val="1030"/>
        </w:trPr>
        <w:tc>
          <w:tcPr>
            <w:tcW w:w="780" w:type="dxa"/>
            <w:shd w:val="clear" w:color="auto" w:fill="FFFFFF" w:themeFill="background1"/>
            <w:noWrap/>
            <w:vAlign w:val="center"/>
            <w:hideMark/>
          </w:tcPr>
          <w:p w14:paraId="19DC44CE"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A-63</w:t>
            </w:r>
          </w:p>
        </w:tc>
        <w:tc>
          <w:tcPr>
            <w:tcW w:w="1560" w:type="dxa"/>
            <w:shd w:val="clear" w:color="auto" w:fill="FFFFFF" w:themeFill="background1"/>
            <w:noWrap/>
            <w:vAlign w:val="center"/>
            <w:hideMark/>
          </w:tcPr>
          <w:p w14:paraId="32485659"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NCT02489318</w:t>
            </w:r>
          </w:p>
        </w:tc>
        <w:tc>
          <w:tcPr>
            <w:tcW w:w="1879" w:type="dxa"/>
            <w:shd w:val="clear" w:color="auto" w:fill="FFFFFF" w:themeFill="background1"/>
            <w:vAlign w:val="center"/>
            <w:hideMark/>
          </w:tcPr>
          <w:p w14:paraId="1C256110"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Apalutamide plus ADT</w:t>
            </w:r>
          </w:p>
        </w:tc>
        <w:tc>
          <w:tcPr>
            <w:tcW w:w="2458" w:type="dxa"/>
            <w:shd w:val="clear" w:color="auto" w:fill="FFFFFF" w:themeFill="background1"/>
            <w:noWrap/>
            <w:vAlign w:val="center"/>
            <w:hideMark/>
          </w:tcPr>
          <w:p w14:paraId="61095649"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Prostate cancer</w:t>
            </w:r>
          </w:p>
        </w:tc>
        <w:tc>
          <w:tcPr>
            <w:tcW w:w="6543" w:type="dxa"/>
            <w:shd w:val="clear" w:color="auto" w:fill="FFFFFF" w:themeFill="background1"/>
            <w:vAlign w:val="center"/>
            <w:hideMark/>
          </w:tcPr>
          <w:p w14:paraId="3E40268E"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Chi KN, Agarwal N, Bjartell A, Chung BH, Pereira de Santana Gomes AJ, Given R, Juárez Soto Á, Merseburger AS, Özgüroğlu M, Uemura H, Ye D, Deprince K, Naini V, Li J, Cheng S, Yu MK, Zhang K, Larsen JS, McCarthy S, Chowdhury S; TITAN Investigators. Apalutamide for Metastatic, Castration-Sensitive Prostate Cancer. N Engl J Med. 2019 Jul 4;381(1):13-24. doi: 10.1056/NEJMoa1903307. Epub 2019 May 31. PMID: 31150574.</w:t>
            </w:r>
          </w:p>
        </w:tc>
      </w:tr>
      <w:tr w:rsidR="00542C3C" w:rsidRPr="00C7556C" w14:paraId="28022C9E" w14:textId="77777777" w:rsidTr="009622A0">
        <w:trPr>
          <w:trHeight w:val="1030"/>
        </w:trPr>
        <w:tc>
          <w:tcPr>
            <w:tcW w:w="780" w:type="dxa"/>
            <w:shd w:val="clear" w:color="auto" w:fill="FFFFFF" w:themeFill="background1"/>
            <w:noWrap/>
            <w:vAlign w:val="center"/>
            <w:hideMark/>
          </w:tcPr>
          <w:p w14:paraId="1DC3BB0C"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A-64</w:t>
            </w:r>
          </w:p>
        </w:tc>
        <w:tc>
          <w:tcPr>
            <w:tcW w:w="1560" w:type="dxa"/>
            <w:shd w:val="clear" w:color="auto" w:fill="FFFFFF" w:themeFill="background1"/>
            <w:noWrap/>
            <w:vAlign w:val="center"/>
            <w:hideMark/>
          </w:tcPr>
          <w:p w14:paraId="78EB871C"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NCT01564784</w:t>
            </w:r>
          </w:p>
        </w:tc>
        <w:tc>
          <w:tcPr>
            <w:tcW w:w="1879" w:type="dxa"/>
            <w:shd w:val="clear" w:color="auto" w:fill="FFFFFF" w:themeFill="background1"/>
            <w:vAlign w:val="center"/>
            <w:hideMark/>
          </w:tcPr>
          <w:p w14:paraId="7EAB2F82"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Inotuzumab ozogamicin</w:t>
            </w:r>
          </w:p>
        </w:tc>
        <w:tc>
          <w:tcPr>
            <w:tcW w:w="2458" w:type="dxa"/>
            <w:shd w:val="clear" w:color="auto" w:fill="FFFFFF" w:themeFill="background1"/>
            <w:noWrap/>
            <w:vAlign w:val="center"/>
            <w:hideMark/>
          </w:tcPr>
          <w:p w14:paraId="084A95A0"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Acute lymphocytic leukemia</w:t>
            </w:r>
          </w:p>
        </w:tc>
        <w:tc>
          <w:tcPr>
            <w:tcW w:w="6543" w:type="dxa"/>
            <w:shd w:val="clear" w:color="auto" w:fill="FFFFFF" w:themeFill="background1"/>
            <w:vAlign w:val="center"/>
            <w:hideMark/>
          </w:tcPr>
          <w:p w14:paraId="305AD74B"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Kantarjian HM, DeAngelo DJ, Stelljes M, Martinelli G, Liedtke M, Stock W, Gökbuget N, O'Brien S, Wang K, Wang T, Paccagnella ML, Sleight B, Vandendries E, Advani AS. Inotuzumab Ozogamicin versus Standard Therapy for Acute Lymphoblastic Leukemia. N Engl J Med. 2016 Aug 25;375(8):740-53. doi: 10.1056/NEJMoa1509277. Epub 2016 Jun 12. PMID: 27292104; PMCID: PMC5594743.</w:t>
            </w:r>
          </w:p>
        </w:tc>
      </w:tr>
      <w:tr w:rsidR="00542C3C" w:rsidRPr="00C7556C" w14:paraId="513F011E" w14:textId="77777777" w:rsidTr="009622A0">
        <w:trPr>
          <w:trHeight w:val="1430"/>
        </w:trPr>
        <w:tc>
          <w:tcPr>
            <w:tcW w:w="780" w:type="dxa"/>
            <w:shd w:val="clear" w:color="auto" w:fill="FFFFFF" w:themeFill="background1"/>
            <w:noWrap/>
            <w:vAlign w:val="center"/>
            <w:hideMark/>
          </w:tcPr>
          <w:p w14:paraId="7676711A"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lastRenderedPageBreak/>
              <w:t>A-65</w:t>
            </w:r>
          </w:p>
        </w:tc>
        <w:tc>
          <w:tcPr>
            <w:tcW w:w="1560" w:type="dxa"/>
            <w:shd w:val="clear" w:color="auto" w:fill="FFFFFF" w:themeFill="background1"/>
            <w:noWrap/>
            <w:vAlign w:val="center"/>
            <w:hideMark/>
          </w:tcPr>
          <w:p w14:paraId="38DDEC21"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NCT03043872</w:t>
            </w:r>
          </w:p>
        </w:tc>
        <w:tc>
          <w:tcPr>
            <w:tcW w:w="1879" w:type="dxa"/>
            <w:shd w:val="clear" w:color="auto" w:fill="FFFFFF" w:themeFill="background1"/>
            <w:vAlign w:val="center"/>
            <w:hideMark/>
          </w:tcPr>
          <w:p w14:paraId="34B8873B"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Durvalumab plus Platinum-Etoposide</w:t>
            </w:r>
          </w:p>
        </w:tc>
        <w:tc>
          <w:tcPr>
            <w:tcW w:w="2458" w:type="dxa"/>
            <w:shd w:val="clear" w:color="auto" w:fill="FFFFFF" w:themeFill="background1"/>
            <w:noWrap/>
            <w:vAlign w:val="center"/>
            <w:hideMark/>
          </w:tcPr>
          <w:p w14:paraId="2628A2B9"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Small cell lung cancer</w:t>
            </w:r>
          </w:p>
        </w:tc>
        <w:tc>
          <w:tcPr>
            <w:tcW w:w="6543" w:type="dxa"/>
            <w:shd w:val="clear" w:color="auto" w:fill="FFFFFF" w:themeFill="background1"/>
            <w:vAlign w:val="center"/>
            <w:hideMark/>
          </w:tcPr>
          <w:p w14:paraId="7FF76733"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Paz-Ares L, Dvorkin M, Chen Y, Reinmuth N, Hotta K, Trukhin D, Statsenko G, Hochmair MJ, Özgüroğlu M, Ji JH, Voitko O, Poltoratskiy A, Ponce S, Verderame F, Havel L, Bondarenko I, Kazarnowicz A, Losonczy G, Conev NV, Armstrong J, Byrne N, Shire N, Jiang H, Goldman JW; CASPIAN investigators. Durvalumab plus platinum-etoposide versus platinum-etoposide in first-line treatment of extensive-stage small-cell lung cancer (CASPIAN): a randomised, controlled, open-label, phase 3 trial. Lancet. 2019 Nov 23;394(10212):1929-1939. doi: 10.1016/S0140-6736(19)32222-6. Epub 2019 Oct 4. PMID: 31590988.</w:t>
            </w:r>
          </w:p>
        </w:tc>
      </w:tr>
      <w:tr w:rsidR="00542C3C" w:rsidRPr="00C7556C" w14:paraId="4DB4C3CB" w14:textId="77777777" w:rsidTr="009622A0">
        <w:trPr>
          <w:trHeight w:val="1630"/>
        </w:trPr>
        <w:tc>
          <w:tcPr>
            <w:tcW w:w="780" w:type="dxa"/>
            <w:shd w:val="clear" w:color="auto" w:fill="FFFFFF" w:themeFill="background1"/>
            <w:noWrap/>
            <w:vAlign w:val="center"/>
            <w:hideMark/>
          </w:tcPr>
          <w:p w14:paraId="791AC3D2" w14:textId="77777777" w:rsidR="00542C3C" w:rsidRPr="00C7556C" w:rsidRDefault="00542C3C" w:rsidP="009622A0">
            <w:pPr>
              <w:spacing w:after="0" w:line="240" w:lineRule="auto"/>
              <w:rPr>
                <w:rFonts w:ascii="Calibri" w:eastAsia="Times New Roman" w:hAnsi="Calibri" w:cs="Calibri"/>
                <w:noProof w:val="0"/>
                <w:color w:val="000000"/>
              </w:rPr>
            </w:pPr>
            <w:r w:rsidRPr="00C7556C">
              <w:rPr>
                <w:rFonts w:ascii="Calibri" w:eastAsia="Times New Roman" w:hAnsi="Calibri" w:cs="Calibri"/>
                <w:noProof w:val="0"/>
                <w:color w:val="000000"/>
              </w:rPr>
              <w:t>A-66</w:t>
            </w:r>
          </w:p>
        </w:tc>
        <w:tc>
          <w:tcPr>
            <w:tcW w:w="1560" w:type="dxa"/>
            <w:shd w:val="clear" w:color="auto" w:fill="FFFFFF" w:themeFill="background1"/>
            <w:noWrap/>
            <w:vAlign w:val="center"/>
            <w:hideMark/>
          </w:tcPr>
          <w:p w14:paraId="12D74D06"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NCT02872116</w:t>
            </w:r>
          </w:p>
        </w:tc>
        <w:tc>
          <w:tcPr>
            <w:tcW w:w="1879" w:type="dxa"/>
            <w:shd w:val="clear" w:color="auto" w:fill="FFFFFF" w:themeFill="background1"/>
            <w:vAlign w:val="center"/>
            <w:hideMark/>
          </w:tcPr>
          <w:p w14:paraId="68B28ADC"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Nivolumab plus XELOX or FOLFOX</w:t>
            </w:r>
          </w:p>
        </w:tc>
        <w:tc>
          <w:tcPr>
            <w:tcW w:w="2458" w:type="dxa"/>
            <w:shd w:val="clear" w:color="auto" w:fill="FFFFFF" w:themeFill="background1"/>
            <w:noWrap/>
            <w:vAlign w:val="center"/>
            <w:hideMark/>
          </w:tcPr>
          <w:p w14:paraId="24861628"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Gastric cancer</w:t>
            </w:r>
          </w:p>
        </w:tc>
        <w:tc>
          <w:tcPr>
            <w:tcW w:w="6543" w:type="dxa"/>
            <w:shd w:val="clear" w:color="auto" w:fill="FFFFFF" w:themeFill="background1"/>
            <w:vAlign w:val="center"/>
            <w:hideMark/>
          </w:tcPr>
          <w:p w14:paraId="470CB627"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Janjigian YY, Shitara K, Moehler M, Garrido M, Salman P, Shen L, Wyrwicz L, Yamaguchi K, Skoczylas T, Campos Bragagnoli A, Liu T, Schenker M, Yanez P, Tehfe M, Kowalyszyn R, Karamouzis MV, Bruges R, Zander T, Pazo-Cid R, Hitre E, Feeney K, Cleary JM, Poulart V, Cullen D, Lei M, Xiao H, Kondo K, Li M, Ajani JA. First-line nivolumab plus chemotherapy versus chemotherapy alone for advanced gastric, gastro-oesophageal junction, and oesophageal adenocarcinoma (CheckMate 649): a randomised, open-label, phase 3 trial. Lancet. 2021 Jul 3;398(10294):27-40. doi: 10.1016/S0140-6736(21)00797-2. Epub 2021 Jun 5. PMID: 34102137; PMCID: PMC8436782.</w:t>
            </w:r>
          </w:p>
        </w:tc>
      </w:tr>
      <w:tr w:rsidR="00542C3C" w:rsidRPr="00C7556C" w14:paraId="76509F43" w14:textId="77777777" w:rsidTr="009622A0">
        <w:trPr>
          <w:trHeight w:val="1230"/>
        </w:trPr>
        <w:tc>
          <w:tcPr>
            <w:tcW w:w="780" w:type="dxa"/>
            <w:shd w:val="clear" w:color="auto" w:fill="FFFFFF" w:themeFill="background1"/>
            <w:noWrap/>
            <w:vAlign w:val="center"/>
            <w:hideMark/>
          </w:tcPr>
          <w:p w14:paraId="2AC8237B"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A-67</w:t>
            </w:r>
          </w:p>
        </w:tc>
        <w:tc>
          <w:tcPr>
            <w:tcW w:w="1560" w:type="dxa"/>
            <w:shd w:val="clear" w:color="auto" w:fill="FFFFFF" w:themeFill="background1"/>
            <w:noWrap/>
            <w:vAlign w:val="center"/>
            <w:hideMark/>
          </w:tcPr>
          <w:p w14:paraId="5B05EC44"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NCT02993523</w:t>
            </w:r>
          </w:p>
        </w:tc>
        <w:tc>
          <w:tcPr>
            <w:tcW w:w="1879" w:type="dxa"/>
            <w:shd w:val="clear" w:color="auto" w:fill="FFFFFF" w:themeFill="background1"/>
            <w:vAlign w:val="center"/>
            <w:hideMark/>
          </w:tcPr>
          <w:p w14:paraId="0D45CA97"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Venetoclax plus azacitidine</w:t>
            </w:r>
          </w:p>
        </w:tc>
        <w:tc>
          <w:tcPr>
            <w:tcW w:w="2458" w:type="dxa"/>
            <w:shd w:val="clear" w:color="auto" w:fill="FFFFFF" w:themeFill="background1"/>
            <w:noWrap/>
            <w:vAlign w:val="center"/>
            <w:hideMark/>
          </w:tcPr>
          <w:p w14:paraId="4979CD2F"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Acute myeloid leukemia</w:t>
            </w:r>
          </w:p>
        </w:tc>
        <w:tc>
          <w:tcPr>
            <w:tcW w:w="6543" w:type="dxa"/>
            <w:shd w:val="clear" w:color="auto" w:fill="FFFFFF" w:themeFill="background1"/>
            <w:vAlign w:val="center"/>
            <w:hideMark/>
          </w:tcPr>
          <w:p w14:paraId="60C1651B"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DiNardo CD, Jonas BA, Pullarkat V, Thirman MJ, Garcia JS, Wei AH, Konopleva M, Döhner H, Letai A, Fenaux P, Koller E, Havelange V, Leber B, Esteve J, Wang J, Pejsa V, Hájek R, Porkka K, Illés Á, Lavie D, Lemoli RM, Yamamoto K, Yoon SS, Jang JH, Yeh SP, Turgut M, Hong WJ, Zhou Y, Potluri J, Pratz KW. Azacitidine and Venetoclax in Previously Untreated Acute Myeloid Leukemia. N Engl J Med. 2020 Aug 13;383(7):617-629. doi: 10.1056/NEJMoa2012971. PMID: 32786187.</w:t>
            </w:r>
          </w:p>
        </w:tc>
      </w:tr>
      <w:tr w:rsidR="00542C3C" w:rsidRPr="00C7556C" w14:paraId="1149C797" w14:textId="77777777" w:rsidTr="009622A0">
        <w:trPr>
          <w:trHeight w:val="1030"/>
        </w:trPr>
        <w:tc>
          <w:tcPr>
            <w:tcW w:w="780" w:type="dxa"/>
            <w:shd w:val="clear" w:color="auto" w:fill="FFFFFF" w:themeFill="background1"/>
            <w:noWrap/>
            <w:vAlign w:val="center"/>
            <w:hideMark/>
          </w:tcPr>
          <w:p w14:paraId="0DFAC11C"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A-68</w:t>
            </w:r>
          </w:p>
        </w:tc>
        <w:tc>
          <w:tcPr>
            <w:tcW w:w="1560" w:type="dxa"/>
            <w:shd w:val="clear" w:color="auto" w:fill="FFFFFF" w:themeFill="background1"/>
            <w:noWrap/>
            <w:vAlign w:val="center"/>
            <w:hideMark/>
          </w:tcPr>
          <w:p w14:paraId="67CEF4B5"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NCT00803062</w:t>
            </w:r>
          </w:p>
        </w:tc>
        <w:tc>
          <w:tcPr>
            <w:tcW w:w="1879" w:type="dxa"/>
            <w:shd w:val="clear" w:color="auto" w:fill="FFFFFF" w:themeFill="background1"/>
            <w:vAlign w:val="center"/>
            <w:hideMark/>
          </w:tcPr>
          <w:p w14:paraId="098EC409"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 xml:space="preserve">Bevacizumab plus chemotherapy </w:t>
            </w:r>
          </w:p>
        </w:tc>
        <w:tc>
          <w:tcPr>
            <w:tcW w:w="2458" w:type="dxa"/>
            <w:shd w:val="clear" w:color="auto" w:fill="FFFFFF" w:themeFill="background1"/>
            <w:noWrap/>
            <w:vAlign w:val="center"/>
            <w:hideMark/>
          </w:tcPr>
          <w:p w14:paraId="45033F8C"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Cervical cancer</w:t>
            </w:r>
          </w:p>
        </w:tc>
        <w:tc>
          <w:tcPr>
            <w:tcW w:w="6543" w:type="dxa"/>
            <w:shd w:val="clear" w:color="auto" w:fill="FFFFFF" w:themeFill="background1"/>
            <w:vAlign w:val="center"/>
            <w:hideMark/>
          </w:tcPr>
          <w:p w14:paraId="28A9B321"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Tewari KS, Sill MW, Long HJ 3rd, Penson RT, Huang H, Ramondetta LM, Landrum LM, Oaknin A, Reid TJ, Leitao MM, Michael HE, Monk BJ. Improved survival with bevacizumab in advanced cervical cancer. N Engl J Med. 2014 Feb 20;370(8):734-43. doi: 10.1056/NEJMoa1309748. Erratum in: N Engl J Med. 2017 Aug 17;377(7):702. PMID: 24552320; PMCID: PMC4010094.</w:t>
            </w:r>
          </w:p>
        </w:tc>
      </w:tr>
      <w:tr w:rsidR="00542C3C" w:rsidRPr="00C7556C" w14:paraId="315047C8" w14:textId="77777777" w:rsidTr="009622A0">
        <w:trPr>
          <w:trHeight w:val="830"/>
        </w:trPr>
        <w:tc>
          <w:tcPr>
            <w:tcW w:w="780" w:type="dxa"/>
            <w:shd w:val="clear" w:color="auto" w:fill="FFFFFF" w:themeFill="background1"/>
            <w:noWrap/>
            <w:vAlign w:val="center"/>
            <w:hideMark/>
          </w:tcPr>
          <w:p w14:paraId="567AB416"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A-69</w:t>
            </w:r>
          </w:p>
        </w:tc>
        <w:tc>
          <w:tcPr>
            <w:tcW w:w="1560" w:type="dxa"/>
            <w:shd w:val="clear" w:color="auto" w:fill="FFFFFF" w:themeFill="background1"/>
            <w:noWrap/>
            <w:vAlign w:val="center"/>
            <w:hideMark/>
          </w:tcPr>
          <w:p w14:paraId="3C5B8DBA"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NCT00021060</w:t>
            </w:r>
          </w:p>
        </w:tc>
        <w:tc>
          <w:tcPr>
            <w:tcW w:w="1879" w:type="dxa"/>
            <w:shd w:val="clear" w:color="auto" w:fill="FFFFFF" w:themeFill="background1"/>
            <w:vAlign w:val="center"/>
            <w:hideMark/>
          </w:tcPr>
          <w:p w14:paraId="1F58FB54"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Bevacizumab plus paclitaxel and carboplatin</w:t>
            </w:r>
          </w:p>
        </w:tc>
        <w:tc>
          <w:tcPr>
            <w:tcW w:w="2458" w:type="dxa"/>
            <w:shd w:val="clear" w:color="auto" w:fill="FFFFFF" w:themeFill="background1"/>
            <w:noWrap/>
            <w:vAlign w:val="center"/>
            <w:hideMark/>
          </w:tcPr>
          <w:p w14:paraId="33AE886D"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Non-small cell lung cancer</w:t>
            </w:r>
          </w:p>
        </w:tc>
        <w:tc>
          <w:tcPr>
            <w:tcW w:w="6543" w:type="dxa"/>
            <w:shd w:val="clear" w:color="auto" w:fill="FFFFFF" w:themeFill="background1"/>
            <w:vAlign w:val="center"/>
            <w:hideMark/>
          </w:tcPr>
          <w:p w14:paraId="49B49F4E"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Sandler A, Gray R, Perry MC, Brahmer J, Schiller JH, Dowlati A, Lilenbaum R, Johnson DH. Paclitaxel-carboplatin alone or with bevacizumab for non-small-cell lung cancer. N Engl J Med. 2006 Dec 14;355(24):2542-50. doi: 10.1056/NEJMoa061884. Erratum in: N Engl J Med. 2007 Jan 18;356(3):318. PMID: 17167137.</w:t>
            </w:r>
          </w:p>
        </w:tc>
      </w:tr>
      <w:tr w:rsidR="00542C3C" w:rsidRPr="00C7556C" w14:paraId="153666BA" w14:textId="77777777" w:rsidTr="009622A0">
        <w:trPr>
          <w:trHeight w:val="1030"/>
        </w:trPr>
        <w:tc>
          <w:tcPr>
            <w:tcW w:w="780" w:type="dxa"/>
            <w:shd w:val="clear" w:color="auto" w:fill="FFFFFF" w:themeFill="background1"/>
            <w:noWrap/>
            <w:vAlign w:val="center"/>
            <w:hideMark/>
          </w:tcPr>
          <w:p w14:paraId="6FDE9254"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A-70</w:t>
            </w:r>
          </w:p>
        </w:tc>
        <w:tc>
          <w:tcPr>
            <w:tcW w:w="1560" w:type="dxa"/>
            <w:shd w:val="clear" w:color="auto" w:fill="FFFFFF" w:themeFill="background1"/>
            <w:noWrap/>
            <w:vAlign w:val="center"/>
            <w:hideMark/>
          </w:tcPr>
          <w:p w14:paraId="48A09614"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NCT00829166</w:t>
            </w:r>
          </w:p>
        </w:tc>
        <w:tc>
          <w:tcPr>
            <w:tcW w:w="1879" w:type="dxa"/>
            <w:shd w:val="clear" w:color="auto" w:fill="FFFFFF" w:themeFill="background1"/>
            <w:vAlign w:val="center"/>
            <w:hideMark/>
          </w:tcPr>
          <w:p w14:paraId="53AA56F4"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T-DM1 (Trastuzumab emtansine)</w:t>
            </w:r>
          </w:p>
        </w:tc>
        <w:tc>
          <w:tcPr>
            <w:tcW w:w="2458" w:type="dxa"/>
            <w:shd w:val="clear" w:color="auto" w:fill="FFFFFF" w:themeFill="background1"/>
            <w:noWrap/>
            <w:vAlign w:val="center"/>
            <w:hideMark/>
          </w:tcPr>
          <w:p w14:paraId="48D6B8BD"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Breast cancer</w:t>
            </w:r>
          </w:p>
        </w:tc>
        <w:tc>
          <w:tcPr>
            <w:tcW w:w="6543" w:type="dxa"/>
            <w:shd w:val="clear" w:color="auto" w:fill="FFFFFF" w:themeFill="background1"/>
            <w:vAlign w:val="center"/>
            <w:hideMark/>
          </w:tcPr>
          <w:p w14:paraId="707A0C4A"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Verma S, Miles D, Gianni L, Krop IE, Welslau M, Baselga J, Pegram M, Oh DY, Diéras V, Guardino E, Fang L, Lu MW, Olsen S, Blackwell K; EMILIA Study Group. Trastuzumab emtansine for HER2-positive advanced breast cancer. N Engl J Med. 2012 Nov 8;367(19):1783-91. doi: 10.1056/NEJMoa1209124. Epub 2012 Oct 1. Erratum in: N Engl J Med. 2013 Jun 20;368(25):2442. PMID: 23020162; PMCID: PMC5125250.</w:t>
            </w:r>
          </w:p>
        </w:tc>
      </w:tr>
      <w:tr w:rsidR="00542C3C" w:rsidRPr="00C7556C" w14:paraId="0A80D1BA" w14:textId="77777777" w:rsidTr="009622A0">
        <w:trPr>
          <w:trHeight w:val="1430"/>
        </w:trPr>
        <w:tc>
          <w:tcPr>
            <w:tcW w:w="780" w:type="dxa"/>
            <w:shd w:val="clear" w:color="auto" w:fill="FFFFFF" w:themeFill="background1"/>
            <w:noWrap/>
            <w:vAlign w:val="center"/>
            <w:hideMark/>
          </w:tcPr>
          <w:p w14:paraId="630F9A27"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A-71</w:t>
            </w:r>
          </w:p>
        </w:tc>
        <w:tc>
          <w:tcPr>
            <w:tcW w:w="1560" w:type="dxa"/>
            <w:shd w:val="clear" w:color="auto" w:fill="FFFFFF" w:themeFill="background1"/>
            <w:noWrap/>
            <w:vAlign w:val="center"/>
            <w:hideMark/>
          </w:tcPr>
          <w:p w14:paraId="6899A6ED"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NCT02928224</w:t>
            </w:r>
          </w:p>
        </w:tc>
        <w:tc>
          <w:tcPr>
            <w:tcW w:w="1879" w:type="dxa"/>
            <w:shd w:val="clear" w:color="auto" w:fill="FFFFFF" w:themeFill="background1"/>
            <w:vAlign w:val="center"/>
            <w:hideMark/>
          </w:tcPr>
          <w:p w14:paraId="69A5CD5A"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Encorafenib plus cetuximab</w:t>
            </w:r>
          </w:p>
        </w:tc>
        <w:tc>
          <w:tcPr>
            <w:tcW w:w="2458" w:type="dxa"/>
            <w:shd w:val="clear" w:color="auto" w:fill="FFFFFF" w:themeFill="background1"/>
            <w:noWrap/>
            <w:vAlign w:val="center"/>
            <w:hideMark/>
          </w:tcPr>
          <w:p w14:paraId="18C3EE2F"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Colorectal cancer</w:t>
            </w:r>
          </w:p>
        </w:tc>
        <w:tc>
          <w:tcPr>
            <w:tcW w:w="6543" w:type="dxa"/>
            <w:shd w:val="clear" w:color="auto" w:fill="FFFFFF" w:themeFill="background1"/>
            <w:vAlign w:val="center"/>
            <w:hideMark/>
          </w:tcPr>
          <w:p w14:paraId="2F95378C"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Kopetz S, Grothey A, Yaeger R, Van Cutsem E, Desai J, Yoshino T, Wasan H, Ciardiello F, Loupakis F, Hong YS, Steeghs N, Guren TK, Arkenau HT, Garcia-Alfonso P, Pfeiffer P, Orlov S, Lonardi S, Elez E, Kim TW, Schellens JHM, Guo C, Krishnan A, Dekervel J, Morris V, Calvo Ferrandiz A, Tarpgaard LS, Braun M, Gollerkeri A, Keir C, Maharry K, Pickard M, Christy-Bittel J, Anderson L, Sandor V, Tabernero J. Encorafenib, Binimetinib, and Cetuximab in BRAF V600E-Mutated Colorectal Cancer. N Engl J Med. 2019 Oct 24;381(17):1632-1643. doi: 10.1056/NEJMoa1908075. Epub 2019 Sep 30. PMID: 31566309.</w:t>
            </w:r>
          </w:p>
        </w:tc>
      </w:tr>
      <w:tr w:rsidR="00542C3C" w:rsidRPr="00C7556C" w14:paraId="625804E5" w14:textId="77777777" w:rsidTr="009622A0">
        <w:trPr>
          <w:trHeight w:val="1030"/>
        </w:trPr>
        <w:tc>
          <w:tcPr>
            <w:tcW w:w="780" w:type="dxa"/>
            <w:shd w:val="clear" w:color="auto" w:fill="FFFFFF" w:themeFill="background1"/>
            <w:noWrap/>
            <w:vAlign w:val="center"/>
            <w:hideMark/>
          </w:tcPr>
          <w:p w14:paraId="0AFA7436"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A-72</w:t>
            </w:r>
          </w:p>
        </w:tc>
        <w:tc>
          <w:tcPr>
            <w:tcW w:w="1560" w:type="dxa"/>
            <w:shd w:val="clear" w:color="auto" w:fill="FFFFFF" w:themeFill="background1"/>
            <w:noWrap/>
            <w:vAlign w:val="center"/>
            <w:hideMark/>
          </w:tcPr>
          <w:p w14:paraId="4548F277"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NCT02425891</w:t>
            </w:r>
          </w:p>
        </w:tc>
        <w:tc>
          <w:tcPr>
            <w:tcW w:w="1879" w:type="dxa"/>
            <w:shd w:val="clear" w:color="auto" w:fill="FFFFFF" w:themeFill="background1"/>
            <w:vAlign w:val="center"/>
            <w:hideMark/>
          </w:tcPr>
          <w:p w14:paraId="1A8A9793"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Atezolizumab plus nab-paclitaxel</w:t>
            </w:r>
          </w:p>
        </w:tc>
        <w:tc>
          <w:tcPr>
            <w:tcW w:w="2458" w:type="dxa"/>
            <w:shd w:val="clear" w:color="auto" w:fill="FFFFFF" w:themeFill="background1"/>
            <w:noWrap/>
            <w:vAlign w:val="center"/>
            <w:hideMark/>
          </w:tcPr>
          <w:p w14:paraId="51E59BCC"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Breast cancer</w:t>
            </w:r>
          </w:p>
        </w:tc>
        <w:tc>
          <w:tcPr>
            <w:tcW w:w="6543" w:type="dxa"/>
            <w:shd w:val="clear" w:color="auto" w:fill="FFFFFF" w:themeFill="background1"/>
            <w:vAlign w:val="center"/>
            <w:hideMark/>
          </w:tcPr>
          <w:p w14:paraId="7096C031"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Schmid P, Adams S, Rugo HS, Schneeweiss A, Barrios CH, Iwata H, Diéras V, Hegg R, Im SA, Shaw Wright G, Henschel V, Molinero L, Chui SY, Funke R, Husain A, Winer EP, Loi S, Emens LA; IMpassion130 Trial Investigators. Atezolizumab and Nab-Paclitaxel in Advanced Triple-Negative Breast Cancer. N Engl J Med. 2018 Nov 29;379(22):2108-2121. doi: 10.1056/NEJMoa1809615. Epub 2018 Oct 20. PMID: 30345906.</w:t>
            </w:r>
          </w:p>
        </w:tc>
      </w:tr>
      <w:tr w:rsidR="00542C3C" w:rsidRPr="00C7556C" w14:paraId="04C7C8F6" w14:textId="77777777" w:rsidTr="009622A0">
        <w:trPr>
          <w:trHeight w:val="1230"/>
        </w:trPr>
        <w:tc>
          <w:tcPr>
            <w:tcW w:w="780" w:type="dxa"/>
            <w:shd w:val="clear" w:color="auto" w:fill="FFFFFF" w:themeFill="background1"/>
            <w:noWrap/>
            <w:vAlign w:val="center"/>
            <w:hideMark/>
          </w:tcPr>
          <w:p w14:paraId="65C0B103"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lastRenderedPageBreak/>
              <w:t>A-73</w:t>
            </w:r>
          </w:p>
        </w:tc>
        <w:tc>
          <w:tcPr>
            <w:tcW w:w="1560" w:type="dxa"/>
            <w:shd w:val="clear" w:color="auto" w:fill="FFFFFF" w:themeFill="background1"/>
            <w:noWrap/>
            <w:vAlign w:val="center"/>
            <w:hideMark/>
          </w:tcPr>
          <w:p w14:paraId="2C53A88B"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NCT01905657</w:t>
            </w:r>
          </w:p>
        </w:tc>
        <w:tc>
          <w:tcPr>
            <w:tcW w:w="1879" w:type="dxa"/>
            <w:shd w:val="clear" w:color="auto" w:fill="FFFFFF" w:themeFill="background1"/>
            <w:vAlign w:val="center"/>
            <w:hideMark/>
          </w:tcPr>
          <w:p w14:paraId="207597EB"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Pembrolizumab (10mg/kg)</w:t>
            </w:r>
          </w:p>
        </w:tc>
        <w:tc>
          <w:tcPr>
            <w:tcW w:w="2458" w:type="dxa"/>
            <w:shd w:val="clear" w:color="auto" w:fill="FFFFFF" w:themeFill="background1"/>
            <w:noWrap/>
            <w:vAlign w:val="center"/>
            <w:hideMark/>
          </w:tcPr>
          <w:p w14:paraId="5A51C76B"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Non-small cell lung cancer</w:t>
            </w:r>
          </w:p>
        </w:tc>
        <w:tc>
          <w:tcPr>
            <w:tcW w:w="6543" w:type="dxa"/>
            <w:shd w:val="clear" w:color="auto" w:fill="FFFFFF" w:themeFill="background1"/>
            <w:vAlign w:val="center"/>
            <w:hideMark/>
          </w:tcPr>
          <w:p w14:paraId="0E5C44CB"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Herbst RS, Baas P, Kim DW, Felip E, Pérez-Gracia JL, Han JY, Molina J, Kim JH, Arvis CD, Ahn MJ, Majem M, Fidler MJ, de Castro G Jr, Garrido M, Lubiniecki GM, Shentu Y, Im E, Dolled-Filhart M, Garon EB. Pembrolizumab versus docetaxel for previously treated, PD-L1-positive, advanced non-small-cell lung cancer (KEYNOTE-010): a randomised controlled trial. Lancet. 2016 Apr 9;387(10027):1540-1550. doi: 10.1016/S0140-6736(15)01281-7. Epub 2015 Dec 19. PMID: 26712084.</w:t>
            </w:r>
          </w:p>
        </w:tc>
      </w:tr>
      <w:tr w:rsidR="00542C3C" w:rsidRPr="00C7556C" w14:paraId="497723A7" w14:textId="77777777" w:rsidTr="009622A0">
        <w:trPr>
          <w:trHeight w:val="1230"/>
        </w:trPr>
        <w:tc>
          <w:tcPr>
            <w:tcW w:w="780" w:type="dxa"/>
            <w:shd w:val="clear" w:color="auto" w:fill="FFFFFF" w:themeFill="background1"/>
            <w:noWrap/>
            <w:vAlign w:val="center"/>
            <w:hideMark/>
          </w:tcPr>
          <w:p w14:paraId="7F753518"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A-74</w:t>
            </w:r>
          </w:p>
        </w:tc>
        <w:tc>
          <w:tcPr>
            <w:tcW w:w="1560" w:type="dxa"/>
            <w:shd w:val="clear" w:color="auto" w:fill="FFFFFF" w:themeFill="background1"/>
            <w:noWrap/>
            <w:vAlign w:val="center"/>
            <w:hideMark/>
          </w:tcPr>
          <w:p w14:paraId="4E82CE9B"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NCT01905657</w:t>
            </w:r>
          </w:p>
        </w:tc>
        <w:tc>
          <w:tcPr>
            <w:tcW w:w="1879" w:type="dxa"/>
            <w:shd w:val="clear" w:color="auto" w:fill="FFFFFF" w:themeFill="background1"/>
            <w:vAlign w:val="center"/>
            <w:hideMark/>
          </w:tcPr>
          <w:p w14:paraId="0B3CF7F0"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Pembrolizumab (2mg/kg)</w:t>
            </w:r>
          </w:p>
        </w:tc>
        <w:tc>
          <w:tcPr>
            <w:tcW w:w="2458" w:type="dxa"/>
            <w:shd w:val="clear" w:color="auto" w:fill="FFFFFF" w:themeFill="background1"/>
            <w:noWrap/>
            <w:vAlign w:val="center"/>
            <w:hideMark/>
          </w:tcPr>
          <w:p w14:paraId="3D006DAE"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Non-small cell lung cancer</w:t>
            </w:r>
          </w:p>
        </w:tc>
        <w:tc>
          <w:tcPr>
            <w:tcW w:w="6543" w:type="dxa"/>
            <w:shd w:val="clear" w:color="auto" w:fill="FFFFFF" w:themeFill="background1"/>
            <w:vAlign w:val="center"/>
            <w:hideMark/>
          </w:tcPr>
          <w:p w14:paraId="547C8E97"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Herbst RS, Baas P, Kim DW, Felip E, Pérez-Gracia JL, Han JY, Molina J, Kim JH, Arvis CD, Ahn MJ, Majem M, Fidler MJ, de Castro G Jr, Garrido M, Lubiniecki GM, Shentu Y, Im E, Dolled-Filhart M, Garon EB. Pembrolizumab versus docetaxel for previously treated, PD-L1-positive, advanced non-small-cell lung cancer (KEYNOTE-010): a randomised controlled trial. Lancet. 2016 Apr 9;387(10027):1540-1550. doi: 10.1016/S0140-6736(15)01281-7. Epub 2015 Dec 19. PMID: 26712084.</w:t>
            </w:r>
          </w:p>
        </w:tc>
      </w:tr>
      <w:tr w:rsidR="00542C3C" w:rsidRPr="00C7556C" w14:paraId="4498D11D" w14:textId="77777777" w:rsidTr="009622A0">
        <w:trPr>
          <w:trHeight w:val="1630"/>
        </w:trPr>
        <w:tc>
          <w:tcPr>
            <w:tcW w:w="780" w:type="dxa"/>
            <w:shd w:val="clear" w:color="auto" w:fill="FFFFFF" w:themeFill="background1"/>
            <w:noWrap/>
            <w:vAlign w:val="center"/>
            <w:hideMark/>
          </w:tcPr>
          <w:p w14:paraId="7A9F8D9D"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A-75</w:t>
            </w:r>
          </w:p>
        </w:tc>
        <w:tc>
          <w:tcPr>
            <w:tcW w:w="1560" w:type="dxa"/>
            <w:shd w:val="clear" w:color="auto" w:fill="FFFFFF" w:themeFill="background1"/>
            <w:noWrap/>
            <w:vAlign w:val="center"/>
            <w:hideMark/>
          </w:tcPr>
          <w:p w14:paraId="5608B8F8"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NCT02008227</w:t>
            </w:r>
          </w:p>
        </w:tc>
        <w:tc>
          <w:tcPr>
            <w:tcW w:w="1879" w:type="dxa"/>
            <w:shd w:val="clear" w:color="auto" w:fill="FFFFFF" w:themeFill="background1"/>
            <w:vAlign w:val="center"/>
            <w:hideMark/>
          </w:tcPr>
          <w:p w14:paraId="27ACE287"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Atezolizumab</w:t>
            </w:r>
          </w:p>
        </w:tc>
        <w:tc>
          <w:tcPr>
            <w:tcW w:w="2458" w:type="dxa"/>
            <w:shd w:val="clear" w:color="auto" w:fill="FFFFFF" w:themeFill="background1"/>
            <w:noWrap/>
            <w:vAlign w:val="center"/>
            <w:hideMark/>
          </w:tcPr>
          <w:p w14:paraId="2E7B261E"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Non-small cell lung cancer</w:t>
            </w:r>
          </w:p>
        </w:tc>
        <w:tc>
          <w:tcPr>
            <w:tcW w:w="6543" w:type="dxa"/>
            <w:shd w:val="clear" w:color="auto" w:fill="FFFFFF" w:themeFill="background1"/>
            <w:vAlign w:val="center"/>
            <w:hideMark/>
          </w:tcPr>
          <w:p w14:paraId="457214E8"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Rittmeyer A, Barlesi F, Waterkamp D, Park K, Ciardiello F, von Pawel J, Gadgeel SM, Hida T, Kowalski DM, Dols MC, Cortinovis DL, Leach J, Polikoff J, Barrios C, Kabbinavar F, Frontera OA, De Marinis F, Turna H, Lee JS, Ballinger M, Kowanetz M, He P, Chen DS, Sandler A, Gandara DR; OAK Study Group. Atezolizumab versus docetaxel in patients with previously treated non-small-cell lung cancer (OAK): a phase 3, open-label, multicentre randomised controlled trial. Lancet. 2017 Jan 21;389(10066):255-265. doi: 10.1016/S0140-6736(16)32517-X. Epub 2016 Dec 13. Erratum in: Lancet. 2017 Apr 8;389(10077):e5. PMID: 27979383; PMCID: PMC6886121.</w:t>
            </w:r>
          </w:p>
        </w:tc>
      </w:tr>
      <w:tr w:rsidR="00542C3C" w:rsidRPr="00C7556C" w14:paraId="212EEA4A" w14:textId="77777777" w:rsidTr="009622A0">
        <w:trPr>
          <w:trHeight w:val="1230"/>
        </w:trPr>
        <w:tc>
          <w:tcPr>
            <w:tcW w:w="780" w:type="dxa"/>
            <w:shd w:val="clear" w:color="auto" w:fill="FFFFFF" w:themeFill="background1"/>
            <w:noWrap/>
            <w:vAlign w:val="center"/>
            <w:hideMark/>
          </w:tcPr>
          <w:p w14:paraId="359B0E4B"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A-76</w:t>
            </w:r>
          </w:p>
        </w:tc>
        <w:tc>
          <w:tcPr>
            <w:tcW w:w="1560" w:type="dxa"/>
            <w:shd w:val="clear" w:color="auto" w:fill="FFFFFF" w:themeFill="background1"/>
            <w:noWrap/>
            <w:vAlign w:val="center"/>
            <w:hideMark/>
          </w:tcPr>
          <w:p w14:paraId="18801509"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NCT02256436</w:t>
            </w:r>
          </w:p>
        </w:tc>
        <w:tc>
          <w:tcPr>
            <w:tcW w:w="1879" w:type="dxa"/>
            <w:shd w:val="clear" w:color="auto" w:fill="FFFFFF" w:themeFill="background1"/>
            <w:vAlign w:val="center"/>
            <w:hideMark/>
          </w:tcPr>
          <w:p w14:paraId="04B3C02E"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Pembrolizumab</w:t>
            </w:r>
          </w:p>
        </w:tc>
        <w:tc>
          <w:tcPr>
            <w:tcW w:w="2458" w:type="dxa"/>
            <w:shd w:val="clear" w:color="auto" w:fill="FFFFFF" w:themeFill="background1"/>
            <w:noWrap/>
            <w:vAlign w:val="center"/>
            <w:hideMark/>
          </w:tcPr>
          <w:p w14:paraId="7EE06A3E"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Urothelial carcinoma</w:t>
            </w:r>
          </w:p>
        </w:tc>
        <w:tc>
          <w:tcPr>
            <w:tcW w:w="6543" w:type="dxa"/>
            <w:shd w:val="clear" w:color="auto" w:fill="FFFFFF" w:themeFill="background1"/>
            <w:vAlign w:val="center"/>
            <w:hideMark/>
          </w:tcPr>
          <w:p w14:paraId="0258BBF2"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Bellmunt J, de Wit R, Vaughn DJ, Fradet Y, Lee JL, Fong L, Vogelzang NJ, Climent MA, Petrylak DP, Choueiri TK, Necchi A, Gerritsen W, Gurney H, Quinn DI, Culine S, Sternberg CN, Mai Y, Poehlein CH, Perini RF, Bajorin DF; KEYNOTE-045 Investigators. Pembrolizumab as Second-Line Therapy for Advanced Urothelial Carcinoma. N Engl J Med. 2017 Mar 16;376(11):1015-1026. doi: 10.1056/NEJMoa1613683. Epub 2017 Feb 17. PMID: 28212060; PMCID: PMC5635424.</w:t>
            </w:r>
          </w:p>
        </w:tc>
      </w:tr>
      <w:tr w:rsidR="00542C3C" w:rsidRPr="00C7556C" w14:paraId="59A61653" w14:textId="77777777" w:rsidTr="009622A0">
        <w:trPr>
          <w:trHeight w:val="1430"/>
        </w:trPr>
        <w:tc>
          <w:tcPr>
            <w:tcW w:w="780" w:type="dxa"/>
            <w:shd w:val="clear" w:color="auto" w:fill="FFFFFF" w:themeFill="background1"/>
            <w:noWrap/>
            <w:vAlign w:val="center"/>
            <w:hideMark/>
          </w:tcPr>
          <w:p w14:paraId="1FDED548" w14:textId="77777777" w:rsidR="00542C3C" w:rsidRPr="00C7556C" w:rsidRDefault="00542C3C" w:rsidP="009622A0">
            <w:pPr>
              <w:spacing w:after="0" w:line="240" w:lineRule="auto"/>
              <w:rPr>
                <w:rFonts w:ascii="Arial" w:eastAsia="Times New Roman" w:hAnsi="Arial" w:cs="Arial"/>
                <w:noProof w:val="0"/>
              </w:rPr>
            </w:pPr>
            <w:r w:rsidRPr="00C7556C">
              <w:rPr>
                <w:rFonts w:ascii="Arial" w:eastAsia="Times New Roman" w:hAnsi="Arial" w:cs="Arial"/>
                <w:noProof w:val="0"/>
              </w:rPr>
              <w:t>A-77</w:t>
            </w:r>
          </w:p>
        </w:tc>
        <w:tc>
          <w:tcPr>
            <w:tcW w:w="1560" w:type="dxa"/>
            <w:shd w:val="clear" w:color="auto" w:fill="FFFFFF" w:themeFill="background1"/>
            <w:noWrap/>
            <w:vAlign w:val="center"/>
            <w:hideMark/>
          </w:tcPr>
          <w:p w14:paraId="42A8DEB5"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NCT02358031</w:t>
            </w:r>
          </w:p>
        </w:tc>
        <w:tc>
          <w:tcPr>
            <w:tcW w:w="1879" w:type="dxa"/>
            <w:shd w:val="clear" w:color="auto" w:fill="FFFFFF" w:themeFill="background1"/>
            <w:vAlign w:val="center"/>
            <w:hideMark/>
          </w:tcPr>
          <w:p w14:paraId="63749E64"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Pembrolizumab plus platinum based chemotherapy and 5-FU</w:t>
            </w:r>
          </w:p>
        </w:tc>
        <w:tc>
          <w:tcPr>
            <w:tcW w:w="2458" w:type="dxa"/>
            <w:shd w:val="clear" w:color="auto" w:fill="FFFFFF" w:themeFill="background1"/>
            <w:noWrap/>
            <w:vAlign w:val="center"/>
            <w:hideMark/>
          </w:tcPr>
          <w:p w14:paraId="0BED5DF7"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Head and neck cancer</w:t>
            </w:r>
          </w:p>
        </w:tc>
        <w:tc>
          <w:tcPr>
            <w:tcW w:w="6543" w:type="dxa"/>
            <w:shd w:val="clear" w:color="auto" w:fill="FFFFFF" w:themeFill="background1"/>
            <w:vAlign w:val="center"/>
            <w:hideMark/>
          </w:tcPr>
          <w:p w14:paraId="2C3A74F8"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Burtness B, Rischin D, Greil R, Soulières D, Tahara M, de Castro G Jr, Psyrri A, Brana I, Basté N, Neupane P, Bratland Å, Fuereder T, Hughes BGM, Mesia R, Ngamphaiboon N, Rordorf T, Wan Ishak WZ, Ge J, Swaby RF, Gumuscu B, Harrington K. Pembrolizumab Alone or With Chemotherapy for Recurrent/Metastatic Head and Neck Squamous Cell Carcinoma in KEYNOTE-048: Subgroup Analysis by Programmed Death Ligand-1 Combined Positive Score. J Clin Oncol. 2022 Jul 20;40(21):2321-2332. doi: 10.1200/JCO.21.02198. Epub 2022 Mar 25. PMID: 35333599; PMCID: PMC9287281.</w:t>
            </w:r>
          </w:p>
        </w:tc>
      </w:tr>
      <w:tr w:rsidR="00542C3C" w:rsidRPr="00C7556C" w14:paraId="249DBA5D" w14:textId="77777777" w:rsidTr="009622A0">
        <w:trPr>
          <w:trHeight w:val="1430"/>
        </w:trPr>
        <w:tc>
          <w:tcPr>
            <w:tcW w:w="780" w:type="dxa"/>
            <w:shd w:val="clear" w:color="auto" w:fill="FFFFFF" w:themeFill="background1"/>
            <w:noWrap/>
            <w:vAlign w:val="center"/>
            <w:hideMark/>
          </w:tcPr>
          <w:p w14:paraId="53B34BE3"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A-78</w:t>
            </w:r>
          </w:p>
        </w:tc>
        <w:tc>
          <w:tcPr>
            <w:tcW w:w="1560" w:type="dxa"/>
            <w:shd w:val="clear" w:color="auto" w:fill="FFFFFF" w:themeFill="background1"/>
            <w:noWrap/>
            <w:vAlign w:val="center"/>
            <w:hideMark/>
          </w:tcPr>
          <w:p w14:paraId="20732639"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NCT02358031</w:t>
            </w:r>
          </w:p>
        </w:tc>
        <w:tc>
          <w:tcPr>
            <w:tcW w:w="1879" w:type="dxa"/>
            <w:shd w:val="clear" w:color="auto" w:fill="FFFFFF" w:themeFill="background1"/>
            <w:vAlign w:val="center"/>
            <w:hideMark/>
          </w:tcPr>
          <w:p w14:paraId="7C8E1B9D"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Pembrolizumab</w:t>
            </w:r>
          </w:p>
        </w:tc>
        <w:tc>
          <w:tcPr>
            <w:tcW w:w="2458" w:type="dxa"/>
            <w:shd w:val="clear" w:color="auto" w:fill="FFFFFF" w:themeFill="background1"/>
            <w:noWrap/>
            <w:vAlign w:val="center"/>
            <w:hideMark/>
          </w:tcPr>
          <w:p w14:paraId="72C65E1A"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Head and neck cancer</w:t>
            </w:r>
          </w:p>
        </w:tc>
        <w:tc>
          <w:tcPr>
            <w:tcW w:w="6543" w:type="dxa"/>
            <w:shd w:val="clear" w:color="auto" w:fill="FFFFFF" w:themeFill="background1"/>
            <w:vAlign w:val="center"/>
            <w:hideMark/>
          </w:tcPr>
          <w:p w14:paraId="3F150641"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Burtness B, Rischin D, Greil R, Soulières D, Tahara M, de Castro G Jr, Psyrri A, Brana I, Basté N, Neupane P, Bratland Å, Fuereder T, Hughes BGM, Mesia R, Ngamphaiboon N, Rordorf T, Wan Ishak WZ, Ge J, Swaby RF, Gumuscu B, Harrington K. Pembrolizumab Alone or With Chemotherapy for Recurrent/Metastatic Head and Neck Squamous Cell Carcinoma in KEYNOTE-048: Subgroup Analysis by Programmed Death Ligand-1 Combined Positive Score. J Clin Oncol. 2022 Jul 20;40(21):2321-2332. doi: 10.1200/JCO.21.02198. Epub 2022 Mar 25. PMID: 35333599; PMCID: PMC9287281.</w:t>
            </w:r>
          </w:p>
        </w:tc>
      </w:tr>
      <w:tr w:rsidR="00542C3C" w:rsidRPr="00C7556C" w14:paraId="4CEE79DD" w14:textId="77777777" w:rsidTr="009622A0">
        <w:trPr>
          <w:trHeight w:val="1430"/>
        </w:trPr>
        <w:tc>
          <w:tcPr>
            <w:tcW w:w="780" w:type="dxa"/>
            <w:shd w:val="clear" w:color="auto" w:fill="FFFFFF" w:themeFill="background1"/>
            <w:noWrap/>
            <w:vAlign w:val="center"/>
            <w:hideMark/>
          </w:tcPr>
          <w:p w14:paraId="520357F4"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A-79</w:t>
            </w:r>
          </w:p>
        </w:tc>
        <w:tc>
          <w:tcPr>
            <w:tcW w:w="1560" w:type="dxa"/>
            <w:shd w:val="clear" w:color="auto" w:fill="FFFFFF" w:themeFill="background1"/>
            <w:noWrap/>
            <w:vAlign w:val="center"/>
            <w:hideMark/>
          </w:tcPr>
          <w:p w14:paraId="65520122"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NCT02435433</w:t>
            </w:r>
          </w:p>
        </w:tc>
        <w:tc>
          <w:tcPr>
            <w:tcW w:w="1879" w:type="dxa"/>
            <w:shd w:val="clear" w:color="auto" w:fill="FFFFFF" w:themeFill="background1"/>
            <w:vAlign w:val="center"/>
            <w:hideMark/>
          </w:tcPr>
          <w:p w14:paraId="160258DC"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Ramucirumab</w:t>
            </w:r>
          </w:p>
        </w:tc>
        <w:tc>
          <w:tcPr>
            <w:tcW w:w="2458" w:type="dxa"/>
            <w:shd w:val="clear" w:color="auto" w:fill="FFFFFF" w:themeFill="background1"/>
            <w:noWrap/>
            <w:vAlign w:val="center"/>
            <w:hideMark/>
          </w:tcPr>
          <w:p w14:paraId="7317ABC9"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Hepatocellular carcinoma</w:t>
            </w:r>
          </w:p>
        </w:tc>
        <w:tc>
          <w:tcPr>
            <w:tcW w:w="6543" w:type="dxa"/>
            <w:shd w:val="clear" w:color="auto" w:fill="FFFFFF" w:themeFill="background1"/>
            <w:vAlign w:val="center"/>
            <w:hideMark/>
          </w:tcPr>
          <w:p w14:paraId="6E26433D" w14:textId="77777777" w:rsidR="00542C3C" w:rsidRPr="00C7556C" w:rsidRDefault="00542C3C" w:rsidP="009622A0">
            <w:pPr>
              <w:spacing w:after="0" w:line="240" w:lineRule="auto"/>
              <w:rPr>
                <w:rFonts w:ascii="Arial" w:eastAsia="Times New Roman" w:hAnsi="Arial" w:cs="Arial"/>
                <w:noProof w:val="0"/>
                <w:color w:val="000000"/>
              </w:rPr>
            </w:pPr>
            <w:r w:rsidRPr="00C7556C">
              <w:rPr>
                <w:rFonts w:ascii="Arial" w:eastAsia="Times New Roman" w:hAnsi="Arial" w:cs="Arial"/>
                <w:noProof w:val="0"/>
                <w:color w:val="000000"/>
              </w:rPr>
              <w:t>Zhu AX, Kang YK, Yen CJ, Finn RS, Galle PR, Llovet JM, Assenat E, Brandi G, Pracht M, Lim HY, Rau KM, Motomura K, Ohno I, Merle P, Daniele B, Shin DB, Gerken G, Borg C, Hiriart JB, Okusaka T, Morimoto M, Hsu Y, Abada PB, Kudo M; REACH-2 study investigators. Ramucirumab after sorafenib in patients with advanced hepatocellular carcinoma and increased α-fetoprotein concentrations (REACH-2): a randomised, double-blind, placebo-controlled, phase 3 trial. Lancet Oncol. 2019 Feb;20(2):282-296. doi: 10.1016/S1470-2045(18)30937-9. Epub 2019 Jan 18. PMID: 30665869.</w:t>
            </w:r>
          </w:p>
        </w:tc>
      </w:tr>
    </w:tbl>
    <w:p w14:paraId="73C5F31E" w14:textId="77777777" w:rsidR="00542C3C" w:rsidRDefault="00542C3C" w:rsidP="00542C3C">
      <w:pPr>
        <w:rPr>
          <w:rFonts w:ascii="Arial" w:hAnsi="Arial" w:cs="Arial"/>
          <w:sz w:val="22"/>
          <w:szCs w:val="22"/>
        </w:rPr>
      </w:pPr>
    </w:p>
    <w:p w14:paraId="0C0CABF4" w14:textId="77777777" w:rsidR="00542C3C" w:rsidRDefault="00542C3C" w:rsidP="00542C3C">
      <w:pPr>
        <w:rPr>
          <w:rFonts w:ascii="Arial" w:hAnsi="Arial" w:cs="Arial"/>
          <w:sz w:val="22"/>
          <w:szCs w:val="22"/>
        </w:rPr>
      </w:pPr>
      <w:r>
        <w:rPr>
          <w:rFonts w:ascii="Arial" w:hAnsi="Arial" w:cs="Arial"/>
          <w:sz w:val="22"/>
          <w:szCs w:val="22"/>
        </w:rPr>
        <w:br w:type="page"/>
      </w:r>
    </w:p>
    <w:p w14:paraId="5D2D7266" w14:textId="77777777" w:rsidR="00542C3C" w:rsidRPr="00C7556C" w:rsidRDefault="00542C3C" w:rsidP="00542C3C">
      <w:pPr>
        <w:rPr>
          <w:rFonts w:ascii="Arial" w:hAnsi="Arial" w:cs="Arial"/>
          <w:b/>
          <w:bCs/>
          <w:sz w:val="22"/>
          <w:szCs w:val="22"/>
        </w:rPr>
      </w:pPr>
      <w:r w:rsidRPr="00C7556C">
        <w:rPr>
          <w:rFonts w:ascii="Arial" w:hAnsi="Arial" w:cs="Arial"/>
          <w:b/>
          <w:bCs/>
          <w:sz w:val="22"/>
          <w:szCs w:val="22"/>
        </w:rPr>
        <w:lastRenderedPageBreak/>
        <w:t>FDA non-approved group</w:t>
      </w:r>
    </w:p>
    <w:tbl>
      <w:tblPr>
        <w:tblW w:w="13527" w:type="dxa"/>
        <w:tblBorders>
          <w:top w:val="single" w:sz="4" w:space="0" w:color="auto"/>
          <w:bottom w:val="single" w:sz="4" w:space="0" w:color="auto"/>
          <w:insideH w:val="single" w:sz="4" w:space="0" w:color="auto"/>
        </w:tblBorders>
        <w:tblLook w:val="04A0" w:firstRow="1" w:lastRow="0" w:firstColumn="1" w:lastColumn="0" w:noHBand="0" w:noVBand="1"/>
      </w:tblPr>
      <w:tblGrid>
        <w:gridCol w:w="741"/>
        <w:gridCol w:w="1257"/>
        <w:gridCol w:w="89"/>
        <w:gridCol w:w="2119"/>
        <w:gridCol w:w="89"/>
        <w:gridCol w:w="2605"/>
        <w:gridCol w:w="89"/>
        <w:gridCol w:w="6449"/>
        <w:gridCol w:w="89"/>
      </w:tblGrid>
      <w:tr w:rsidR="00542C3C" w:rsidRPr="00CD407E" w14:paraId="20E935B0" w14:textId="77777777" w:rsidTr="009622A0">
        <w:trPr>
          <w:gridAfter w:val="1"/>
          <w:wAfter w:w="89" w:type="dxa"/>
          <w:trHeight w:val="300"/>
        </w:trPr>
        <w:tc>
          <w:tcPr>
            <w:tcW w:w="741" w:type="dxa"/>
            <w:shd w:val="clear" w:color="auto" w:fill="auto"/>
            <w:noWrap/>
            <w:vAlign w:val="center"/>
            <w:hideMark/>
          </w:tcPr>
          <w:p w14:paraId="338AAD30" w14:textId="77777777" w:rsidR="00542C3C" w:rsidRPr="00CD407E" w:rsidRDefault="00542C3C" w:rsidP="009622A0">
            <w:pPr>
              <w:spacing w:after="0" w:line="240" w:lineRule="auto"/>
              <w:jc w:val="center"/>
              <w:rPr>
                <w:rFonts w:ascii="Arial" w:eastAsia="Times New Roman" w:hAnsi="Arial" w:cs="Arial"/>
                <w:noProof w:val="0"/>
              </w:rPr>
            </w:pPr>
            <w:r w:rsidRPr="00CD407E">
              <w:rPr>
                <w:rFonts w:ascii="Arial" w:eastAsia="Times New Roman" w:hAnsi="Arial" w:cs="Arial"/>
                <w:noProof w:val="0"/>
              </w:rPr>
              <w:t>ID</w:t>
            </w:r>
          </w:p>
        </w:tc>
        <w:tc>
          <w:tcPr>
            <w:tcW w:w="1257" w:type="dxa"/>
            <w:shd w:val="clear" w:color="auto" w:fill="auto"/>
            <w:noWrap/>
            <w:vAlign w:val="center"/>
            <w:hideMark/>
          </w:tcPr>
          <w:p w14:paraId="6A22E71F" w14:textId="77777777" w:rsidR="00542C3C" w:rsidRPr="00CD407E" w:rsidRDefault="00542C3C" w:rsidP="009622A0">
            <w:pPr>
              <w:spacing w:after="0" w:line="240" w:lineRule="auto"/>
              <w:jc w:val="center"/>
              <w:rPr>
                <w:rFonts w:ascii="Arial" w:eastAsia="Times New Roman" w:hAnsi="Arial" w:cs="Arial"/>
                <w:noProof w:val="0"/>
              </w:rPr>
            </w:pPr>
            <w:r w:rsidRPr="00CD407E">
              <w:rPr>
                <w:rFonts w:ascii="Arial" w:eastAsia="Times New Roman" w:hAnsi="Arial" w:cs="Arial"/>
                <w:noProof w:val="0"/>
              </w:rPr>
              <w:t>NCT Number</w:t>
            </w:r>
          </w:p>
        </w:tc>
        <w:tc>
          <w:tcPr>
            <w:tcW w:w="2208" w:type="dxa"/>
            <w:gridSpan w:val="2"/>
            <w:shd w:val="clear" w:color="auto" w:fill="auto"/>
            <w:vAlign w:val="center"/>
            <w:hideMark/>
          </w:tcPr>
          <w:p w14:paraId="5809848D" w14:textId="77777777" w:rsidR="00542C3C" w:rsidRPr="00CD407E" w:rsidRDefault="00542C3C" w:rsidP="009622A0">
            <w:pPr>
              <w:spacing w:after="0" w:line="240" w:lineRule="auto"/>
              <w:jc w:val="center"/>
              <w:rPr>
                <w:rFonts w:ascii="Arial" w:eastAsia="Times New Roman" w:hAnsi="Arial" w:cs="Arial"/>
                <w:noProof w:val="0"/>
              </w:rPr>
            </w:pPr>
            <w:r w:rsidRPr="00CD407E">
              <w:rPr>
                <w:rFonts w:ascii="Arial" w:eastAsia="Times New Roman" w:hAnsi="Arial" w:cs="Arial"/>
                <w:noProof w:val="0"/>
              </w:rPr>
              <w:t>Investigational drug</w:t>
            </w:r>
          </w:p>
        </w:tc>
        <w:tc>
          <w:tcPr>
            <w:tcW w:w="2694" w:type="dxa"/>
            <w:gridSpan w:val="2"/>
            <w:shd w:val="clear" w:color="auto" w:fill="auto"/>
            <w:noWrap/>
            <w:vAlign w:val="center"/>
            <w:hideMark/>
          </w:tcPr>
          <w:p w14:paraId="002EEB78" w14:textId="77777777" w:rsidR="00542C3C" w:rsidRPr="00CD407E" w:rsidRDefault="00542C3C" w:rsidP="009622A0">
            <w:pPr>
              <w:spacing w:after="0" w:line="240" w:lineRule="auto"/>
              <w:jc w:val="center"/>
              <w:rPr>
                <w:rFonts w:ascii="Arial" w:eastAsia="Times New Roman" w:hAnsi="Arial" w:cs="Arial"/>
                <w:noProof w:val="0"/>
              </w:rPr>
            </w:pPr>
            <w:r w:rsidRPr="00CD407E">
              <w:rPr>
                <w:rFonts w:ascii="Arial" w:eastAsia="Times New Roman" w:hAnsi="Arial" w:cs="Arial"/>
                <w:noProof w:val="0"/>
              </w:rPr>
              <w:t>Cancer type</w:t>
            </w:r>
          </w:p>
        </w:tc>
        <w:tc>
          <w:tcPr>
            <w:tcW w:w="6538" w:type="dxa"/>
            <w:gridSpan w:val="2"/>
            <w:shd w:val="clear" w:color="auto" w:fill="auto"/>
            <w:vAlign w:val="center"/>
            <w:hideMark/>
          </w:tcPr>
          <w:p w14:paraId="230C10B2" w14:textId="77777777" w:rsidR="00542C3C" w:rsidRPr="00CD407E" w:rsidRDefault="00542C3C" w:rsidP="009622A0">
            <w:pPr>
              <w:spacing w:after="0" w:line="240" w:lineRule="auto"/>
              <w:jc w:val="center"/>
              <w:rPr>
                <w:rFonts w:ascii="Arial" w:eastAsia="Times New Roman" w:hAnsi="Arial" w:cs="Arial"/>
                <w:noProof w:val="0"/>
              </w:rPr>
            </w:pPr>
            <w:r w:rsidRPr="00CD407E">
              <w:rPr>
                <w:rFonts w:ascii="Arial" w:eastAsia="Times New Roman" w:hAnsi="Arial" w:cs="Arial"/>
                <w:noProof w:val="0"/>
              </w:rPr>
              <w:t>Reference</w:t>
            </w:r>
          </w:p>
        </w:tc>
      </w:tr>
      <w:tr w:rsidR="00542C3C" w:rsidRPr="00CD407E" w14:paraId="6D1BB53A" w14:textId="77777777" w:rsidTr="009622A0">
        <w:trPr>
          <w:trHeight w:val="1230"/>
        </w:trPr>
        <w:tc>
          <w:tcPr>
            <w:tcW w:w="741" w:type="dxa"/>
            <w:shd w:val="clear" w:color="auto" w:fill="auto"/>
            <w:noWrap/>
            <w:vAlign w:val="center"/>
            <w:hideMark/>
          </w:tcPr>
          <w:p w14:paraId="2DBD6B91"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N-1</w:t>
            </w:r>
          </w:p>
        </w:tc>
        <w:tc>
          <w:tcPr>
            <w:tcW w:w="1346" w:type="dxa"/>
            <w:gridSpan w:val="2"/>
            <w:shd w:val="clear" w:color="auto" w:fill="auto"/>
            <w:noWrap/>
            <w:vAlign w:val="center"/>
            <w:hideMark/>
          </w:tcPr>
          <w:p w14:paraId="56D4703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NCT02039726</w:t>
            </w:r>
          </w:p>
        </w:tc>
        <w:tc>
          <w:tcPr>
            <w:tcW w:w="2208" w:type="dxa"/>
            <w:gridSpan w:val="2"/>
            <w:shd w:val="clear" w:color="auto" w:fill="auto"/>
            <w:vAlign w:val="center"/>
            <w:hideMark/>
          </w:tcPr>
          <w:p w14:paraId="2EE1E65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Quizartinib</w:t>
            </w:r>
          </w:p>
        </w:tc>
        <w:tc>
          <w:tcPr>
            <w:tcW w:w="2694" w:type="dxa"/>
            <w:gridSpan w:val="2"/>
            <w:shd w:val="clear" w:color="auto" w:fill="auto"/>
            <w:noWrap/>
            <w:vAlign w:val="center"/>
            <w:hideMark/>
          </w:tcPr>
          <w:p w14:paraId="2B4D8054"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Acute myeloid leukemia</w:t>
            </w:r>
          </w:p>
        </w:tc>
        <w:tc>
          <w:tcPr>
            <w:tcW w:w="6538" w:type="dxa"/>
            <w:gridSpan w:val="2"/>
            <w:shd w:val="clear" w:color="auto" w:fill="auto"/>
            <w:vAlign w:val="center"/>
            <w:hideMark/>
          </w:tcPr>
          <w:p w14:paraId="5740D44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Cortes JE, Khaled S, Martinelli G, Perl AE, Ganguly S, Russell N, Krämer A, Dombret H, Hogge D, Jonas BA, Leung AY, Mehta P, Montesinos P, Radsak M, Sica S, Arunachalam M, Holmes M, Kobayashi K, Namuyinga R, Ge N, Yver A, Zhang Y, Levis MJ. Quizartinib versus salvage chemotherapy in relapsed or refractory FLT3-ITD acute myeloid leukaemia (QuANTUM-R): a multicentre, randomised, controlled, open-label, phase 3 trial. Lancet Oncol. 2019 Jul;20(7):984-997. doi: 10.1016/S1470-2045(19)30150-0. Epub 2019 Jun 4. Erratum in: Lancet Oncol. 2019 Jul;20(7):e346. PMID: 31175001.</w:t>
            </w:r>
          </w:p>
        </w:tc>
      </w:tr>
      <w:tr w:rsidR="00542C3C" w:rsidRPr="00CD407E" w14:paraId="663B5A71" w14:textId="77777777" w:rsidTr="009622A0">
        <w:trPr>
          <w:gridAfter w:val="1"/>
          <w:wAfter w:w="89" w:type="dxa"/>
          <w:trHeight w:val="1030"/>
        </w:trPr>
        <w:tc>
          <w:tcPr>
            <w:tcW w:w="741" w:type="dxa"/>
            <w:shd w:val="clear" w:color="auto" w:fill="auto"/>
            <w:noWrap/>
            <w:vAlign w:val="center"/>
            <w:hideMark/>
          </w:tcPr>
          <w:p w14:paraId="5B045653"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N-2</w:t>
            </w:r>
          </w:p>
        </w:tc>
        <w:tc>
          <w:tcPr>
            <w:tcW w:w="1257" w:type="dxa"/>
            <w:shd w:val="clear" w:color="auto" w:fill="auto"/>
            <w:noWrap/>
            <w:vAlign w:val="center"/>
            <w:hideMark/>
          </w:tcPr>
          <w:p w14:paraId="5070897D"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NCT01746979</w:t>
            </w:r>
          </w:p>
        </w:tc>
        <w:tc>
          <w:tcPr>
            <w:tcW w:w="2208" w:type="dxa"/>
            <w:gridSpan w:val="2"/>
            <w:shd w:val="clear" w:color="auto" w:fill="auto"/>
            <w:vAlign w:val="center"/>
            <w:hideMark/>
          </w:tcPr>
          <w:p w14:paraId="08576A5D"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Evofosfamide plus gemcitabine</w:t>
            </w:r>
          </w:p>
        </w:tc>
        <w:tc>
          <w:tcPr>
            <w:tcW w:w="2694" w:type="dxa"/>
            <w:gridSpan w:val="2"/>
            <w:shd w:val="clear" w:color="auto" w:fill="auto"/>
            <w:noWrap/>
            <w:vAlign w:val="center"/>
            <w:hideMark/>
          </w:tcPr>
          <w:p w14:paraId="1C981F1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Pancreatic cancer</w:t>
            </w:r>
          </w:p>
        </w:tc>
        <w:tc>
          <w:tcPr>
            <w:tcW w:w="6538" w:type="dxa"/>
            <w:gridSpan w:val="2"/>
            <w:shd w:val="clear" w:color="auto" w:fill="auto"/>
            <w:vAlign w:val="center"/>
            <w:hideMark/>
          </w:tcPr>
          <w:p w14:paraId="12EE979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Borad MJ, Reddy SG, Bahary N, Uronis HE, Sigal D, Cohn AL, Schelman WR, Stephenson J Jr, Chiorean EG, Rosen PJ, Ulrich B, Dragovich T, Del Prete SA, Rarick M, Eng C, Kroll S, Ryan DP. Randomized Phase II Trial of Gemcitabine Plus TH-302 Versus Gemcitabine in Patients With Advanced Pancreatic Cancer. J Clin Oncol. 2015 May 1;33(13):1475-81. doi: 10.1200/JCO.2014.55.7504. Epub 2014 Dec 15. PMID: 25512461; PMCID: PMC4881365.</w:t>
            </w:r>
          </w:p>
        </w:tc>
      </w:tr>
      <w:tr w:rsidR="00542C3C" w:rsidRPr="00CD407E" w14:paraId="0CB42024" w14:textId="77777777" w:rsidTr="009622A0">
        <w:trPr>
          <w:gridAfter w:val="1"/>
          <w:wAfter w:w="89" w:type="dxa"/>
          <w:trHeight w:val="1030"/>
        </w:trPr>
        <w:tc>
          <w:tcPr>
            <w:tcW w:w="741" w:type="dxa"/>
            <w:shd w:val="clear" w:color="auto" w:fill="auto"/>
            <w:noWrap/>
            <w:vAlign w:val="center"/>
            <w:hideMark/>
          </w:tcPr>
          <w:p w14:paraId="0E099D49"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N-3</w:t>
            </w:r>
          </w:p>
        </w:tc>
        <w:tc>
          <w:tcPr>
            <w:tcW w:w="1257" w:type="dxa"/>
            <w:shd w:val="clear" w:color="auto" w:fill="auto"/>
            <w:noWrap/>
            <w:vAlign w:val="center"/>
            <w:hideMark/>
          </w:tcPr>
          <w:p w14:paraId="21E3B324"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NCT01450761</w:t>
            </w:r>
          </w:p>
        </w:tc>
        <w:tc>
          <w:tcPr>
            <w:tcW w:w="2208" w:type="dxa"/>
            <w:gridSpan w:val="2"/>
            <w:shd w:val="clear" w:color="auto" w:fill="auto"/>
            <w:vAlign w:val="center"/>
            <w:hideMark/>
          </w:tcPr>
          <w:p w14:paraId="375C39B4"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Ipilimumab, etoposide and platinum based chemotherapy</w:t>
            </w:r>
          </w:p>
        </w:tc>
        <w:tc>
          <w:tcPr>
            <w:tcW w:w="2694" w:type="dxa"/>
            <w:gridSpan w:val="2"/>
            <w:shd w:val="clear" w:color="auto" w:fill="auto"/>
            <w:noWrap/>
            <w:vAlign w:val="center"/>
            <w:hideMark/>
          </w:tcPr>
          <w:p w14:paraId="681E8F1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Small cell lung cancer</w:t>
            </w:r>
          </w:p>
        </w:tc>
        <w:tc>
          <w:tcPr>
            <w:tcW w:w="6538" w:type="dxa"/>
            <w:gridSpan w:val="2"/>
            <w:shd w:val="clear" w:color="auto" w:fill="auto"/>
            <w:vAlign w:val="center"/>
            <w:hideMark/>
          </w:tcPr>
          <w:p w14:paraId="77658534"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Reck M, Luft A, Szczesna A, Havel L, Kim SW, Akerley W, Pietanza MC, Wu YL, Zielinski C, Thomas M, Felip E, Gold K, Horn L, Aerts J, Nakagawa K, Lorigan P, Pieters A, Kong Sanchez T, Fairchild J, Spigel D. Phase III Randomized Trial of Ipilimumab Plus Etoposide and Platinum Versus Placebo Plus Etoposide and Platinum in Extensive-Stage Small-Cell Lung Cancer. J Clin Oncol. 2016 Nov 1;34(31):3740-3748. doi: 10.1200/JCO.2016.67.6601. Erratum in: J Clin Oncol. 2019 Dec 1;37(34):3327. PMID: 27458307.</w:t>
            </w:r>
          </w:p>
        </w:tc>
      </w:tr>
      <w:tr w:rsidR="00542C3C" w:rsidRPr="00CD407E" w14:paraId="25C27BBB" w14:textId="77777777" w:rsidTr="009622A0">
        <w:trPr>
          <w:gridAfter w:val="1"/>
          <w:wAfter w:w="89" w:type="dxa"/>
          <w:trHeight w:val="1030"/>
        </w:trPr>
        <w:tc>
          <w:tcPr>
            <w:tcW w:w="741" w:type="dxa"/>
            <w:shd w:val="clear" w:color="auto" w:fill="auto"/>
            <w:noWrap/>
            <w:vAlign w:val="center"/>
            <w:hideMark/>
          </w:tcPr>
          <w:p w14:paraId="7541CF7B"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N-4</w:t>
            </w:r>
          </w:p>
        </w:tc>
        <w:tc>
          <w:tcPr>
            <w:tcW w:w="1257" w:type="dxa"/>
            <w:shd w:val="clear" w:color="auto" w:fill="auto"/>
            <w:noWrap/>
            <w:vAlign w:val="center"/>
            <w:hideMark/>
          </w:tcPr>
          <w:p w14:paraId="78C189A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NCT01285609</w:t>
            </w:r>
          </w:p>
        </w:tc>
        <w:tc>
          <w:tcPr>
            <w:tcW w:w="2208" w:type="dxa"/>
            <w:gridSpan w:val="2"/>
            <w:shd w:val="clear" w:color="auto" w:fill="auto"/>
            <w:vAlign w:val="center"/>
            <w:hideMark/>
          </w:tcPr>
          <w:p w14:paraId="33CBDCE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 xml:space="preserve">Ipilimumab, paclitaxel and carboplatin </w:t>
            </w:r>
          </w:p>
        </w:tc>
        <w:tc>
          <w:tcPr>
            <w:tcW w:w="2694" w:type="dxa"/>
            <w:gridSpan w:val="2"/>
            <w:shd w:val="clear" w:color="auto" w:fill="auto"/>
            <w:noWrap/>
            <w:vAlign w:val="center"/>
            <w:hideMark/>
          </w:tcPr>
          <w:p w14:paraId="2EE6A47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Non-small cell lung cancer</w:t>
            </w:r>
          </w:p>
        </w:tc>
        <w:tc>
          <w:tcPr>
            <w:tcW w:w="6538" w:type="dxa"/>
            <w:gridSpan w:val="2"/>
            <w:shd w:val="clear" w:color="auto" w:fill="auto"/>
            <w:vAlign w:val="center"/>
            <w:hideMark/>
          </w:tcPr>
          <w:p w14:paraId="61416B6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Govindan R, Szczesna A, Ahn MJ, Schneider CP, Gonzalez Mella PF, Barlesi F, Han B, Ganea DE, Von Pawel J, Vladimirov V, Fadeeva N, Lee KH, Kurata T, Zhang L, Tamura T, Postmus PE, Jassem J, O'Byrne K, Kopit J, Li M, Tschaika M, Reck M. Phase III Trial of Ipilimumab Combined With Paclitaxel and Carboplatin in Advanced Squamous Non-Small-Cell Lung Cancer. J Clin Oncol. 2017 Oct 20;35(30):3449-3457. doi: 10.1200/JCO.2016.71.7629. Epub 2017 Aug 30. PMID: 28854067.</w:t>
            </w:r>
          </w:p>
        </w:tc>
      </w:tr>
      <w:tr w:rsidR="00542C3C" w:rsidRPr="00CD407E" w14:paraId="3714C2C2" w14:textId="77777777" w:rsidTr="009622A0">
        <w:trPr>
          <w:gridAfter w:val="1"/>
          <w:wAfter w:w="89" w:type="dxa"/>
          <w:trHeight w:val="1430"/>
        </w:trPr>
        <w:tc>
          <w:tcPr>
            <w:tcW w:w="741" w:type="dxa"/>
            <w:shd w:val="clear" w:color="auto" w:fill="auto"/>
            <w:noWrap/>
            <w:vAlign w:val="center"/>
            <w:hideMark/>
          </w:tcPr>
          <w:p w14:paraId="31116D9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N-5</w:t>
            </w:r>
          </w:p>
        </w:tc>
        <w:tc>
          <w:tcPr>
            <w:tcW w:w="1257" w:type="dxa"/>
            <w:shd w:val="clear" w:color="auto" w:fill="auto"/>
            <w:noWrap/>
            <w:vAlign w:val="center"/>
            <w:hideMark/>
          </w:tcPr>
          <w:p w14:paraId="04A5ACE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NCT01989572</w:t>
            </w:r>
          </w:p>
        </w:tc>
        <w:tc>
          <w:tcPr>
            <w:tcW w:w="2208" w:type="dxa"/>
            <w:gridSpan w:val="2"/>
            <w:shd w:val="clear" w:color="auto" w:fill="auto"/>
            <w:vAlign w:val="center"/>
            <w:hideMark/>
          </w:tcPr>
          <w:p w14:paraId="62E696C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Peptide vaccination sargramostim</w:t>
            </w:r>
          </w:p>
        </w:tc>
        <w:tc>
          <w:tcPr>
            <w:tcW w:w="2694" w:type="dxa"/>
            <w:gridSpan w:val="2"/>
            <w:shd w:val="clear" w:color="auto" w:fill="auto"/>
            <w:noWrap/>
            <w:vAlign w:val="center"/>
            <w:hideMark/>
          </w:tcPr>
          <w:p w14:paraId="4332EBA4"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Melanoma</w:t>
            </w:r>
          </w:p>
        </w:tc>
        <w:tc>
          <w:tcPr>
            <w:tcW w:w="6538" w:type="dxa"/>
            <w:gridSpan w:val="2"/>
            <w:shd w:val="clear" w:color="auto" w:fill="auto"/>
            <w:vAlign w:val="center"/>
            <w:hideMark/>
          </w:tcPr>
          <w:p w14:paraId="1386D7E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Lawson DH, Lee S, Zhao F, Tarhini AA, Margolin KA, Ernstoff MS, Atkins MB, Cohen GI, Whiteside TL, Butterfield LH, Kirkwood JM. Randomized, Placebo-Controlled, Phase III Trial of Yeast-Derived Granulocyte-Macrophage Colony-Stimulating Factor (GM-CSF) Versus Peptide Vaccination Versus GM-CSF Plus Peptide Vaccination Versus Placebo in Patients With No Evidence of Disease After Complete Surgical Resection of Locally Advanced and/or Stage IV Melanoma: A Trial of the Eastern Cooperative Oncology Group-American College of Radiology Imaging Network Cancer Research Group (E4697). J Clin Oncol. 2015 Dec 1;33(34):4066-76. doi: 10.1200/JCO.2015.62.0500. Epub 2015 Sep 8. PMID: 26351350; PMCID: PMC4669592.</w:t>
            </w:r>
          </w:p>
        </w:tc>
      </w:tr>
      <w:tr w:rsidR="00542C3C" w:rsidRPr="00CD407E" w14:paraId="44197FA3" w14:textId="77777777" w:rsidTr="009622A0">
        <w:trPr>
          <w:gridAfter w:val="1"/>
          <w:wAfter w:w="89" w:type="dxa"/>
          <w:trHeight w:val="830"/>
        </w:trPr>
        <w:tc>
          <w:tcPr>
            <w:tcW w:w="741" w:type="dxa"/>
            <w:shd w:val="clear" w:color="auto" w:fill="auto"/>
            <w:noWrap/>
            <w:vAlign w:val="center"/>
            <w:hideMark/>
          </w:tcPr>
          <w:p w14:paraId="32805528" w14:textId="77777777" w:rsidR="00542C3C" w:rsidRPr="00CD407E" w:rsidRDefault="00542C3C" w:rsidP="009622A0">
            <w:pPr>
              <w:spacing w:after="0" w:line="240" w:lineRule="auto"/>
              <w:rPr>
                <w:rFonts w:ascii="Calibri" w:eastAsia="Times New Roman" w:hAnsi="Calibri" w:cs="Calibri"/>
                <w:noProof w:val="0"/>
                <w:color w:val="000000"/>
              </w:rPr>
            </w:pPr>
            <w:r w:rsidRPr="00CD407E">
              <w:rPr>
                <w:rFonts w:ascii="Calibri" w:eastAsia="Times New Roman" w:hAnsi="Calibri" w:cs="Calibri"/>
                <w:noProof w:val="0"/>
                <w:color w:val="000000"/>
              </w:rPr>
              <w:t>N-6</w:t>
            </w:r>
          </w:p>
        </w:tc>
        <w:tc>
          <w:tcPr>
            <w:tcW w:w="1257" w:type="dxa"/>
            <w:shd w:val="clear" w:color="auto" w:fill="auto"/>
            <w:noWrap/>
            <w:vAlign w:val="center"/>
            <w:hideMark/>
          </w:tcPr>
          <w:p w14:paraId="004FC0B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NCT00789633</w:t>
            </w:r>
          </w:p>
        </w:tc>
        <w:tc>
          <w:tcPr>
            <w:tcW w:w="2208" w:type="dxa"/>
            <w:gridSpan w:val="2"/>
            <w:shd w:val="clear" w:color="auto" w:fill="auto"/>
            <w:vAlign w:val="center"/>
            <w:hideMark/>
          </w:tcPr>
          <w:p w14:paraId="0EA0F68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Masitinib plus gemcitabine</w:t>
            </w:r>
          </w:p>
        </w:tc>
        <w:tc>
          <w:tcPr>
            <w:tcW w:w="2694" w:type="dxa"/>
            <w:gridSpan w:val="2"/>
            <w:shd w:val="clear" w:color="auto" w:fill="auto"/>
            <w:noWrap/>
            <w:vAlign w:val="center"/>
            <w:hideMark/>
          </w:tcPr>
          <w:p w14:paraId="501DC4C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Pancreatic cancer</w:t>
            </w:r>
          </w:p>
        </w:tc>
        <w:tc>
          <w:tcPr>
            <w:tcW w:w="6538" w:type="dxa"/>
            <w:gridSpan w:val="2"/>
            <w:shd w:val="clear" w:color="auto" w:fill="auto"/>
            <w:vAlign w:val="center"/>
            <w:hideMark/>
          </w:tcPr>
          <w:p w14:paraId="2111D4B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Deplanque G, Demarchi M, Hebbar M, Flynn P, Melichar B, Atkins J, Nowara E, Moyé L, Piquemal D, Ritter D, Dubreuil P, Mansfield CD, Acin Y, Moussy A, Hermine O, Hammel P. A randomized, placebo-controlled phase III trial of masitinib plus gemcitabine in the treatment of advanced pancreatic cancer. Ann Oncol. 2015 Jun;26(6):1194-1200. doi: 10.1093/annonc/mdv133. Epub 2015 Apr 9. PMID: 25858497; PMCID: PMC4516046.</w:t>
            </w:r>
          </w:p>
        </w:tc>
      </w:tr>
      <w:tr w:rsidR="00542C3C" w:rsidRPr="00CD407E" w14:paraId="1D244831" w14:textId="77777777" w:rsidTr="009622A0">
        <w:trPr>
          <w:gridAfter w:val="1"/>
          <w:wAfter w:w="89" w:type="dxa"/>
          <w:trHeight w:val="1230"/>
        </w:trPr>
        <w:tc>
          <w:tcPr>
            <w:tcW w:w="741" w:type="dxa"/>
            <w:shd w:val="clear" w:color="auto" w:fill="auto"/>
            <w:noWrap/>
            <w:vAlign w:val="center"/>
            <w:hideMark/>
          </w:tcPr>
          <w:p w14:paraId="21427B4A"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N-7</w:t>
            </w:r>
          </w:p>
        </w:tc>
        <w:tc>
          <w:tcPr>
            <w:tcW w:w="1257" w:type="dxa"/>
            <w:shd w:val="clear" w:color="auto" w:fill="auto"/>
            <w:noWrap/>
            <w:vAlign w:val="center"/>
            <w:hideMark/>
          </w:tcPr>
          <w:p w14:paraId="0E808F04"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NCT01480479</w:t>
            </w:r>
          </w:p>
        </w:tc>
        <w:tc>
          <w:tcPr>
            <w:tcW w:w="2208" w:type="dxa"/>
            <w:gridSpan w:val="2"/>
            <w:shd w:val="clear" w:color="auto" w:fill="auto"/>
            <w:vAlign w:val="center"/>
            <w:hideMark/>
          </w:tcPr>
          <w:p w14:paraId="74FB4AB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Rindopepimut with temozolomide</w:t>
            </w:r>
          </w:p>
        </w:tc>
        <w:tc>
          <w:tcPr>
            <w:tcW w:w="2694" w:type="dxa"/>
            <w:gridSpan w:val="2"/>
            <w:shd w:val="clear" w:color="auto" w:fill="auto"/>
            <w:noWrap/>
            <w:vAlign w:val="center"/>
            <w:hideMark/>
          </w:tcPr>
          <w:p w14:paraId="676E4C8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Glioblastoma</w:t>
            </w:r>
          </w:p>
        </w:tc>
        <w:tc>
          <w:tcPr>
            <w:tcW w:w="6538" w:type="dxa"/>
            <w:gridSpan w:val="2"/>
            <w:shd w:val="clear" w:color="auto" w:fill="auto"/>
            <w:vAlign w:val="center"/>
            <w:hideMark/>
          </w:tcPr>
          <w:p w14:paraId="0D7A052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Weller M, Butowski N, Tran DD, Recht LD, Lim M, Hirte H, Ashby L, Mechtler L, Goldlust SA, Iwamoto F, Drappatz J, O'Rourke DM, Wong M, Hamilton MG, Finocchiaro G, Perry J, Wick W, Green J, He Y, Turner CD, Yellin MJ, Keler T, Davis TA, Stupp R, Sampson JH; ACT IV trial investigators. Rindopepimut with temozolomide for patients with newly diagnosed, EGFRvIII-expressing glioblastoma (ACT IV): a randomised, double-blind, international phase 3 trial. Lancet Oncol. 2017 Oct;18(10):1373-1385. doi: 10.1016/S1470-2045(17)30517-X. Epub 2017 Aug 23. PMID: 28844499.</w:t>
            </w:r>
          </w:p>
        </w:tc>
      </w:tr>
      <w:tr w:rsidR="00542C3C" w:rsidRPr="00CD407E" w14:paraId="6C3E3A31" w14:textId="77777777" w:rsidTr="009622A0">
        <w:trPr>
          <w:gridAfter w:val="1"/>
          <w:wAfter w:w="89" w:type="dxa"/>
          <w:trHeight w:val="830"/>
        </w:trPr>
        <w:tc>
          <w:tcPr>
            <w:tcW w:w="741" w:type="dxa"/>
            <w:shd w:val="clear" w:color="auto" w:fill="auto"/>
            <w:noWrap/>
            <w:vAlign w:val="center"/>
            <w:hideMark/>
          </w:tcPr>
          <w:p w14:paraId="13F23AEC"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N-8</w:t>
            </w:r>
          </w:p>
        </w:tc>
        <w:tc>
          <w:tcPr>
            <w:tcW w:w="1257" w:type="dxa"/>
            <w:shd w:val="clear" w:color="auto" w:fill="auto"/>
            <w:noWrap/>
            <w:vAlign w:val="center"/>
            <w:hideMark/>
          </w:tcPr>
          <w:p w14:paraId="4ECB2F4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NCT00883116</w:t>
            </w:r>
          </w:p>
        </w:tc>
        <w:tc>
          <w:tcPr>
            <w:tcW w:w="2208" w:type="dxa"/>
            <w:gridSpan w:val="2"/>
            <w:shd w:val="clear" w:color="auto" w:fill="auto"/>
            <w:vAlign w:val="center"/>
            <w:hideMark/>
          </w:tcPr>
          <w:p w14:paraId="63E16B7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Ixabepilone</w:t>
            </w:r>
          </w:p>
        </w:tc>
        <w:tc>
          <w:tcPr>
            <w:tcW w:w="2694" w:type="dxa"/>
            <w:gridSpan w:val="2"/>
            <w:shd w:val="clear" w:color="auto" w:fill="auto"/>
            <w:noWrap/>
            <w:vAlign w:val="center"/>
            <w:hideMark/>
          </w:tcPr>
          <w:p w14:paraId="59E4A8A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Endometrial cancer</w:t>
            </w:r>
          </w:p>
        </w:tc>
        <w:tc>
          <w:tcPr>
            <w:tcW w:w="6538" w:type="dxa"/>
            <w:gridSpan w:val="2"/>
            <w:shd w:val="clear" w:color="auto" w:fill="auto"/>
            <w:vAlign w:val="center"/>
            <w:hideMark/>
          </w:tcPr>
          <w:p w14:paraId="34278C4D"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McMeekin S, Dizon D, Barter J, Scambia G, Manzyuk L, Lisyanskaya A, Oaknin A, Ringuette S, Mukhopadhyay P, Rosenberg J, Vergote I. Phase III randomized trial of second-line ixabepilone versus paclitaxel or doxorubicin in women with advanced endometrial cancer. Gynecol Oncol. 2015 Jul;138(1):18-23. doi: 10.1016/j.ygyno.2015.04.026. Epub 2015 Apr 26. PMID: 25925990.</w:t>
            </w:r>
          </w:p>
        </w:tc>
      </w:tr>
      <w:tr w:rsidR="00542C3C" w:rsidRPr="00CD407E" w14:paraId="305FAF37" w14:textId="77777777" w:rsidTr="009622A0">
        <w:trPr>
          <w:gridAfter w:val="1"/>
          <w:wAfter w:w="89" w:type="dxa"/>
          <w:trHeight w:val="1230"/>
        </w:trPr>
        <w:tc>
          <w:tcPr>
            <w:tcW w:w="741" w:type="dxa"/>
            <w:shd w:val="clear" w:color="auto" w:fill="auto"/>
            <w:noWrap/>
            <w:vAlign w:val="center"/>
            <w:hideMark/>
          </w:tcPr>
          <w:p w14:paraId="2A4B49EF"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lastRenderedPageBreak/>
              <w:t>N-9</w:t>
            </w:r>
          </w:p>
        </w:tc>
        <w:tc>
          <w:tcPr>
            <w:tcW w:w="1257" w:type="dxa"/>
            <w:shd w:val="clear" w:color="auto" w:fill="auto"/>
            <w:noWrap/>
            <w:vAlign w:val="center"/>
            <w:hideMark/>
          </w:tcPr>
          <w:p w14:paraId="2560317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NCT01755767</w:t>
            </w:r>
          </w:p>
        </w:tc>
        <w:tc>
          <w:tcPr>
            <w:tcW w:w="2208" w:type="dxa"/>
            <w:gridSpan w:val="2"/>
            <w:shd w:val="clear" w:color="auto" w:fill="auto"/>
            <w:vAlign w:val="center"/>
            <w:hideMark/>
          </w:tcPr>
          <w:p w14:paraId="76565B5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Tivantinib (ARQ 197)</w:t>
            </w:r>
          </w:p>
        </w:tc>
        <w:tc>
          <w:tcPr>
            <w:tcW w:w="2694" w:type="dxa"/>
            <w:gridSpan w:val="2"/>
            <w:shd w:val="clear" w:color="auto" w:fill="auto"/>
            <w:noWrap/>
            <w:vAlign w:val="center"/>
            <w:hideMark/>
          </w:tcPr>
          <w:p w14:paraId="69FA68B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Hepatocellular carcinoma</w:t>
            </w:r>
          </w:p>
        </w:tc>
        <w:tc>
          <w:tcPr>
            <w:tcW w:w="6538" w:type="dxa"/>
            <w:gridSpan w:val="2"/>
            <w:shd w:val="clear" w:color="auto" w:fill="auto"/>
            <w:vAlign w:val="center"/>
            <w:hideMark/>
          </w:tcPr>
          <w:p w14:paraId="46907EDD"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Rimassa L, Assenat E, Peck-Radosavljevic M, Pracht M, Zagonel V, Mathurin P, Rota Caremoli E, Porta C, Daniele B, Bolondi L, Mazzaferro V, Harris W, Damjanov N, Pastorelli D, Reig M, Knox J, Negri F, Trojan J, López López C, Personeni N, Decaens T, Dupuy M, Sieghart W, Abbadessa G, Schwartz B, Lamar M, Goldberg T, Shuster D, Santoro A, Bruix J. Tivantinib for second-line treatment of MET-high, advanced hepatocellular carcinoma (METIV-HCC): a final analysis of a phase 3, randomised, placebo-controlled study. Lancet Oncol. 2018 May;19(5):682-693. doi: 10.1016/S1470-2045(18)30146-3. Epub 2018 Apr 3. PMID: 29625879.</w:t>
            </w:r>
          </w:p>
        </w:tc>
      </w:tr>
      <w:tr w:rsidR="00542C3C" w:rsidRPr="00CD407E" w14:paraId="49253AA2" w14:textId="77777777" w:rsidTr="009622A0">
        <w:trPr>
          <w:gridAfter w:val="1"/>
          <w:wAfter w:w="89" w:type="dxa"/>
          <w:trHeight w:val="1230"/>
        </w:trPr>
        <w:tc>
          <w:tcPr>
            <w:tcW w:w="741" w:type="dxa"/>
            <w:shd w:val="clear" w:color="auto" w:fill="auto"/>
            <w:noWrap/>
            <w:vAlign w:val="center"/>
            <w:hideMark/>
          </w:tcPr>
          <w:p w14:paraId="61D19D08"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N-10</w:t>
            </w:r>
          </w:p>
        </w:tc>
        <w:tc>
          <w:tcPr>
            <w:tcW w:w="1257" w:type="dxa"/>
            <w:shd w:val="clear" w:color="auto" w:fill="auto"/>
            <w:noWrap/>
            <w:vAlign w:val="center"/>
            <w:hideMark/>
          </w:tcPr>
          <w:p w14:paraId="418223C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NCT00656136</w:t>
            </w:r>
          </w:p>
        </w:tc>
        <w:tc>
          <w:tcPr>
            <w:tcW w:w="2208" w:type="dxa"/>
            <w:gridSpan w:val="2"/>
            <w:shd w:val="clear" w:color="auto" w:fill="auto"/>
            <w:vAlign w:val="center"/>
            <w:hideMark/>
          </w:tcPr>
          <w:p w14:paraId="38A299E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Afatinib plus BSC</w:t>
            </w:r>
          </w:p>
        </w:tc>
        <w:tc>
          <w:tcPr>
            <w:tcW w:w="2694" w:type="dxa"/>
            <w:gridSpan w:val="2"/>
            <w:shd w:val="clear" w:color="auto" w:fill="auto"/>
            <w:noWrap/>
            <w:vAlign w:val="center"/>
            <w:hideMark/>
          </w:tcPr>
          <w:p w14:paraId="50F5FC64"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Non-small cell lung cancer</w:t>
            </w:r>
          </w:p>
        </w:tc>
        <w:tc>
          <w:tcPr>
            <w:tcW w:w="6538" w:type="dxa"/>
            <w:gridSpan w:val="2"/>
            <w:shd w:val="clear" w:color="auto" w:fill="auto"/>
            <w:vAlign w:val="center"/>
            <w:hideMark/>
          </w:tcPr>
          <w:p w14:paraId="07E0764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Miller VA, Hirsh V, Cadranel J, Chen YM, Park K, Kim SW, Zhou C, Su WC, Wang M, Sun Y, Heo DS, Crino L, Tan EH, Chao TY, Shahidi M, Cong XJ, Lorence RM, Yang JC. Afatinib versus placebo for patients with advanced, metastatic non-small-cell lung cancer after failure of erlotinib, gefitinib, or both, and one or two lines of chemotherapy (LUX-Lung 1): a phase 2b/3 randomised trial. Lancet Oncol. 2012 May;13(5):528-38. doi: 10.1016/S1470-2045(12)70087-6. Epub 2012 Mar 26. Erratum in: Lancet Oncol. 2012 May;13(5):e186. PMID: 22452896.</w:t>
            </w:r>
          </w:p>
        </w:tc>
      </w:tr>
      <w:tr w:rsidR="00542C3C" w:rsidRPr="00CD407E" w14:paraId="4A8C8753" w14:textId="77777777" w:rsidTr="009622A0">
        <w:trPr>
          <w:gridAfter w:val="1"/>
          <w:wAfter w:w="89" w:type="dxa"/>
          <w:trHeight w:val="830"/>
        </w:trPr>
        <w:tc>
          <w:tcPr>
            <w:tcW w:w="741" w:type="dxa"/>
            <w:shd w:val="clear" w:color="auto" w:fill="auto"/>
            <w:noWrap/>
            <w:vAlign w:val="center"/>
            <w:hideMark/>
          </w:tcPr>
          <w:p w14:paraId="34473A56"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N-11</w:t>
            </w:r>
          </w:p>
        </w:tc>
        <w:tc>
          <w:tcPr>
            <w:tcW w:w="1257" w:type="dxa"/>
            <w:shd w:val="clear" w:color="auto" w:fill="auto"/>
            <w:noWrap/>
            <w:vAlign w:val="center"/>
            <w:hideMark/>
          </w:tcPr>
          <w:p w14:paraId="2B95B4C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NCT01454934</w:t>
            </w:r>
          </w:p>
        </w:tc>
        <w:tc>
          <w:tcPr>
            <w:tcW w:w="2208" w:type="dxa"/>
            <w:gridSpan w:val="2"/>
            <w:shd w:val="clear" w:color="auto" w:fill="auto"/>
            <w:vAlign w:val="center"/>
            <w:hideMark/>
          </w:tcPr>
          <w:p w14:paraId="294537B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Eribulin plus chemotherapy</w:t>
            </w:r>
          </w:p>
        </w:tc>
        <w:tc>
          <w:tcPr>
            <w:tcW w:w="2694" w:type="dxa"/>
            <w:gridSpan w:val="2"/>
            <w:shd w:val="clear" w:color="auto" w:fill="auto"/>
            <w:noWrap/>
            <w:vAlign w:val="center"/>
            <w:hideMark/>
          </w:tcPr>
          <w:p w14:paraId="5F7675BD"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Non-small cell lung cancer</w:t>
            </w:r>
          </w:p>
        </w:tc>
        <w:tc>
          <w:tcPr>
            <w:tcW w:w="6538" w:type="dxa"/>
            <w:gridSpan w:val="2"/>
            <w:shd w:val="clear" w:color="auto" w:fill="auto"/>
            <w:vAlign w:val="center"/>
            <w:hideMark/>
          </w:tcPr>
          <w:p w14:paraId="5E8FB7D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Katakami N, Felip E, Spigel DR, Kim JH, Olivo M, Guo M, Nokihara H, Yang JC, Iannotti N, Satouchi M, Barlesi F. A randomized, open-label, multicenter, phase 3 study to compare the efficacy and safety of eribulin to treatment of physician's choice in patients with advanced non-small cell lung cancer. Ann Oncol. 2017 Sep 1;28(9):2241-2247. doi: 10.1093/annonc/mdx284. PMID: 28911085; PMCID: PMC5834051.</w:t>
            </w:r>
          </w:p>
        </w:tc>
      </w:tr>
      <w:tr w:rsidR="00542C3C" w:rsidRPr="00CD407E" w14:paraId="28B7204C" w14:textId="77777777" w:rsidTr="009622A0">
        <w:trPr>
          <w:gridAfter w:val="1"/>
          <w:wAfter w:w="89" w:type="dxa"/>
          <w:trHeight w:val="830"/>
        </w:trPr>
        <w:tc>
          <w:tcPr>
            <w:tcW w:w="741" w:type="dxa"/>
            <w:shd w:val="clear" w:color="auto" w:fill="auto"/>
            <w:noWrap/>
            <w:vAlign w:val="center"/>
            <w:hideMark/>
          </w:tcPr>
          <w:p w14:paraId="0C305B4A"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N-12</w:t>
            </w:r>
          </w:p>
        </w:tc>
        <w:tc>
          <w:tcPr>
            <w:tcW w:w="1257" w:type="dxa"/>
            <w:shd w:val="clear" w:color="auto" w:fill="auto"/>
            <w:noWrap/>
            <w:vAlign w:val="center"/>
            <w:hideMark/>
          </w:tcPr>
          <w:p w14:paraId="362ADB1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NCT00699374</w:t>
            </w:r>
          </w:p>
        </w:tc>
        <w:tc>
          <w:tcPr>
            <w:tcW w:w="2208" w:type="dxa"/>
            <w:gridSpan w:val="2"/>
            <w:shd w:val="clear" w:color="auto" w:fill="auto"/>
            <w:vAlign w:val="center"/>
            <w:hideMark/>
          </w:tcPr>
          <w:p w14:paraId="25238D1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Sunitinib</w:t>
            </w:r>
          </w:p>
        </w:tc>
        <w:tc>
          <w:tcPr>
            <w:tcW w:w="2694" w:type="dxa"/>
            <w:gridSpan w:val="2"/>
            <w:shd w:val="clear" w:color="auto" w:fill="auto"/>
            <w:noWrap/>
            <w:vAlign w:val="center"/>
            <w:hideMark/>
          </w:tcPr>
          <w:p w14:paraId="5FE9A59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Hepatocellular carcinoma</w:t>
            </w:r>
          </w:p>
        </w:tc>
        <w:tc>
          <w:tcPr>
            <w:tcW w:w="6538" w:type="dxa"/>
            <w:gridSpan w:val="2"/>
            <w:shd w:val="clear" w:color="auto" w:fill="auto"/>
            <w:vAlign w:val="center"/>
            <w:hideMark/>
          </w:tcPr>
          <w:p w14:paraId="21828F1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Cheng AL, Kang YK, Lin DY, Park JW, Kudo M, Qin S, Chung HC, Song X, Xu J, Poggi G, Omata M, Pitman Lowenthal S, Lanzalone S, Yang L, Lechuga MJ, Raymond E. Sunitinib versus sorafenib in advanced hepatocellular cancer: results of a randomized phase III trial. J Clin Oncol. 2013 Nov 10;31(32):4067-75. doi: 10.1200/JCO.2012.45.8372. Epub 2013 Sep 30. PMID: 24081937.</w:t>
            </w:r>
          </w:p>
        </w:tc>
      </w:tr>
      <w:tr w:rsidR="00542C3C" w:rsidRPr="00CD407E" w14:paraId="18C5C4B7" w14:textId="77777777" w:rsidTr="009622A0">
        <w:trPr>
          <w:gridAfter w:val="1"/>
          <w:wAfter w:w="89" w:type="dxa"/>
          <w:trHeight w:val="1030"/>
        </w:trPr>
        <w:tc>
          <w:tcPr>
            <w:tcW w:w="741" w:type="dxa"/>
            <w:shd w:val="clear" w:color="auto" w:fill="auto"/>
            <w:noWrap/>
            <w:vAlign w:val="center"/>
            <w:hideMark/>
          </w:tcPr>
          <w:p w14:paraId="145EC207" w14:textId="77777777" w:rsidR="00542C3C" w:rsidRPr="00CD407E" w:rsidRDefault="00542C3C" w:rsidP="009622A0">
            <w:pPr>
              <w:spacing w:after="0" w:line="240" w:lineRule="auto"/>
              <w:rPr>
                <w:rFonts w:ascii="Calibri" w:eastAsia="Times New Roman" w:hAnsi="Calibri" w:cs="Calibri"/>
                <w:noProof w:val="0"/>
                <w:color w:val="000000"/>
              </w:rPr>
            </w:pPr>
            <w:r w:rsidRPr="00CD407E">
              <w:rPr>
                <w:rFonts w:ascii="Calibri" w:eastAsia="Times New Roman" w:hAnsi="Calibri" w:cs="Calibri"/>
                <w:noProof w:val="0"/>
                <w:color w:val="000000"/>
              </w:rPr>
              <w:t>N-13</w:t>
            </w:r>
          </w:p>
        </w:tc>
        <w:tc>
          <w:tcPr>
            <w:tcW w:w="1257" w:type="dxa"/>
            <w:shd w:val="clear" w:color="auto" w:fill="auto"/>
            <w:noWrap/>
            <w:vAlign w:val="center"/>
            <w:hideMark/>
          </w:tcPr>
          <w:p w14:paraId="124645C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NCT01836432</w:t>
            </w:r>
          </w:p>
        </w:tc>
        <w:tc>
          <w:tcPr>
            <w:tcW w:w="2208" w:type="dxa"/>
            <w:gridSpan w:val="2"/>
            <w:shd w:val="clear" w:color="auto" w:fill="auto"/>
            <w:vAlign w:val="center"/>
            <w:hideMark/>
          </w:tcPr>
          <w:p w14:paraId="2CEFEF3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Algenpantucel-L plus chemotherapy and chemoradiation</w:t>
            </w:r>
          </w:p>
        </w:tc>
        <w:tc>
          <w:tcPr>
            <w:tcW w:w="2694" w:type="dxa"/>
            <w:gridSpan w:val="2"/>
            <w:shd w:val="clear" w:color="auto" w:fill="auto"/>
            <w:noWrap/>
            <w:vAlign w:val="center"/>
            <w:hideMark/>
          </w:tcPr>
          <w:p w14:paraId="0BB7BCA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Pancreatic cancer</w:t>
            </w:r>
          </w:p>
        </w:tc>
        <w:tc>
          <w:tcPr>
            <w:tcW w:w="6538" w:type="dxa"/>
            <w:gridSpan w:val="2"/>
            <w:shd w:val="clear" w:color="auto" w:fill="auto"/>
            <w:vAlign w:val="center"/>
            <w:hideMark/>
          </w:tcPr>
          <w:p w14:paraId="22CC758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Hewitt DB, Nissen N, Hatoum H, Musher B, Seng J, Coveler AL, Al-Rajabi R, Yeo CJ, Leiby B, Banks J, Balducci L, Vaccaro G, LoConte N, George TJ, Brenner W, Elquza E, Vahanian N, Rossi G, Kennedy E, Link C, Lavu H. A Phase 3 Randomized Clinical Trial of Chemotherapy With or Without Algenpantucel-L (HyperAcute-Pancreas) Immunotherapy in Subjects With Borderline Resectable or Locally Advanced Unresectable Pancreatic Cancer. Ann Surg. 2022 Jan 1;275(1):45-53. doi: 10.1097/SLA.0000000000004669. PMID: 33630475.</w:t>
            </w:r>
          </w:p>
        </w:tc>
      </w:tr>
      <w:tr w:rsidR="00542C3C" w:rsidRPr="00CD407E" w14:paraId="1B920C42" w14:textId="77777777" w:rsidTr="009622A0">
        <w:trPr>
          <w:gridAfter w:val="1"/>
          <w:wAfter w:w="89" w:type="dxa"/>
          <w:trHeight w:val="1230"/>
        </w:trPr>
        <w:tc>
          <w:tcPr>
            <w:tcW w:w="741" w:type="dxa"/>
            <w:shd w:val="clear" w:color="auto" w:fill="auto"/>
            <w:noWrap/>
            <w:vAlign w:val="center"/>
            <w:hideMark/>
          </w:tcPr>
          <w:p w14:paraId="76185FF1"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N-14</w:t>
            </w:r>
          </w:p>
        </w:tc>
        <w:tc>
          <w:tcPr>
            <w:tcW w:w="1257" w:type="dxa"/>
            <w:shd w:val="clear" w:color="auto" w:fill="auto"/>
            <w:noWrap/>
            <w:vAlign w:val="center"/>
            <w:hideMark/>
          </w:tcPr>
          <w:p w14:paraId="20259AFC"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NCT00409188</w:t>
            </w:r>
          </w:p>
        </w:tc>
        <w:tc>
          <w:tcPr>
            <w:tcW w:w="2208" w:type="dxa"/>
            <w:gridSpan w:val="2"/>
            <w:shd w:val="clear" w:color="auto" w:fill="auto"/>
            <w:vAlign w:val="center"/>
            <w:hideMark/>
          </w:tcPr>
          <w:p w14:paraId="5DB787E4"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Tecemotide (emepepimut-S)</w:t>
            </w:r>
          </w:p>
        </w:tc>
        <w:tc>
          <w:tcPr>
            <w:tcW w:w="2694" w:type="dxa"/>
            <w:gridSpan w:val="2"/>
            <w:shd w:val="clear" w:color="auto" w:fill="auto"/>
            <w:noWrap/>
            <w:vAlign w:val="center"/>
            <w:hideMark/>
          </w:tcPr>
          <w:p w14:paraId="64E5279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Non-small cell lung cancer</w:t>
            </w:r>
          </w:p>
        </w:tc>
        <w:tc>
          <w:tcPr>
            <w:tcW w:w="6538" w:type="dxa"/>
            <w:gridSpan w:val="2"/>
            <w:shd w:val="clear" w:color="auto" w:fill="auto"/>
            <w:vAlign w:val="center"/>
            <w:hideMark/>
          </w:tcPr>
          <w:p w14:paraId="462BDB8A"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Butts C, Socinski MA, Mitchell PL, Thatcher N, Havel L, Krzakowski M, Nawrocki S, Ciuleanu TE, Bosquée L, Trigo JM, Spira A, Tremblay L, Nyman J, Ramlau R, Wickart-Johansson G, Ellis P, Gladkov O, Pereira JR, Eberhardt WE, Helwig C, Schröder A, Shepherd FA; START trial team. Tecemotide (L-BLP25) versus placebo after chemoradiotherapy for stage III non-small-cell lung cancer (START): a randomised, double-blind, phase 3 trial. Lancet Oncol. 2014 Jan;15(1):59-68. doi: 10.1016/S1470-2045(13)70510-2. Epub 2013 Dec 9. PMID: 24331154.</w:t>
            </w:r>
          </w:p>
        </w:tc>
      </w:tr>
      <w:tr w:rsidR="00542C3C" w:rsidRPr="00CD407E" w14:paraId="2A87407A" w14:textId="77777777" w:rsidTr="009622A0">
        <w:trPr>
          <w:gridAfter w:val="1"/>
          <w:wAfter w:w="89" w:type="dxa"/>
          <w:trHeight w:val="1030"/>
        </w:trPr>
        <w:tc>
          <w:tcPr>
            <w:tcW w:w="741" w:type="dxa"/>
            <w:shd w:val="clear" w:color="auto" w:fill="auto"/>
            <w:noWrap/>
            <w:vAlign w:val="center"/>
            <w:hideMark/>
          </w:tcPr>
          <w:p w14:paraId="4CED129F"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N-15</w:t>
            </w:r>
          </w:p>
        </w:tc>
        <w:tc>
          <w:tcPr>
            <w:tcW w:w="1257" w:type="dxa"/>
            <w:shd w:val="clear" w:color="auto" w:fill="auto"/>
            <w:noWrap/>
            <w:vAlign w:val="center"/>
            <w:hideMark/>
          </w:tcPr>
          <w:p w14:paraId="3DF0450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NCT01578655</w:t>
            </w:r>
          </w:p>
        </w:tc>
        <w:tc>
          <w:tcPr>
            <w:tcW w:w="2208" w:type="dxa"/>
            <w:gridSpan w:val="2"/>
            <w:shd w:val="clear" w:color="auto" w:fill="auto"/>
            <w:vAlign w:val="center"/>
            <w:hideMark/>
          </w:tcPr>
          <w:p w14:paraId="4594697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Custirsen (OGX-011), cabazitaxel and prednisone</w:t>
            </w:r>
          </w:p>
        </w:tc>
        <w:tc>
          <w:tcPr>
            <w:tcW w:w="2694" w:type="dxa"/>
            <w:gridSpan w:val="2"/>
            <w:shd w:val="clear" w:color="auto" w:fill="auto"/>
            <w:noWrap/>
            <w:vAlign w:val="center"/>
            <w:hideMark/>
          </w:tcPr>
          <w:p w14:paraId="699EF13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Prostate cancer</w:t>
            </w:r>
          </w:p>
        </w:tc>
        <w:tc>
          <w:tcPr>
            <w:tcW w:w="6538" w:type="dxa"/>
            <w:gridSpan w:val="2"/>
            <w:shd w:val="clear" w:color="auto" w:fill="auto"/>
            <w:vAlign w:val="center"/>
            <w:hideMark/>
          </w:tcPr>
          <w:p w14:paraId="1198B5E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Beer TM, Hotte SJ, Saad F, Alekseev B, Matveev V, Fléchon A, Gravis G, Joly F, Chi KN, Malik Z, Blumenstein B, Stewart PS, Jacobs CA, Fizazi K. Custirsen (OGX-011) combined with cabazitaxel and prednisone versus cabazitaxel and prednisone alone in patients with metastatic castration-resistant prostate cancer previously treated with docetaxel (AFFINITY): a randomised, open-label, international, phase 3 trial. Lancet Oncol. 2017 Nov;18(11):1532-1542. doi: 10.1016/S1470-2045(17)30605-8. Epub 2017 Oct 9. PMID: 29033099.</w:t>
            </w:r>
          </w:p>
        </w:tc>
      </w:tr>
      <w:tr w:rsidR="00542C3C" w:rsidRPr="00CD407E" w14:paraId="4B489A1A" w14:textId="77777777" w:rsidTr="009622A0">
        <w:trPr>
          <w:gridAfter w:val="1"/>
          <w:wAfter w:w="89" w:type="dxa"/>
          <w:trHeight w:val="830"/>
        </w:trPr>
        <w:tc>
          <w:tcPr>
            <w:tcW w:w="741" w:type="dxa"/>
            <w:shd w:val="clear" w:color="auto" w:fill="auto"/>
            <w:noWrap/>
            <w:vAlign w:val="center"/>
            <w:hideMark/>
          </w:tcPr>
          <w:p w14:paraId="21C14ED4"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N-16</w:t>
            </w:r>
          </w:p>
        </w:tc>
        <w:tc>
          <w:tcPr>
            <w:tcW w:w="1257" w:type="dxa"/>
            <w:shd w:val="clear" w:color="auto" w:fill="auto"/>
            <w:noWrap/>
            <w:vAlign w:val="center"/>
            <w:hideMark/>
          </w:tcPr>
          <w:p w14:paraId="0FF9F1F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NCT00130728</w:t>
            </w:r>
          </w:p>
        </w:tc>
        <w:tc>
          <w:tcPr>
            <w:tcW w:w="2208" w:type="dxa"/>
            <w:gridSpan w:val="2"/>
            <w:shd w:val="clear" w:color="auto" w:fill="auto"/>
            <w:vAlign w:val="center"/>
            <w:hideMark/>
          </w:tcPr>
          <w:p w14:paraId="02C32C4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Bevacizumab plus erlotinib</w:t>
            </w:r>
          </w:p>
        </w:tc>
        <w:tc>
          <w:tcPr>
            <w:tcW w:w="2694" w:type="dxa"/>
            <w:gridSpan w:val="2"/>
            <w:shd w:val="clear" w:color="auto" w:fill="auto"/>
            <w:noWrap/>
            <w:vAlign w:val="center"/>
            <w:hideMark/>
          </w:tcPr>
          <w:p w14:paraId="14865A1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Non-small cell lung cancer</w:t>
            </w:r>
          </w:p>
        </w:tc>
        <w:tc>
          <w:tcPr>
            <w:tcW w:w="6538" w:type="dxa"/>
            <w:gridSpan w:val="2"/>
            <w:shd w:val="clear" w:color="auto" w:fill="auto"/>
            <w:vAlign w:val="center"/>
            <w:hideMark/>
          </w:tcPr>
          <w:p w14:paraId="013AE3FA"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Herbst RS, Ansari R, Bustin F, Flynn P, Hart L, Otterson GA, Vlahovic G, Soh CH, O'Connor P, Hainsworth J. Efficacy of bevacizumab plus erlotinib versus erlotinib alone in advanced non-small-cell lung cancer after failure of standard first-line chemotherapy (BeTa): a double-blind, placebo-controlled, phase 3 trial. Lancet. 2011 May 28;377(9780):1846-54. doi: 10.1016/S0140-6736(11)60545-X. PMID: 21621716; PMCID: PMC4134127.</w:t>
            </w:r>
          </w:p>
        </w:tc>
      </w:tr>
      <w:tr w:rsidR="00542C3C" w:rsidRPr="00CD407E" w14:paraId="33CD314C" w14:textId="77777777" w:rsidTr="009622A0">
        <w:trPr>
          <w:gridAfter w:val="1"/>
          <w:wAfter w:w="89" w:type="dxa"/>
          <w:trHeight w:val="830"/>
        </w:trPr>
        <w:tc>
          <w:tcPr>
            <w:tcW w:w="741" w:type="dxa"/>
            <w:shd w:val="clear" w:color="auto" w:fill="auto"/>
            <w:noWrap/>
            <w:vAlign w:val="center"/>
            <w:hideMark/>
          </w:tcPr>
          <w:p w14:paraId="3B4CBEB3"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lastRenderedPageBreak/>
              <w:t>N-17</w:t>
            </w:r>
          </w:p>
        </w:tc>
        <w:tc>
          <w:tcPr>
            <w:tcW w:w="1257" w:type="dxa"/>
            <w:shd w:val="clear" w:color="auto" w:fill="auto"/>
            <w:noWrap/>
            <w:vAlign w:val="center"/>
            <w:hideMark/>
          </w:tcPr>
          <w:p w14:paraId="0A3CA38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NCT01419197</w:t>
            </w:r>
          </w:p>
        </w:tc>
        <w:tc>
          <w:tcPr>
            <w:tcW w:w="2208" w:type="dxa"/>
            <w:gridSpan w:val="2"/>
            <w:shd w:val="clear" w:color="auto" w:fill="auto"/>
            <w:vAlign w:val="center"/>
            <w:hideMark/>
          </w:tcPr>
          <w:p w14:paraId="53597AD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T-DM1 (Trastuzumab emtansine)</w:t>
            </w:r>
          </w:p>
        </w:tc>
        <w:tc>
          <w:tcPr>
            <w:tcW w:w="2694" w:type="dxa"/>
            <w:gridSpan w:val="2"/>
            <w:shd w:val="clear" w:color="auto" w:fill="auto"/>
            <w:noWrap/>
            <w:vAlign w:val="center"/>
            <w:hideMark/>
          </w:tcPr>
          <w:p w14:paraId="2ACA179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Breast cancer</w:t>
            </w:r>
          </w:p>
        </w:tc>
        <w:tc>
          <w:tcPr>
            <w:tcW w:w="6538" w:type="dxa"/>
            <w:gridSpan w:val="2"/>
            <w:shd w:val="clear" w:color="auto" w:fill="auto"/>
            <w:vAlign w:val="center"/>
            <w:hideMark/>
          </w:tcPr>
          <w:p w14:paraId="25F7F05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Krop IE, Kim SB, González-Martín A, LoRusso PM, Ferrero JM, Smitt M, Yu R, Leung AC, Wildiers H; TH3RESA study collaborators. Trastuzumab emtansine versus treatment of physician's choice for pretreated HER2-positive advanced breast cancer (TH3RESA): a randomised, open-label, phase 3 trial. Lancet Oncol. 2014 Jun;15(7):689-99. doi: 10.1016/S1470-2045(14)70178-0. Epub 2014 May 2. PMID: 24793816.</w:t>
            </w:r>
          </w:p>
        </w:tc>
      </w:tr>
      <w:tr w:rsidR="00542C3C" w:rsidRPr="00CD407E" w14:paraId="2F031BA2" w14:textId="77777777" w:rsidTr="009622A0">
        <w:trPr>
          <w:gridAfter w:val="1"/>
          <w:wAfter w:w="89" w:type="dxa"/>
          <w:trHeight w:val="830"/>
        </w:trPr>
        <w:tc>
          <w:tcPr>
            <w:tcW w:w="741" w:type="dxa"/>
            <w:shd w:val="clear" w:color="auto" w:fill="auto"/>
            <w:noWrap/>
            <w:vAlign w:val="center"/>
            <w:hideMark/>
          </w:tcPr>
          <w:p w14:paraId="61E900B5"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N-18</w:t>
            </w:r>
          </w:p>
        </w:tc>
        <w:tc>
          <w:tcPr>
            <w:tcW w:w="1257" w:type="dxa"/>
            <w:shd w:val="clear" w:color="auto" w:fill="auto"/>
            <w:noWrap/>
            <w:vAlign w:val="center"/>
            <w:hideMark/>
          </w:tcPr>
          <w:p w14:paraId="42CD004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NCT00686959</w:t>
            </w:r>
          </w:p>
        </w:tc>
        <w:tc>
          <w:tcPr>
            <w:tcW w:w="2208" w:type="dxa"/>
            <w:gridSpan w:val="2"/>
            <w:shd w:val="clear" w:color="auto" w:fill="auto"/>
            <w:vAlign w:val="center"/>
            <w:hideMark/>
          </w:tcPr>
          <w:p w14:paraId="4D8FE26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Pemetrexed plus cisplatin and thoracic radiation therapy</w:t>
            </w:r>
          </w:p>
        </w:tc>
        <w:tc>
          <w:tcPr>
            <w:tcW w:w="2694" w:type="dxa"/>
            <w:gridSpan w:val="2"/>
            <w:shd w:val="clear" w:color="auto" w:fill="auto"/>
            <w:noWrap/>
            <w:vAlign w:val="center"/>
            <w:hideMark/>
          </w:tcPr>
          <w:p w14:paraId="23EC8D7D"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Non-small cell lung cancer</w:t>
            </w:r>
          </w:p>
        </w:tc>
        <w:tc>
          <w:tcPr>
            <w:tcW w:w="6538" w:type="dxa"/>
            <w:gridSpan w:val="2"/>
            <w:shd w:val="clear" w:color="auto" w:fill="auto"/>
            <w:vAlign w:val="center"/>
            <w:hideMark/>
          </w:tcPr>
          <w:p w14:paraId="44FCBD9D"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Brade AM, Wenz F, Koppe F, Lievens Y, San Antonio B, Iscoe NA, Hossain A, Chouaki N, Senan S. Radiation Therapy Quality Assurance (RTQA) of Concurrent Chemoradiation Therapy for Locally Advanced Non-Small Cell Lung Cancer in the PROCLAIM Phase 3 Trial. Int J Radiat Oncol Biol Phys. 2018 Jul 15;101(4):927-934. doi: 10.1016/j.ijrobp.2018.04.015. Epub 2018 Apr 12. PMID: 29976505.</w:t>
            </w:r>
          </w:p>
        </w:tc>
      </w:tr>
      <w:tr w:rsidR="00542C3C" w:rsidRPr="00CD407E" w14:paraId="4EBAE3BA" w14:textId="77777777" w:rsidTr="009622A0">
        <w:trPr>
          <w:gridAfter w:val="1"/>
          <w:wAfter w:w="89" w:type="dxa"/>
          <w:trHeight w:val="1430"/>
        </w:trPr>
        <w:tc>
          <w:tcPr>
            <w:tcW w:w="741" w:type="dxa"/>
            <w:shd w:val="clear" w:color="auto" w:fill="auto"/>
            <w:noWrap/>
            <w:vAlign w:val="center"/>
            <w:hideMark/>
          </w:tcPr>
          <w:p w14:paraId="2547E966"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N-19</w:t>
            </w:r>
          </w:p>
        </w:tc>
        <w:tc>
          <w:tcPr>
            <w:tcW w:w="1257" w:type="dxa"/>
            <w:shd w:val="clear" w:color="auto" w:fill="auto"/>
            <w:noWrap/>
            <w:vAlign w:val="center"/>
            <w:hideMark/>
          </w:tcPr>
          <w:p w14:paraId="52D1B5D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NCT01191801</w:t>
            </w:r>
          </w:p>
        </w:tc>
        <w:tc>
          <w:tcPr>
            <w:tcW w:w="2208" w:type="dxa"/>
            <w:gridSpan w:val="2"/>
            <w:shd w:val="clear" w:color="auto" w:fill="auto"/>
            <w:vAlign w:val="center"/>
            <w:hideMark/>
          </w:tcPr>
          <w:p w14:paraId="5239AD0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Vosaroxin plus cytarabine</w:t>
            </w:r>
          </w:p>
        </w:tc>
        <w:tc>
          <w:tcPr>
            <w:tcW w:w="2694" w:type="dxa"/>
            <w:gridSpan w:val="2"/>
            <w:shd w:val="clear" w:color="auto" w:fill="auto"/>
            <w:noWrap/>
            <w:vAlign w:val="center"/>
            <w:hideMark/>
          </w:tcPr>
          <w:p w14:paraId="09AFE10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Acute myeloid leukemia</w:t>
            </w:r>
          </w:p>
        </w:tc>
        <w:tc>
          <w:tcPr>
            <w:tcW w:w="6538" w:type="dxa"/>
            <w:gridSpan w:val="2"/>
            <w:shd w:val="clear" w:color="auto" w:fill="auto"/>
            <w:vAlign w:val="center"/>
            <w:hideMark/>
          </w:tcPr>
          <w:p w14:paraId="3B588A3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Ravandi F, Ritchie EK, Sayar H, Lancet JE, Craig MD, Vey N, Strickland SA, Schiller GJ, Jabbour E, Erba HP, Pigneux A, Horst HA, Recher C, Klimek VM, Cortes J, Roboz GJ, Odenike O, Thomas X, Havelange V, Maertens J, Derigs HG, Heuser M, Damon L, Powell BL, Gaidano G, Carella AM, Wei A, Hogge D, Craig AR, Fox JA, Ward R, Smith JA, Acton G, Mehta C, Stuart RK, Kantarjian HM. Vosaroxin plus cytarabine versus placebo plus cytarabine in patients with first relapsed or refractory acute myeloid leukaemia (VALOR): a randomised, controlled, double-blind, multinational, phase 3 study. Lancet Oncol. 2015 Sep;16(9):1025-1036. doi: 10.1016/S1470-2045(15)00201-6. Epub 2015 Jul 30. PMID: 26234174; PMCID: PMC4822512.</w:t>
            </w:r>
          </w:p>
        </w:tc>
      </w:tr>
      <w:tr w:rsidR="00542C3C" w:rsidRPr="00CD407E" w14:paraId="710DDC48" w14:textId="77777777" w:rsidTr="009622A0">
        <w:trPr>
          <w:gridAfter w:val="1"/>
          <w:wAfter w:w="89" w:type="dxa"/>
          <w:trHeight w:val="290"/>
        </w:trPr>
        <w:tc>
          <w:tcPr>
            <w:tcW w:w="741" w:type="dxa"/>
            <w:shd w:val="clear" w:color="auto" w:fill="auto"/>
            <w:noWrap/>
            <w:vAlign w:val="center"/>
            <w:hideMark/>
          </w:tcPr>
          <w:p w14:paraId="72BF338E"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N-20</w:t>
            </w:r>
          </w:p>
        </w:tc>
        <w:tc>
          <w:tcPr>
            <w:tcW w:w="1257" w:type="dxa"/>
            <w:shd w:val="clear" w:color="auto" w:fill="auto"/>
            <w:noWrap/>
            <w:vAlign w:val="center"/>
            <w:hideMark/>
          </w:tcPr>
          <w:p w14:paraId="2C29B86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NCT01327885</w:t>
            </w:r>
          </w:p>
        </w:tc>
        <w:tc>
          <w:tcPr>
            <w:tcW w:w="2208" w:type="dxa"/>
            <w:gridSpan w:val="2"/>
            <w:shd w:val="clear" w:color="auto" w:fill="auto"/>
            <w:vAlign w:val="center"/>
            <w:hideMark/>
          </w:tcPr>
          <w:p w14:paraId="579373B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Eribulin</w:t>
            </w:r>
          </w:p>
        </w:tc>
        <w:tc>
          <w:tcPr>
            <w:tcW w:w="2694" w:type="dxa"/>
            <w:gridSpan w:val="2"/>
            <w:shd w:val="clear" w:color="auto" w:fill="auto"/>
            <w:noWrap/>
            <w:vAlign w:val="center"/>
            <w:hideMark/>
          </w:tcPr>
          <w:p w14:paraId="4ECB5E2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Soft tissue sarcoma(liposarcoma and leiomyosarcoma)</w:t>
            </w:r>
          </w:p>
        </w:tc>
        <w:tc>
          <w:tcPr>
            <w:tcW w:w="6538" w:type="dxa"/>
            <w:gridSpan w:val="2"/>
            <w:shd w:val="clear" w:color="auto" w:fill="auto"/>
            <w:noWrap/>
            <w:vAlign w:val="center"/>
            <w:hideMark/>
          </w:tcPr>
          <w:p w14:paraId="6AE868EA"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Schöffski P, Chawla S, Maki RG, Italiano A, Gelderblom H, Choy E, Grignani G, Camargo V, Bauer S, Rha SY, Blay JY, Hohenberger P, D'Adamo D, Guo M, Chmielowski B, Le Cesne A, Demetri GD, Patel SR. Eribulin versus dacarbazine in previously treated patients with advanced liposarcoma or leiomyosarcoma: a randomised, open-label, multicentre, phase 3 trial. Lancet. 2016 Apr 16;387(10028):1629-37. doi: 10.1016/S0140-6736(15)01283-0. Epub 2016 Feb 10. PMID: 26874885.</w:t>
            </w:r>
          </w:p>
        </w:tc>
      </w:tr>
      <w:tr w:rsidR="00542C3C" w:rsidRPr="00CD407E" w14:paraId="14AD9C18" w14:textId="77777777" w:rsidTr="009622A0">
        <w:trPr>
          <w:gridAfter w:val="1"/>
          <w:wAfter w:w="89" w:type="dxa"/>
          <w:trHeight w:val="1030"/>
        </w:trPr>
        <w:tc>
          <w:tcPr>
            <w:tcW w:w="741" w:type="dxa"/>
            <w:shd w:val="clear" w:color="auto" w:fill="auto"/>
            <w:noWrap/>
            <w:vAlign w:val="center"/>
            <w:hideMark/>
          </w:tcPr>
          <w:p w14:paraId="3BC898FD"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N-21</w:t>
            </w:r>
          </w:p>
        </w:tc>
        <w:tc>
          <w:tcPr>
            <w:tcW w:w="1257" w:type="dxa"/>
            <w:shd w:val="clear" w:color="auto" w:fill="auto"/>
            <w:noWrap/>
            <w:vAlign w:val="center"/>
            <w:hideMark/>
          </w:tcPr>
          <w:p w14:paraId="19A1EBD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NCT01287585</w:t>
            </w:r>
          </w:p>
        </w:tc>
        <w:tc>
          <w:tcPr>
            <w:tcW w:w="2208" w:type="dxa"/>
            <w:gridSpan w:val="2"/>
            <w:shd w:val="clear" w:color="auto" w:fill="auto"/>
            <w:vAlign w:val="center"/>
            <w:hideMark/>
          </w:tcPr>
          <w:p w14:paraId="73E261D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ADI-PEG 20 plus BSC</w:t>
            </w:r>
          </w:p>
        </w:tc>
        <w:tc>
          <w:tcPr>
            <w:tcW w:w="2694" w:type="dxa"/>
            <w:gridSpan w:val="2"/>
            <w:shd w:val="clear" w:color="auto" w:fill="auto"/>
            <w:noWrap/>
            <w:vAlign w:val="center"/>
            <w:hideMark/>
          </w:tcPr>
          <w:p w14:paraId="4ED045CD"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Hepatocellular carcinoma</w:t>
            </w:r>
          </w:p>
        </w:tc>
        <w:tc>
          <w:tcPr>
            <w:tcW w:w="6538" w:type="dxa"/>
            <w:gridSpan w:val="2"/>
            <w:shd w:val="clear" w:color="auto" w:fill="auto"/>
            <w:vAlign w:val="center"/>
            <w:hideMark/>
          </w:tcPr>
          <w:p w14:paraId="2712BB7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Abou-Alfa GK, Qin S, Ryoo BY, Lu SN, Yen CJ, Feng YH, Lim HY, Izzo F, Colombo M, Sarker D, Bolondi L, Vaccaro G, Harris WP, Chen Z, Hubner RA, Meyer T, Sun W, Harding JJ, Hollywood EM, Ma J, Wan PJ, Ly M, Bomalaski J, Johnston A, Lin CC, Chao Y, Chen LT. Phase III randomized study of second line ADI-PEG 20 plus best supportive care versus placebo plus best supportive care in patients with advanced hepatocellular carcinoma. Ann Oncol. 2018 Jun 1;29(6):1402-1408. doi: 10.1093/annonc/mdy101. PMID: 29659672.</w:t>
            </w:r>
          </w:p>
        </w:tc>
      </w:tr>
      <w:tr w:rsidR="00542C3C" w:rsidRPr="00CD407E" w14:paraId="3094C435" w14:textId="77777777" w:rsidTr="009622A0">
        <w:trPr>
          <w:gridAfter w:val="1"/>
          <w:wAfter w:w="89" w:type="dxa"/>
          <w:trHeight w:val="830"/>
        </w:trPr>
        <w:tc>
          <w:tcPr>
            <w:tcW w:w="741" w:type="dxa"/>
            <w:shd w:val="clear" w:color="auto" w:fill="auto"/>
            <w:noWrap/>
            <w:vAlign w:val="center"/>
            <w:hideMark/>
          </w:tcPr>
          <w:p w14:paraId="634A077A"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N-22</w:t>
            </w:r>
          </w:p>
        </w:tc>
        <w:tc>
          <w:tcPr>
            <w:tcW w:w="1257" w:type="dxa"/>
            <w:shd w:val="clear" w:color="auto" w:fill="auto"/>
            <w:noWrap/>
            <w:vAlign w:val="center"/>
            <w:hideMark/>
          </w:tcPr>
          <w:p w14:paraId="2A0DCD7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NCT00548548</w:t>
            </w:r>
          </w:p>
        </w:tc>
        <w:tc>
          <w:tcPr>
            <w:tcW w:w="2208" w:type="dxa"/>
            <w:gridSpan w:val="2"/>
            <w:shd w:val="clear" w:color="auto" w:fill="auto"/>
            <w:vAlign w:val="center"/>
            <w:hideMark/>
          </w:tcPr>
          <w:p w14:paraId="6E8FB7D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 xml:space="preserve">Bevacizumab plus cisplatin and capecitabine </w:t>
            </w:r>
          </w:p>
        </w:tc>
        <w:tc>
          <w:tcPr>
            <w:tcW w:w="2694" w:type="dxa"/>
            <w:gridSpan w:val="2"/>
            <w:shd w:val="clear" w:color="auto" w:fill="auto"/>
            <w:noWrap/>
            <w:vAlign w:val="center"/>
            <w:hideMark/>
          </w:tcPr>
          <w:p w14:paraId="1A8C0DF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Gastric cancer</w:t>
            </w:r>
          </w:p>
        </w:tc>
        <w:tc>
          <w:tcPr>
            <w:tcW w:w="6538" w:type="dxa"/>
            <w:gridSpan w:val="2"/>
            <w:shd w:val="clear" w:color="auto" w:fill="auto"/>
            <w:vAlign w:val="center"/>
            <w:hideMark/>
          </w:tcPr>
          <w:p w14:paraId="09FFACCC"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Ohtsu A, Shah MA, Van Cutsem E, Rha SY, Sawaki A, Park SR, Lim HY, Yamada Y, Wu J, Langer B, Starnawski M, Kang YK. Bevacizumab in combination with chemotherapy as first-line therapy in advanced gastric cancer: a randomized, double-blind, placebo-controlled phase III study. J Clin Oncol. 2011 Oct 20;29(30):3968-76. doi: 10.1200/JCO.2011.36.2236. Epub 2011 Aug 15. PMID: 21844504.</w:t>
            </w:r>
          </w:p>
        </w:tc>
      </w:tr>
      <w:tr w:rsidR="00542C3C" w:rsidRPr="00CD407E" w14:paraId="3668154D" w14:textId="77777777" w:rsidTr="009622A0">
        <w:trPr>
          <w:gridAfter w:val="1"/>
          <w:wAfter w:w="89" w:type="dxa"/>
          <w:trHeight w:val="1430"/>
        </w:trPr>
        <w:tc>
          <w:tcPr>
            <w:tcW w:w="741" w:type="dxa"/>
            <w:shd w:val="clear" w:color="auto" w:fill="auto"/>
            <w:noWrap/>
            <w:vAlign w:val="center"/>
            <w:hideMark/>
          </w:tcPr>
          <w:p w14:paraId="563804A3"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N-23</w:t>
            </w:r>
          </w:p>
        </w:tc>
        <w:tc>
          <w:tcPr>
            <w:tcW w:w="1257" w:type="dxa"/>
            <w:shd w:val="clear" w:color="auto" w:fill="auto"/>
            <w:noWrap/>
            <w:vAlign w:val="center"/>
            <w:hideMark/>
          </w:tcPr>
          <w:p w14:paraId="3E16C3D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NCT00762034</w:t>
            </w:r>
          </w:p>
        </w:tc>
        <w:tc>
          <w:tcPr>
            <w:tcW w:w="2208" w:type="dxa"/>
            <w:gridSpan w:val="2"/>
            <w:shd w:val="clear" w:color="auto" w:fill="auto"/>
            <w:vAlign w:val="center"/>
            <w:hideMark/>
          </w:tcPr>
          <w:p w14:paraId="0A632AA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Pemetrexed plus carboplatin and bevacizumab</w:t>
            </w:r>
          </w:p>
        </w:tc>
        <w:tc>
          <w:tcPr>
            <w:tcW w:w="2694" w:type="dxa"/>
            <w:gridSpan w:val="2"/>
            <w:shd w:val="clear" w:color="auto" w:fill="auto"/>
            <w:noWrap/>
            <w:vAlign w:val="center"/>
            <w:hideMark/>
          </w:tcPr>
          <w:p w14:paraId="19672614"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Non-small cell lung cancer</w:t>
            </w:r>
          </w:p>
        </w:tc>
        <w:tc>
          <w:tcPr>
            <w:tcW w:w="6538" w:type="dxa"/>
            <w:gridSpan w:val="2"/>
            <w:shd w:val="clear" w:color="auto" w:fill="auto"/>
            <w:vAlign w:val="center"/>
            <w:hideMark/>
          </w:tcPr>
          <w:p w14:paraId="252C7A9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Patel JD, Socinski MA, Garon EB, Reynolds CH, Spigel DR, Olsen MR, Hermann RC, Jotte RM, Beck T, Richards DA, Guba SC, Liu J, Frimodt-Moller B, John WJ, Obasaju CK, Pennella EJ, Bonomi P, Govindan R. PointBreak: a randomized phase III study of pemetrexed plus carboplatin and bevacizumab followed by maintenance pemetrexed and bevacizumab versus paclitaxel plus carboplatin and bevacizumab followed by maintenance bevacizumab in patients with stage IIIB or IV nonsquamous non-small-cell lung cancer. J Clin Oncol. 2013 Dec 1;31(34):4349-57. doi: 10.1200/JCO.2012.47.9626. Epub 2013 Oct 21. PMID: 24145346; PMCID: PMC4881367.</w:t>
            </w:r>
          </w:p>
        </w:tc>
      </w:tr>
      <w:tr w:rsidR="00542C3C" w:rsidRPr="00CD407E" w14:paraId="644BFB4C" w14:textId="77777777" w:rsidTr="009622A0">
        <w:trPr>
          <w:gridAfter w:val="1"/>
          <w:wAfter w:w="89" w:type="dxa"/>
          <w:trHeight w:val="1030"/>
        </w:trPr>
        <w:tc>
          <w:tcPr>
            <w:tcW w:w="741" w:type="dxa"/>
            <w:shd w:val="clear" w:color="auto" w:fill="auto"/>
            <w:noWrap/>
            <w:vAlign w:val="center"/>
            <w:hideMark/>
          </w:tcPr>
          <w:p w14:paraId="5205FD05"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N-24</w:t>
            </w:r>
          </w:p>
        </w:tc>
        <w:tc>
          <w:tcPr>
            <w:tcW w:w="1257" w:type="dxa"/>
            <w:shd w:val="clear" w:color="auto" w:fill="auto"/>
            <w:noWrap/>
            <w:vAlign w:val="center"/>
            <w:hideMark/>
          </w:tcPr>
          <w:p w14:paraId="4AC87EA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NCT02119663</w:t>
            </w:r>
          </w:p>
        </w:tc>
        <w:tc>
          <w:tcPr>
            <w:tcW w:w="2208" w:type="dxa"/>
            <w:gridSpan w:val="2"/>
            <w:shd w:val="clear" w:color="auto" w:fill="auto"/>
            <w:vAlign w:val="center"/>
            <w:hideMark/>
          </w:tcPr>
          <w:p w14:paraId="08B0DF9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Ruxolitinib plus capecitabine</w:t>
            </w:r>
          </w:p>
        </w:tc>
        <w:tc>
          <w:tcPr>
            <w:tcW w:w="2694" w:type="dxa"/>
            <w:gridSpan w:val="2"/>
            <w:shd w:val="clear" w:color="auto" w:fill="auto"/>
            <w:noWrap/>
            <w:vAlign w:val="center"/>
            <w:hideMark/>
          </w:tcPr>
          <w:p w14:paraId="047D3E94"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Pancreatic cancer</w:t>
            </w:r>
          </w:p>
        </w:tc>
        <w:tc>
          <w:tcPr>
            <w:tcW w:w="6538" w:type="dxa"/>
            <w:gridSpan w:val="2"/>
            <w:shd w:val="clear" w:color="auto" w:fill="auto"/>
            <w:vAlign w:val="center"/>
            <w:hideMark/>
          </w:tcPr>
          <w:p w14:paraId="53D66E2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Hurwitz H, Van Cutsem E, Bendell J, Hidalgo M, Li CP, Salvo MG, Macarulla T, Sahai V, Sama A, Greeno E, Yu KH, Verslype C, Dawkins F, Walker C, Clark J, O'Reilly EM. Ruxolitinib + capecitabine in advanced/metastatic pancreatic cancer after disease progression/intolerance to first-line therapy: JANUS 1 and 2 randomized phase III studies. Invest New Drugs. 2018 Aug;36(4):683-695. doi: 10.1007/s10637-018-0580-2. Epub 2018 Mar 6. PMID: 29508247; PMCID: PMC6752723.</w:t>
            </w:r>
          </w:p>
        </w:tc>
      </w:tr>
      <w:tr w:rsidR="00542C3C" w:rsidRPr="00CD407E" w14:paraId="6B04EC6A" w14:textId="77777777" w:rsidTr="009622A0">
        <w:trPr>
          <w:gridAfter w:val="1"/>
          <w:wAfter w:w="89" w:type="dxa"/>
          <w:trHeight w:val="1030"/>
        </w:trPr>
        <w:tc>
          <w:tcPr>
            <w:tcW w:w="741" w:type="dxa"/>
            <w:shd w:val="clear" w:color="auto" w:fill="auto"/>
            <w:noWrap/>
            <w:vAlign w:val="center"/>
            <w:hideMark/>
          </w:tcPr>
          <w:p w14:paraId="51F4707E"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lastRenderedPageBreak/>
              <w:t>N-25</w:t>
            </w:r>
          </w:p>
        </w:tc>
        <w:tc>
          <w:tcPr>
            <w:tcW w:w="1257" w:type="dxa"/>
            <w:shd w:val="clear" w:color="auto" w:fill="auto"/>
            <w:noWrap/>
            <w:vAlign w:val="center"/>
            <w:hideMark/>
          </w:tcPr>
          <w:p w14:paraId="298C827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NCT02117479</w:t>
            </w:r>
          </w:p>
        </w:tc>
        <w:tc>
          <w:tcPr>
            <w:tcW w:w="2208" w:type="dxa"/>
            <w:gridSpan w:val="2"/>
            <w:shd w:val="clear" w:color="auto" w:fill="auto"/>
            <w:vAlign w:val="center"/>
            <w:hideMark/>
          </w:tcPr>
          <w:p w14:paraId="0E75F044"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Ruxolitinib plus capecitabine</w:t>
            </w:r>
          </w:p>
        </w:tc>
        <w:tc>
          <w:tcPr>
            <w:tcW w:w="2694" w:type="dxa"/>
            <w:gridSpan w:val="2"/>
            <w:shd w:val="clear" w:color="auto" w:fill="auto"/>
            <w:noWrap/>
            <w:vAlign w:val="center"/>
            <w:hideMark/>
          </w:tcPr>
          <w:p w14:paraId="5D8F1CC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Pancreatic cancer</w:t>
            </w:r>
          </w:p>
        </w:tc>
        <w:tc>
          <w:tcPr>
            <w:tcW w:w="6538" w:type="dxa"/>
            <w:gridSpan w:val="2"/>
            <w:shd w:val="clear" w:color="auto" w:fill="auto"/>
            <w:vAlign w:val="center"/>
            <w:hideMark/>
          </w:tcPr>
          <w:p w14:paraId="56508B8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Hurwitz H, Van Cutsem E, Bendell J, Hidalgo M, Li CP, Salvo MG, Macarulla T, Sahai V, Sama A, Greeno E, Yu KH, Verslype C, Dawkins F, Walker C, Clark J, O'Reilly EM. Ruxolitinib + capecitabine in advanced/metastatic pancreatic cancer after disease progression/intolerance to first-line therapy: JANUS 1 and 2 randomized phase III studies. Invest New Drugs. 2018 Aug;36(4):683-695. doi: 10.1007/s10637-018-0580-2. Epub 2018 Mar 6. PMID: 29508247; PMCID: PMC6752723.</w:t>
            </w:r>
          </w:p>
        </w:tc>
      </w:tr>
      <w:tr w:rsidR="00542C3C" w:rsidRPr="00CD407E" w14:paraId="68F70B33" w14:textId="77777777" w:rsidTr="009622A0">
        <w:trPr>
          <w:gridAfter w:val="1"/>
          <w:wAfter w:w="89" w:type="dxa"/>
          <w:trHeight w:val="1230"/>
        </w:trPr>
        <w:tc>
          <w:tcPr>
            <w:tcW w:w="741" w:type="dxa"/>
            <w:shd w:val="clear" w:color="auto" w:fill="auto"/>
            <w:noWrap/>
            <w:vAlign w:val="center"/>
            <w:hideMark/>
          </w:tcPr>
          <w:p w14:paraId="36EE97D1"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N-26</w:t>
            </w:r>
          </w:p>
        </w:tc>
        <w:tc>
          <w:tcPr>
            <w:tcW w:w="1257" w:type="dxa"/>
            <w:shd w:val="clear" w:color="auto" w:fill="auto"/>
            <w:noWrap/>
            <w:vAlign w:val="center"/>
            <w:hideMark/>
          </w:tcPr>
          <w:p w14:paraId="7A4309C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NCT01244191</w:t>
            </w:r>
          </w:p>
        </w:tc>
        <w:tc>
          <w:tcPr>
            <w:tcW w:w="2208" w:type="dxa"/>
            <w:gridSpan w:val="2"/>
            <w:shd w:val="clear" w:color="auto" w:fill="auto"/>
            <w:vAlign w:val="center"/>
            <w:hideMark/>
          </w:tcPr>
          <w:p w14:paraId="78DA59B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Tivantinib (ARQ 197) plus erlotinib</w:t>
            </w:r>
          </w:p>
        </w:tc>
        <w:tc>
          <w:tcPr>
            <w:tcW w:w="2694" w:type="dxa"/>
            <w:gridSpan w:val="2"/>
            <w:shd w:val="clear" w:color="auto" w:fill="auto"/>
            <w:noWrap/>
            <w:vAlign w:val="center"/>
            <w:hideMark/>
          </w:tcPr>
          <w:p w14:paraId="6BB01C8A"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Non-small cell lung cancer</w:t>
            </w:r>
          </w:p>
        </w:tc>
        <w:tc>
          <w:tcPr>
            <w:tcW w:w="6538" w:type="dxa"/>
            <w:gridSpan w:val="2"/>
            <w:shd w:val="clear" w:color="auto" w:fill="auto"/>
            <w:vAlign w:val="center"/>
            <w:hideMark/>
          </w:tcPr>
          <w:p w14:paraId="5E43C55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Scagliotti G, von Pawel J, Novello S, Ramlau R, Favaretto A, Barlesi F, Akerley W, Orlov S, Santoro A, Spigel D, Hirsh V, Shepherd FA, Sequist LV, Sandler A, Ross JS, Wang Q, von Roemeling R, Shuster D, Schwartz B. Phase III Multinational, Randomized, Double-Blind, Placebo-Controlled Study of Tivantinib (ARQ 197) Plus Erlotinib Versus Erlotinib Alone in Previously Treated Patients With Locally Advanced or Metastatic Nonsquamous Non-Small-Cell Lung Cancer. J Clin Oncol. 2015 Aug 20;33(24):2667-74. doi: 10.1200/JCO.2014.60.7317. Epub 2015 Jul 13. PMID: 26169611.</w:t>
            </w:r>
          </w:p>
        </w:tc>
      </w:tr>
      <w:tr w:rsidR="00542C3C" w:rsidRPr="00CD407E" w14:paraId="58D13E25" w14:textId="77777777" w:rsidTr="009622A0">
        <w:trPr>
          <w:gridAfter w:val="1"/>
          <w:wAfter w:w="89" w:type="dxa"/>
          <w:trHeight w:val="1230"/>
        </w:trPr>
        <w:tc>
          <w:tcPr>
            <w:tcW w:w="741" w:type="dxa"/>
            <w:shd w:val="clear" w:color="auto" w:fill="auto"/>
            <w:noWrap/>
            <w:vAlign w:val="center"/>
            <w:hideMark/>
          </w:tcPr>
          <w:p w14:paraId="687586E1"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N-27</w:t>
            </w:r>
          </w:p>
        </w:tc>
        <w:tc>
          <w:tcPr>
            <w:tcW w:w="1257" w:type="dxa"/>
            <w:shd w:val="clear" w:color="auto" w:fill="auto"/>
            <w:noWrap/>
            <w:vAlign w:val="center"/>
            <w:hideMark/>
          </w:tcPr>
          <w:p w14:paraId="7FC46064"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NCT01074047</w:t>
            </w:r>
          </w:p>
        </w:tc>
        <w:tc>
          <w:tcPr>
            <w:tcW w:w="2208" w:type="dxa"/>
            <w:gridSpan w:val="2"/>
            <w:shd w:val="clear" w:color="auto" w:fill="auto"/>
            <w:vAlign w:val="center"/>
            <w:hideMark/>
          </w:tcPr>
          <w:p w14:paraId="2BB2E9C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Azacitidine</w:t>
            </w:r>
          </w:p>
        </w:tc>
        <w:tc>
          <w:tcPr>
            <w:tcW w:w="2694" w:type="dxa"/>
            <w:gridSpan w:val="2"/>
            <w:shd w:val="clear" w:color="auto" w:fill="auto"/>
            <w:noWrap/>
            <w:vAlign w:val="center"/>
            <w:hideMark/>
          </w:tcPr>
          <w:p w14:paraId="09BFE83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Acute myeloid leukemia</w:t>
            </w:r>
          </w:p>
        </w:tc>
        <w:tc>
          <w:tcPr>
            <w:tcW w:w="6538" w:type="dxa"/>
            <w:gridSpan w:val="2"/>
            <w:shd w:val="clear" w:color="auto" w:fill="auto"/>
            <w:vAlign w:val="center"/>
            <w:hideMark/>
          </w:tcPr>
          <w:p w14:paraId="223B524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Dombret H, Seymour JF, Butrym A, Wierzbowska A, Selleslag D, Jang JH, Kumar R, Cavenagh J, Schuh AC, Candoni A, Récher C, Sandhu I, Bernal del Castillo T, Al-Ali HK, Martinelli G, Falantes J, Noppeney R, Stone RM, Minden MD, McIntyre H, Songer S, Lucy LM, Beach CL, Döhner H. International phase 3 study of azacitidine vs conventional care regimens in older patients with newly diagnosed AML with &gt;30% blasts. Blood. 2015 Jul 16;126(3):291-9. doi: 10.1182/blood-2015-01-621664. Epub 2015 May 18. PMID: 25987659; PMCID: PMC4504945.</w:t>
            </w:r>
          </w:p>
        </w:tc>
      </w:tr>
      <w:tr w:rsidR="00542C3C" w:rsidRPr="00CD407E" w14:paraId="2D81736F" w14:textId="77777777" w:rsidTr="009622A0">
        <w:trPr>
          <w:gridAfter w:val="1"/>
          <w:wAfter w:w="89" w:type="dxa"/>
          <w:trHeight w:val="830"/>
        </w:trPr>
        <w:tc>
          <w:tcPr>
            <w:tcW w:w="741" w:type="dxa"/>
            <w:shd w:val="clear" w:color="auto" w:fill="auto"/>
            <w:noWrap/>
            <w:vAlign w:val="center"/>
            <w:hideMark/>
          </w:tcPr>
          <w:p w14:paraId="6E49FA0A"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N-28</w:t>
            </w:r>
          </w:p>
        </w:tc>
        <w:tc>
          <w:tcPr>
            <w:tcW w:w="1257" w:type="dxa"/>
            <w:shd w:val="clear" w:color="auto" w:fill="auto"/>
            <w:noWrap/>
            <w:vAlign w:val="center"/>
            <w:hideMark/>
          </w:tcPr>
          <w:p w14:paraId="270A415A"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NCT00943826</w:t>
            </w:r>
          </w:p>
        </w:tc>
        <w:tc>
          <w:tcPr>
            <w:tcW w:w="2208" w:type="dxa"/>
            <w:gridSpan w:val="2"/>
            <w:shd w:val="clear" w:color="auto" w:fill="auto"/>
            <w:vAlign w:val="center"/>
            <w:hideMark/>
          </w:tcPr>
          <w:p w14:paraId="4F79ECF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Bevacizumab plus temozolomide and radiotherapy</w:t>
            </w:r>
          </w:p>
        </w:tc>
        <w:tc>
          <w:tcPr>
            <w:tcW w:w="2694" w:type="dxa"/>
            <w:gridSpan w:val="2"/>
            <w:shd w:val="clear" w:color="auto" w:fill="auto"/>
            <w:noWrap/>
            <w:vAlign w:val="center"/>
            <w:hideMark/>
          </w:tcPr>
          <w:p w14:paraId="1383ABD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Glioblastoma</w:t>
            </w:r>
          </w:p>
        </w:tc>
        <w:tc>
          <w:tcPr>
            <w:tcW w:w="6538" w:type="dxa"/>
            <w:gridSpan w:val="2"/>
            <w:shd w:val="clear" w:color="auto" w:fill="auto"/>
            <w:vAlign w:val="center"/>
            <w:hideMark/>
          </w:tcPr>
          <w:p w14:paraId="3D63821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Chinot OL, Wick W, Mason W, Henriksson R, Saran F, Nishikawa R, Carpentier AF, Hoang-Xuan K, Kavan P, Cernea D, Brandes AA, Hilton M, Abrey L, Cloughesy T. Bevacizumab plus radiotherapy-temozolomide for newly diagnosed glioblastoma. N Engl J Med. 2014 Feb 20;370(8):709-22. doi: 10.1056/NEJMoa1308345. PMID: 24552318.</w:t>
            </w:r>
          </w:p>
        </w:tc>
      </w:tr>
      <w:tr w:rsidR="00542C3C" w:rsidRPr="00CD407E" w14:paraId="1E9EB6A1" w14:textId="77777777" w:rsidTr="009622A0">
        <w:trPr>
          <w:gridAfter w:val="1"/>
          <w:wAfter w:w="89" w:type="dxa"/>
          <w:trHeight w:val="1030"/>
        </w:trPr>
        <w:tc>
          <w:tcPr>
            <w:tcW w:w="741" w:type="dxa"/>
            <w:shd w:val="clear" w:color="auto" w:fill="auto"/>
            <w:noWrap/>
            <w:vAlign w:val="center"/>
            <w:hideMark/>
          </w:tcPr>
          <w:p w14:paraId="5A363813"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N-29</w:t>
            </w:r>
          </w:p>
        </w:tc>
        <w:tc>
          <w:tcPr>
            <w:tcW w:w="1257" w:type="dxa"/>
            <w:shd w:val="clear" w:color="auto" w:fill="auto"/>
            <w:noWrap/>
            <w:vAlign w:val="center"/>
            <w:hideMark/>
          </w:tcPr>
          <w:p w14:paraId="6D12071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NCT00519285</w:t>
            </w:r>
          </w:p>
        </w:tc>
        <w:tc>
          <w:tcPr>
            <w:tcW w:w="2208" w:type="dxa"/>
            <w:gridSpan w:val="2"/>
            <w:shd w:val="clear" w:color="auto" w:fill="auto"/>
            <w:vAlign w:val="center"/>
            <w:hideMark/>
          </w:tcPr>
          <w:p w14:paraId="67A6130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Aflibercept plus docetaxel and predonisone</w:t>
            </w:r>
          </w:p>
        </w:tc>
        <w:tc>
          <w:tcPr>
            <w:tcW w:w="2694" w:type="dxa"/>
            <w:gridSpan w:val="2"/>
            <w:shd w:val="clear" w:color="auto" w:fill="auto"/>
            <w:noWrap/>
            <w:vAlign w:val="center"/>
            <w:hideMark/>
          </w:tcPr>
          <w:p w14:paraId="6934FD7C"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Prostate cancer</w:t>
            </w:r>
          </w:p>
        </w:tc>
        <w:tc>
          <w:tcPr>
            <w:tcW w:w="6538" w:type="dxa"/>
            <w:gridSpan w:val="2"/>
            <w:shd w:val="clear" w:color="auto" w:fill="auto"/>
            <w:vAlign w:val="center"/>
            <w:hideMark/>
          </w:tcPr>
          <w:p w14:paraId="30ED673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Tannock IF, Fizazi K, Ivanov S, Karlsson CT, Fléchon A, Skoneczna I, Orlandi F, Gravis G, Matveev V, Bavbek S, Gil T, Viana L, Arén O, Karyakin O, Elliott T, Birtle A, Magherini E, Hatteville L, Petrylak D, Tombal B, Rosenthal M; VENICE investigators. Aflibercept versus placebo in combination with docetaxel and prednisone for treatment of men with metastatic castration-resistant prostate cancer (VENICE): a phase 3, double-blind randomised trial. Lancet Oncol. 2013 Jul;14(8):760-8. doi: 10.1016/S1470-2045(13)70184-0. Epub 2013 Jun 4. PMID: 23742877.</w:t>
            </w:r>
          </w:p>
        </w:tc>
      </w:tr>
      <w:tr w:rsidR="00542C3C" w:rsidRPr="00CD407E" w14:paraId="0394E944" w14:textId="77777777" w:rsidTr="009622A0">
        <w:trPr>
          <w:gridAfter w:val="1"/>
          <w:wAfter w:w="89" w:type="dxa"/>
          <w:trHeight w:val="1230"/>
        </w:trPr>
        <w:tc>
          <w:tcPr>
            <w:tcW w:w="741" w:type="dxa"/>
            <w:shd w:val="clear" w:color="auto" w:fill="auto"/>
            <w:noWrap/>
            <w:vAlign w:val="center"/>
            <w:hideMark/>
          </w:tcPr>
          <w:p w14:paraId="49D0F0B1"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N-30</w:t>
            </w:r>
          </w:p>
        </w:tc>
        <w:tc>
          <w:tcPr>
            <w:tcW w:w="1257" w:type="dxa"/>
            <w:shd w:val="clear" w:color="auto" w:fill="auto"/>
            <w:noWrap/>
            <w:vAlign w:val="center"/>
            <w:hideMark/>
          </w:tcPr>
          <w:p w14:paraId="6FAE849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NCT02576977</w:t>
            </w:r>
          </w:p>
        </w:tc>
        <w:tc>
          <w:tcPr>
            <w:tcW w:w="2208" w:type="dxa"/>
            <w:gridSpan w:val="2"/>
            <w:shd w:val="clear" w:color="auto" w:fill="auto"/>
            <w:vAlign w:val="center"/>
            <w:hideMark/>
          </w:tcPr>
          <w:p w14:paraId="1521DAA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 xml:space="preserve">Pembrolizumab plus pomalidomide and dexamethasone </w:t>
            </w:r>
          </w:p>
        </w:tc>
        <w:tc>
          <w:tcPr>
            <w:tcW w:w="2694" w:type="dxa"/>
            <w:gridSpan w:val="2"/>
            <w:shd w:val="clear" w:color="auto" w:fill="auto"/>
            <w:noWrap/>
            <w:vAlign w:val="center"/>
            <w:hideMark/>
          </w:tcPr>
          <w:p w14:paraId="4ECE99FA"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Multiple myeloma</w:t>
            </w:r>
          </w:p>
        </w:tc>
        <w:tc>
          <w:tcPr>
            <w:tcW w:w="6538" w:type="dxa"/>
            <w:gridSpan w:val="2"/>
            <w:shd w:val="clear" w:color="auto" w:fill="auto"/>
            <w:vAlign w:val="center"/>
            <w:hideMark/>
          </w:tcPr>
          <w:p w14:paraId="66F5ED1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Mateos MV, Blacklock H, Schjesvold F, Oriol A, Simpson D, George A, Goldschmidt H, Larocca A, Chanan-Khan A, Sherbenou D, Avivi I, Benyamini N, Iida S, Matsumoto M, Suzuki K, Ribrag V, Usmani SZ, Jagannath S, Ocio EM, Rodriguez-Otero P, San Miguel J, Kher U, Farooqui M, Liao J, Marinello P, Lonial S; KEYNOTE-183 Investigators. Pembrolizumab plus pomalidomide and dexamethasone for patients with relapsed or refractory multiple myeloma (KEYNOTE-183): a randomised, open-label, phase 3 trial. Lancet Haematol. 2019 Sep;6(9):e459-e469. doi: 10.1016/S2352-3026(19)30110-3. Epub 2019 Jul 18. PMID: 31327687.</w:t>
            </w:r>
          </w:p>
        </w:tc>
      </w:tr>
      <w:tr w:rsidR="00542C3C" w:rsidRPr="00CD407E" w14:paraId="474270FB" w14:textId="77777777" w:rsidTr="009622A0">
        <w:trPr>
          <w:gridAfter w:val="1"/>
          <w:wAfter w:w="89" w:type="dxa"/>
          <w:trHeight w:val="830"/>
        </w:trPr>
        <w:tc>
          <w:tcPr>
            <w:tcW w:w="741" w:type="dxa"/>
            <w:shd w:val="clear" w:color="auto" w:fill="auto"/>
            <w:noWrap/>
            <w:vAlign w:val="center"/>
            <w:hideMark/>
          </w:tcPr>
          <w:p w14:paraId="02C596BF"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N-31</w:t>
            </w:r>
          </w:p>
        </w:tc>
        <w:tc>
          <w:tcPr>
            <w:tcW w:w="1257" w:type="dxa"/>
            <w:shd w:val="clear" w:color="auto" w:fill="auto"/>
            <w:noWrap/>
            <w:vAlign w:val="center"/>
            <w:hideMark/>
          </w:tcPr>
          <w:p w14:paraId="7134C3F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NCT00065468</w:t>
            </w:r>
          </w:p>
        </w:tc>
        <w:tc>
          <w:tcPr>
            <w:tcW w:w="2208" w:type="dxa"/>
            <w:gridSpan w:val="2"/>
            <w:shd w:val="clear" w:color="auto" w:fill="auto"/>
            <w:vAlign w:val="center"/>
            <w:hideMark/>
          </w:tcPr>
          <w:p w14:paraId="104F163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Temsirolimus plus interferon alpha</w:t>
            </w:r>
          </w:p>
        </w:tc>
        <w:tc>
          <w:tcPr>
            <w:tcW w:w="2694" w:type="dxa"/>
            <w:gridSpan w:val="2"/>
            <w:shd w:val="clear" w:color="auto" w:fill="auto"/>
            <w:noWrap/>
            <w:vAlign w:val="center"/>
            <w:hideMark/>
          </w:tcPr>
          <w:p w14:paraId="4513A54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Renal cell carcinoma</w:t>
            </w:r>
          </w:p>
        </w:tc>
        <w:tc>
          <w:tcPr>
            <w:tcW w:w="6538" w:type="dxa"/>
            <w:gridSpan w:val="2"/>
            <w:shd w:val="clear" w:color="auto" w:fill="auto"/>
            <w:vAlign w:val="center"/>
            <w:hideMark/>
          </w:tcPr>
          <w:p w14:paraId="1DB86D3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Hudes G, Carducci M, Tomczak P, Dutcher J, Figlin R, Kapoor A, Staroslawska E, Sosman J, McDermott D, Bodrogi I, Kovacevic Z, Lesovoy V, Schmidt-Wolf IG, Barbarash O, Gokmen E, O'Toole T, Lustgarten S, Moore L, Motzer RJ; Global ARCC Trial. Temsirolimus, interferon alfa, or both for advanced renal-cell carcinoma. N Engl J Med. 2007 May 31;356(22):2271-81. doi: 10.1056/NEJMoa066838. PMID: 17538086.</w:t>
            </w:r>
          </w:p>
        </w:tc>
      </w:tr>
      <w:tr w:rsidR="00542C3C" w:rsidRPr="00CD407E" w14:paraId="650E4906" w14:textId="77777777" w:rsidTr="009622A0">
        <w:trPr>
          <w:gridAfter w:val="1"/>
          <w:wAfter w:w="89" w:type="dxa"/>
          <w:trHeight w:val="1030"/>
        </w:trPr>
        <w:tc>
          <w:tcPr>
            <w:tcW w:w="741" w:type="dxa"/>
            <w:shd w:val="clear" w:color="auto" w:fill="auto"/>
            <w:noWrap/>
            <w:vAlign w:val="center"/>
            <w:hideMark/>
          </w:tcPr>
          <w:p w14:paraId="5AF52825"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N-32</w:t>
            </w:r>
          </w:p>
        </w:tc>
        <w:tc>
          <w:tcPr>
            <w:tcW w:w="1257" w:type="dxa"/>
            <w:shd w:val="clear" w:color="auto" w:fill="auto"/>
            <w:noWrap/>
            <w:vAlign w:val="center"/>
            <w:hideMark/>
          </w:tcPr>
          <w:p w14:paraId="0A1200EA"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NCT01308567</w:t>
            </w:r>
          </w:p>
        </w:tc>
        <w:tc>
          <w:tcPr>
            <w:tcW w:w="2208" w:type="dxa"/>
            <w:gridSpan w:val="2"/>
            <w:shd w:val="clear" w:color="auto" w:fill="auto"/>
            <w:vAlign w:val="center"/>
            <w:hideMark/>
          </w:tcPr>
          <w:p w14:paraId="6FB9D2F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Cabazitaxel 20 mg/m2</w:t>
            </w:r>
          </w:p>
        </w:tc>
        <w:tc>
          <w:tcPr>
            <w:tcW w:w="2694" w:type="dxa"/>
            <w:gridSpan w:val="2"/>
            <w:shd w:val="clear" w:color="auto" w:fill="auto"/>
            <w:noWrap/>
            <w:vAlign w:val="center"/>
            <w:hideMark/>
          </w:tcPr>
          <w:p w14:paraId="46DE61C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Prostate cancer</w:t>
            </w:r>
          </w:p>
        </w:tc>
        <w:tc>
          <w:tcPr>
            <w:tcW w:w="6538" w:type="dxa"/>
            <w:gridSpan w:val="2"/>
            <w:shd w:val="clear" w:color="auto" w:fill="auto"/>
            <w:vAlign w:val="center"/>
            <w:hideMark/>
          </w:tcPr>
          <w:p w14:paraId="5C593334"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Oudard S, Fizazi K, Sengeløv L, Daugaard G, Saad F, Hansen S, Hjälm-Eriksson M, Jassem J, Thiery-Vuillemin A, Caffo O, Castellano D, Mainwaring PN, Bernard J, Shen L, Chadjaa M, Sartor O. Cabazitaxel Versus Docetaxel As First-Line Therapy for Patients With Metastatic Castration-Resistant Prostate Cancer: A Randomized Phase III Trial-FIRSTANA. J Clin Oncol. 2017 Oct 1;35(28):3189-3197. doi: 10.1200/JCO.2016.72.1068. Epub 2017 Jul 28. PMID: 28753384.</w:t>
            </w:r>
          </w:p>
        </w:tc>
      </w:tr>
      <w:tr w:rsidR="00542C3C" w:rsidRPr="00CD407E" w14:paraId="4695B9E6" w14:textId="77777777" w:rsidTr="009622A0">
        <w:trPr>
          <w:gridAfter w:val="1"/>
          <w:wAfter w:w="89" w:type="dxa"/>
          <w:trHeight w:val="1030"/>
        </w:trPr>
        <w:tc>
          <w:tcPr>
            <w:tcW w:w="741" w:type="dxa"/>
            <w:shd w:val="clear" w:color="auto" w:fill="auto"/>
            <w:noWrap/>
            <w:vAlign w:val="center"/>
            <w:hideMark/>
          </w:tcPr>
          <w:p w14:paraId="70146409"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lastRenderedPageBreak/>
              <w:t>N-33</w:t>
            </w:r>
          </w:p>
        </w:tc>
        <w:tc>
          <w:tcPr>
            <w:tcW w:w="1257" w:type="dxa"/>
            <w:shd w:val="clear" w:color="auto" w:fill="auto"/>
            <w:noWrap/>
            <w:vAlign w:val="center"/>
            <w:hideMark/>
          </w:tcPr>
          <w:p w14:paraId="594EACF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NCT01308567</w:t>
            </w:r>
          </w:p>
        </w:tc>
        <w:tc>
          <w:tcPr>
            <w:tcW w:w="2208" w:type="dxa"/>
            <w:gridSpan w:val="2"/>
            <w:shd w:val="clear" w:color="auto" w:fill="auto"/>
            <w:vAlign w:val="center"/>
            <w:hideMark/>
          </w:tcPr>
          <w:p w14:paraId="3A4DAD8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Cabazitaxel  25 mg/m2</w:t>
            </w:r>
          </w:p>
        </w:tc>
        <w:tc>
          <w:tcPr>
            <w:tcW w:w="2694" w:type="dxa"/>
            <w:gridSpan w:val="2"/>
            <w:shd w:val="clear" w:color="auto" w:fill="auto"/>
            <w:noWrap/>
            <w:vAlign w:val="center"/>
            <w:hideMark/>
          </w:tcPr>
          <w:p w14:paraId="510730A4"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Prostate cancer</w:t>
            </w:r>
          </w:p>
        </w:tc>
        <w:tc>
          <w:tcPr>
            <w:tcW w:w="6538" w:type="dxa"/>
            <w:gridSpan w:val="2"/>
            <w:shd w:val="clear" w:color="auto" w:fill="auto"/>
            <w:vAlign w:val="center"/>
            <w:hideMark/>
          </w:tcPr>
          <w:p w14:paraId="1BE1F58C"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Oudard S, Fizazi K, Sengeløv L, Daugaard G, Saad F, Hansen S, Hjälm-Eriksson M, Jassem J, Thiery-Vuillemin A, Caffo O, Castellano D, Mainwaring PN, Bernard J, Shen L, Chadjaa M, Sartor O. Cabazitaxel Versus Docetaxel As First-Line Therapy for Patients With Metastatic Castration-Resistant Prostate Cancer: A Randomized Phase III Trial-FIRSTANA. J Clin Oncol. 2017 Oct 1;35(28):3189-3197. doi: 10.1200/JCO.2016.72.1068. Epub 2017 Jul 28. PMID: 28753384.</w:t>
            </w:r>
          </w:p>
        </w:tc>
      </w:tr>
      <w:tr w:rsidR="00542C3C" w:rsidRPr="00CD407E" w14:paraId="0DE1E7B9" w14:textId="77777777" w:rsidTr="009622A0">
        <w:trPr>
          <w:gridAfter w:val="1"/>
          <w:wAfter w:w="89" w:type="dxa"/>
          <w:trHeight w:val="1230"/>
        </w:trPr>
        <w:tc>
          <w:tcPr>
            <w:tcW w:w="741" w:type="dxa"/>
            <w:shd w:val="clear" w:color="auto" w:fill="auto"/>
            <w:noWrap/>
            <w:vAlign w:val="center"/>
            <w:hideMark/>
          </w:tcPr>
          <w:p w14:paraId="790995AD"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N-34</w:t>
            </w:r>
          </w:p>
        </w:tc>
        <w:tc>
          <w:tcPr>
            <w:tcW w:w="1257" w:type="dxa"/>
            <w:shd w:val="clear" w:color="auto" w:fill="auto"/>
            <w:noWrap/>
            <w:vAlign w:val="center"/>
            <w:hideMark/>
          </w:tcPr>
          <w:p w14:paraId="7FC007FA"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NCT02451943</w:t>
            </w:r>
          </w:p>
        </w:tc>
        <w:tc>
          <w:tcPr>
            <w:tcW w:w="2208" w:type="dxa"/>
            <w:gridSpan w:val="2"/>
            <w:shd w:val="clear" w:color="auto" w:fill="auto"/>
            <w:vAlign w:val="center"/>
            <w:hideMark/>
          </w:tcPr>
          <w:p w14:paraId="04FF050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Olaratumab pllus doxorubicin</w:t>
            </w:r>
          </w:p>
        </w:tc>
        <w:tc>
          <w:tcPr>
            <w:tcW w:w="2694" w:type="dxa"/>
            <w:gridSpan w:val="2"/>
            <w:shd w:val="clear" w:color="auto" w:fill="auto"/>
            <w:noWrap/>
            <w:vAlign w:val="center"/>
            <w:hideMark/>
          </w:tcPr>
          <w:p w14:paraId="46706CC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Soft tissue sarcoma</w:t>
            </w:r>
          </w:p>
        </w:tc>
        <w:tc>
          <w:tcPr>
            <w:tcW w:w="6538" w:type="dxa"/>
            <w:gridSpan w:val="2"/>
            <w:shd w:val="clear" w:color="auto" w:fill="auto"/>
            <w:vAlign w:val="center"/>
            <w:hideMark/>
          </w:tcPr>
          <w:p w14:paraId="6208FD1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Tap WD, Wagner AJ, Schöffski P, Martin-Broto J, Krarup-Hansen A, Ganjoo KN, Yen CC, Abdul Razak AR, Spira A, Kawai A, Le Cesne A, Van Tine BA, Naito Y, Park SH, Fedenko A, Pápai Z, Soldatenkova V, Shahir A, Mo G, Wright J, Jones RL; ANNOUNCE Investigators. Effect of Doxorubicin Plus Olaratumab vs Doxorubicin Plus Placebo on Survival in Patients With Advanced Soft Tissue Sarcomas: The ANNOUNCE Randomized Clinical Trial. JAMA. 2020 Apr 7;323(13):1266-1276. doi: 10.1001/jama.2020.1707. PMID: 32259228; PMCID: PMC7139275.</w:t>
            </w:r>
          </w:p>
        </w:tc>
      </w:tr>
      <w:tr w:rsidR="00542C3C" w:rsidRPr="00CD407E" w14:paraId="07D98E34" w14:textId="77777777" w:rsidTr="009622A0">
        <w:trPr>
          <w:gridAfter w:val="1"/>
          <w:wAfter w:w="89" w:type="dxa"/>
          <w:trHeight w:val="1030"/>
        </w:trPr>
        <w:tc>
          <w:tcPr>
            <w:tcW w:w="741" w:type="dxa"/>
            <w:shd w:val="clear" w:color="auto" w:fill="auto"/>
            <w:noWrap/>
            <w:vAlign w:val="center"/>
            <w:hideMark/>
          </w:tcPr>
          <w:p w14:paraId="2E83568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N-35</w:t>
            </w:r>
          </w:p>
        </w:tc>
        <w:tc>
          <w:tcPr>
            <w:tcW w:w="1257" w:type="dxa"/>
            <w:shd w:val="clear" w:color="auto" w:fill="auto"/>
            <w:noWrap/>
            <w:vAlign w:val="center"/>
            <w:hideMark/>
          </w:tcPr>
          <w:p w14:paraId="7F9C882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NCT01774786</w:t>
            </w:r>
          </w:p>
        </w:tc>
        <w:tc>
          <w:tcPr>
            <w:tcW w:w="2208" w:type="dxa"/>
            <w:gridSpan w:val="2"/>
            <w:shd w:val="clear" w:color="auto" w:fill="auto"/>
            <w:vAlign w:val="center"/>
            <w:hideMark/>
          </w:tcPr>
          <w:p w14:paraId="332163E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 xml:space="preserve">Pertuzumab plus trastuzumab and chemotherapy </w:t>
            </w:r>
          </w:p>
        </w:tc>
        <w:tc>
          <w:tcPr>
            <w:tcW w:w="2694" w:type="dxa"/>
            <w:gridSpan w:val="2"/>
            <w:shd w:val="clear" w:color="auto" w:fill="auto"/>
            <w:noWrap/>
            <w:vAlign w:val="center"/>
            <w:hideMark/>
          </w:tcPr>
          <w:p w14:paraId="2302F72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Gastric cancer</w:t>
            </w:r>
          </w:p>
        </w:tc>
        <w:tc>
          <w:tcPr>
            <w:tcW w:w="6538" w:type="dxa"/>
            <w:gridSpan w:val="2"/>
            <w:shd w:val="clear" w:color="auto" w:fill="auto"/>
            <w:vAlign w:val="center"/>
            <w:hideMark/>
          </w:tcPr>
          <w:p w14:paraId="43CF6EC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Tabernero J, Hoff PM, Shen L, Ohtsu A, Shah MA, Cheng K, Song C, Wu H, Eng-Wong J, Kim K, Kang YK. Pertuzumab plus trastuzumab and chemotherapy for HER2-positive metastatic gastric or gastro-oesophageal junction cancer (JACOB): final analysis of a double-blind, randomised, placebo-controlled phase 3 study. Lancet Oncol. 2018 Oct;19(10):1372-1384. doi: 10.1016/S1470-2045(18)30481-9. Epub 2018 Sep 11. PMID: 30217672.</w:t>
            </w:r>
          </w:p>
        </w:tc>
      </w:tr>
      <w:tr w:rsidR="00542C3C" w:rsidRPr="00CD407E" w14:paraId="33E9D47B" w14:textId="77777777" w:rsidTr="009622A0">
        <w:trPr>
          <w:gridAfter w:val="1"/>
          <w:wAfter w:w="89" w:type="dxa"/>
          <w:trHeight w:val="830"/>
        </w:trPr>
        <w:tc>
          <w:tcPr>
            <w:tcW w:w="741" w:type="dxa"/>
            <w:shd w:val="clear" w:color="auto" w:fill="auto"/>
            <w:noWrap/>
            <w:vAlign w:val="center"/>
            <w:hideMark/>
          </w:tcPr>
          <w:p w14:paraId="4031266D"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N-36</w:t>
            </w:r>
          </w:p>
        </w:tc>
        <w:tc>
          <w:tcPr>
            <w:tcW w:w="1257" w:type="dxa"/>
            <w:shd w:val="clear" w:color="auto" w:fill="auto"/>
            <w:noWrap/>
            <w:vAlign w:val="center"/>
            <w:hideMark/>
          </w:tcPr>
          <w:p w14:paraId="389BECA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NCT01494506</w:t>
            </w:r>
          </w:p>
        </w:tc>
        <w:tc>
          <w:tcPr>
            <w:tcW w:w="2208" w:type="dxa"/>
            <w:gridSpan w:val="2"/>
            <w:shd w:val="clear" w:color="auto" w:fill="auto"/>
            <w:vAlign w:val="center"/>
            <w:hideMark/>
          </w:tcPr>
          <w:p w14:paraId="50D2A054"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Nanoliposomal irinotecan</w:t>
            </w:r>
          </w:p>
        </w:tc>
        <w:tc>
          <w:tcPr>
            <w:tcW w:w="2694" w:type="dxa"/>
            <w:gridSpan w:val="2"/>
            <w:shd w:val="clear" w:color="auto" w:fill="auto"/>
            <w:noWrap/>
            <w:vAlign w:val="center"/>
            <w:hideMark/>
          </w:tcPr>
          <w:p w14:paraId="3B5D924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Pancreatic cancer</w:t>
            </w:r>
          </w:p>
        </w:tc>
        <w:tc>
          <w:tcPr>
            <w:tcW w:w="6538" w:type="dxa"/>
            <w:gridSpan w:val="2"/>
            <w:shd w:val="clear" w:color="auto" w:fill="auto"/>
            <w:vAlign w:val="center"/>
            <w:hideMark/>
          </w:tcPr>
          <w:p w14:paraId="0FC2815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Wang-Gillam A, Hubner RA, Siveke JT, Von Hoff DD, Belanger B, de Jong FA, Mirakhur B, Chen LT. NAPOLI-1 phase 3 study of liposomal irinotecan in metastatic pancreatic cancer: Final overall survival analysis and characteristics of long-term survivors. Eur J Cancer. 2019 Feb;108:78-87. doi: 10.1016/j.ejca.2018.12.007. Epub 2019 Jan 14. PMID: 30654298.</w:t>
            </w:r>
          </w:p>
        </w:tc>
      </w:tr>
      <w:tr w:rsidR="00542C3C" w:rsidRPr="00CD407E" w14:paraId="63C1AC66" w14:textId="77777777" w:rsidTr="009622A0">
        <w:trPr>
          <w:gridAfter w:val="1"/>
          <w:wAfter w:w="89" w:type="dxa"/>
          <w:trHeight w:val="830"/>
        </w:trPr>
        <w:tc>
          <w:tcPr>
            <w:tcW w:w="741" w:type="dxa"/>
            <w:shd w:val="clear" w:color="auto" w:fill="auto"/>
            <w:noWrap/>
            <w:vAlign w:val="center"/>
            <w:hideMark/>
          </w:tcPr>
          <w:p w14:paraId="2C894AA7"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N-37</w:t>
            </w:r>
          </w:p>
        </w:tc>
        <w:tc>
          <w:tcPr>
            <w:tcW w:w="1257" w:type="dxa"/>
            <w:shd w:val="clear" w:color="auto" w:fill="auto"/>
            <w:noWrap/>
            <w:vAlign w:val="center"/>
            <w:hideMark/>
          </w:tcPr>
          <w:p w14:paraId="2A01A59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NCT00596830</w:t>
            </w:r>
          </w:p>
        </w:tc>
        <w:tc>
          <w:tcPr>
            <w:tcW w:w="2208" w:type="dxa"/>
            <w:gridSpan w:val="2"/>
            <w:shd w:val="clear" w:color="auto" w:fill="auto"/>
            <w:vAlign w:val="center"/>
            <w:hideMark/>
          </w:tcPr>
          <w:p w14:paraId="1C3A38D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Figitumumab plus paclitaxel and carboplatin</w:t>
            </w:r>
          </w:p>
        </w:tc>
        <w:tc>
          <w:tcPr>
            <w:tcW w:w="2694" w:type="dxa"/>
            <w:gridSpan w:val="2"/>
            <w:shd w:val="clear" w:color="auto" w:fill="auto"/>
            <w:noWrap/>
            <w:vAlign w:val="center"/>
            <w:hideMark/>
          </w:tcPr>
          <w:p w14:paraId="00A2952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Non-small cell lung cancer</w:t>
            </w:r>
          </w:p>
        </w:tc>
        <w:tc>
          <w:tcPr>
            <w:tcW w:w="6538" w:type="dxa"/>
            <w:gridSpan w:val="2"/>
            <w:shd w:val="clear" w:color="auto" w:fill="auto"/>
            <w:vAlign w:val="center"/>
            <w:hideMark/>
          </w:tcPr>
          <w:p w14:paraId="7840A9D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Langer CJ, Novello S, Park K, Krzakowski M, Karp DD, Mok T, Benner RJ, Scranton JR, Olszanski AJ, Jassem J. Randomized, phase III trial of first-line figitumumab in combination with paclitaxel and carboplatin versus paclitaxel and carboplatin alone in patients with advanced non-small-cell lung cancer. J Clin Oncol. 2014 Jul 1;32(19):2059-66. doi: 10.1200/JCO.2013.54.4932. Epub 2014 Jun 2. PMID: 24888810; PMCID: PMC4067944.</w:t>
            </w:r>
          </w:p>
        </w:tc>
      </w:tr>
      <w:tr w:rsidR="00542C3C" w:rsidRPr="00CD407E" w14:paraId="68ABD1E5" w14:textId="77777777" w:rsidTr="009622A0">
        <w:trPr>
          <w:gridAfter w:val="1"/>
          <w:wAfter w:w="89" w:type="dxa"/>
          <w:trHeight w:val="830"/>
        </w:trPr>
        <w:tc>
          <w:tcPr>
            <w:tcW w:w="741" w:type="dxa"/>
            <w:shd w:val="clear" w:color="auto" w:fill="auto"/>
            <w:noWrap/>
            <w:vAlign w:val="center"/>
            <w:hideMark/>
          </w:tcPr>
          <w:p w14:paraId="17FFA916"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N-38</w:t>
            </w:r>
          </w:p>
        </w:tc>
        <w:tc>
          <w:tcPr>
            <w:tcW w:w="1257" w:type="dxa"/>
            <w:shd w:val="clear" w:color="auto" w:fill="auto"/>
            <w:noWrap/>
            <w:vAlign w:val="center"/>
            <w:hideMark/>
          </w:tcPr>
          <w:p w14:paraId="4606774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NCT01798485</w:t>
            </w:r>
          </w:p>
        </w:tc>
        <w:tc>
          <w:tcPr>
            <w:tcW w:w="2208" w:type="dxa"/>
            <w:gridSpan w:val="2"/>
            <w:shd w:val="clear" w:color="auto" w:fill="auto"/>
            <w:vAlign w:val="center"/>
            <w:hideMark/>
          </w:tcPr>
          <w:p w14:paraId="011AA0C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Ganetespib plus docetaxel</w:t>
            </w:r>
          </w:p>
        </w:tc>
        <w:tc>
          <w:tcPr>
            <w:tcW w:w="2694" w:type="dxa"/>
            <w:gridSpan w:val="2"/>
            <w:shd w:val="clear" w:color="auto" w:fill="auto"/>
            <w:noWrap/>
            <w:vAlign w:val="center"/>
            <w:hideMark/>
          </w:tcPr>
          <w:p w14:paraId="7597D9A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Non-small cell lung cancer</w:t>
            </w:r>
          </w:p>
        </w:tc>
        <w:tc>
          <w:tcPr>
            <w:tcW w:w="6538" w:type="dxa"/>
            <w:gridSpan w:val="2"/>
            <w:shd w:val="clear" w:color="auto" w:fill="auto"/>
            <w:vAlign w:val="center"/>
            <w:hideMark/>
          </w:tcPr>
          <w:p w14:paraId="5D8594D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Pillai RN, Fennell DA, Kovcin V, Ciuleanu TE, Ramlau R, Kowalski D, Schenker M, Yalcin I, Teofilovici F, Vukovic VM, Ramalingam SS. Randomized Phase III Study of Ganetespib, a Heat Shock Protein 90 Inhibitor, With Docetaxel Versus Docetaxel in Advanced Non-Small-Cell Lung Cancer (GALAXY-2). J Clin Oncol. 2020 Feb 20;38(6):613-622. doi: 10.1200/JCO.19.00816. Epub 2019 Dec 12. PMID: 31829907.</w:t>
            </w:r>
          </w:p>
        </w:tc>
      </w:tr>
      <w:tr w:rsidR="00542C3C" w:rsidRPr="00CD407E" w14:paraId="6755D851" w14:textId="77777777" w:rsidTr="009622A0">
        <w:trPr>
          <w:gridAfter w:val="1"/>
          <w:wAfter w:w="89" w:type="dxa"/>
          <w:trHeight w:val="1230"/>
        </w:trPr>
        <w:tc>
          <w:tcPr>
            <w:tcW w:w="741" w:type="dxa"/>
            <w:shd w:val="clear" w:color="auto" w:fill="auto"/>
            <w:noWrap/>
            <w:vAlign w:val="center"/>
            <w:hideMark/>
          </w:tcPr>
          <w:p w14:paraId="22A03D92"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N-39</w:t>
            </w:r>
          </w:p>
        </w:tc>
        <w:tc>
          <w:tcPr>
            <w:tcW w:w="1257" w:type="dxa"/>
            <w:shd w:val="clear" w:color="auto" w:fill="auto"/>
            <w:noWrap/>
            <w:vAlign w:val="center"/>
            <w:hideMark/>
          </w:tcPr>
          <w:p w14:paraId="7866DBC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NCT00680901</w:t>
            </w:r>
          </w:p>
        </w:tc>
        <w:tc>
          <w:tcPr>
            <w:tcW w:w="2208" w:type="dxa"/>
            <w:gridSpan w:val="2"/>
            <w:shd w:val="clear" w:color="auto" w:fill="auto"/>
            <w:vAlign w:val="center"/>
            <w:hideMark/>
          </w:tcPr>
          <w:p w14:paraId="1D0A8E6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Lapatinib plus capecitabine and oxaliplatin</w:t>
            </w:r>
          </w:p>
        </w:tc>
        <w:tc>
          <w:tcPr>
            <w:tcW w:w="2694" w:type="dxa"/>
            <w:gridSpan w:val="2"/>
            <w:shd w:val="clear" w:color="auto" w:fill="auto"/>
            <w:noWrap/>
            <w:vAlign w:val="center"/>
            <w:hideMark/>
          </w:tcPr>
          <w:p w14:paraId="3904E97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Gastric cancer</w:t>
            </w:r>
          </w:p>
        </w:tc>
        <w:tc>
          <w:tcPr>
            <w:tcW w:w="6538" w:type="dxa"/>
            <w:gridSpan w:val="2"/>
            <w:shd w:val="clear" w:color="auto" w:fill="auto"/>
            <w:vAlign w:val="center"/>
            <w:hideMark/>
          </w:tcPr>
          <w:p w14:paraId="0C7E60D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Hecht JR, Bang YJ, Qin SK, Chung HC, Xu JM, Park JO, Jeziorski K, Shparyk Y, Hoff PM, Sobrero A, Salman P, Li J, Protsenko SA, Wainberg ZA, Buyse M, Afenjar K, Houé V, Garcia A, Kaneko T, Huang Y, Khan-Wasti S, Santillana S, Press MF, Slamon D. Lapatinib in Combination With Capecitabine Plus Oxaliplatin in Human Epidermal Growth Factor Receptor 2-Positive Advanced or Metastatic Gastric, Esophageal, or Gastroesophageal Adenocarcinoma: TRIO-013/LOGiC--A Randomized Phase III Trial. J Clin Oncol. 2016 Feb 10;34(5):443-51. doi: 10.1200/JCO.2015.62.6598. Epub 2015 Nov 30. PMID: 26628478.</w:t>
            </w:r>
          </w:p>
        </w:tc>
      </w:tr>
      <w:tr w:rsidR="00542C3C" w:rsidRPr="00CD407E" w14:paraId="34CD940E" w14:textId="77777777" w:rsidTr="009622A0">
        <w:trPr>
          <w:gridAfter w:val="1"/>
          <w:wAfter w:w="89" w:type="dxa"/>
          <w:trHeight w:val="1030"/>
        </w:trPr>
        <w:tc>
          <w:tcPr>
            <w:tcW w:w="741" w:type="dxa"/>
            <w:shd w:val="clear" w:color="auto" w:fill="auto"/>
            <w:noWrap/>
            <w:vAlign w:val="center"/>
            <w:hideMark/>
          </w:tcPr>
          <w:p w14:paraId="63588ED0"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N-40</w:t>
            </w:r>
          </w:p>
        </w:tc>
        <w:tc>
          <w:tcPr>
            <w:tcW w:w="1257" w:type="dxa"/>
            <w:shd w:val="clear" w:color="auto" w:fill="auto"/>
            <w:noWrap/>
            <w:vAlign w:val="center"/>
            <w:hideMark/>
          </w:tcPr>
          <w:p w14:paraId="576BB74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NCT00087022</w:t>
            </w:r>
          </w:p>
        </w:tc>
        <w:tc>
          <w:tcPr>
            <w:tcW w:w="2208" w:type="dxa"/>
            <w:gridSpan w:val="2"/>
            <w:shd w:val="clear" w:color="auto" w:fill="auto"/>
            <w:vAlign w:val="center"/>
            <w:hideMark/>
          </w:tcPr>
          <w:p w14:paraId="5A62DFF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Girentuximab</w:t>
            </w:r>
          </w:p>
        </w:tc>
        <w:tc>
          <w:tcPr>
            <w:tcW w:w="2694" w:type="dxa"/>
            <w:gridSpan w:val="2"/>
            <w:shd w:val="clear" w:color="auto" w:fill="auto"/>
            <w:noWrap/>
            <w:vAlign w:val="center"/>
            <w:hideMark/>
          </w:tcPr>
          <w:p w14:paraId="1E377B1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Renal cell carcinoma</w:t>
            </w:r>
          </w:p>
        </w:tc>
        <w:tc>
          <w:tcPr>
            <w:tcW w:w="6538" w:type="dxa"/>
            <w:gridSpan w:val="2"/>
            <w:shd w:val="clear" w:color="auto" w:fill="auto"/>
            <w:vAlign w:val="center"/>
            <w:hideMark/>
          </w:tcPr>
          <w:p w14:paraId="5179480A"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Chamie K, Donin NM, Klöpfer P, Bevan P, Fall B, Wilhelm O, Störkel S, Said J, Gambla M, Hawkins RE, Jankilevich G, Kapoor A, Kopyltsov E, Staehler M, Taari K, Wainstein AJA, Pantuck AJ, Belldegrun AS. Adjuvant Weekly Girentuximab Following Nephrectomy for High-Risk Renal Cell Carcinoma: The ARISER Randomized Clinical Trial. JAMA Oncol. 2017 Jul 1;3(7):913-920. doi: 10.1001/jamaoncol.2016.4419. PMID: 27787547; PMCID: PMC5824229.</w:t>
            </w:r>
          </w:p>
        </w:tc>
      </w:tr>
      <w:tr w:rsidR="00542C3C" w:rsidRPr="00CD407E" w14:paraId="3911033D" w14:textId="77777777" w:rsidTr="009622A0">
        <w:trPr>
          <w:gridAfter w:val="1"/>
          <w:wAfter w:w="89" w:type="dxa"/>
          <w:trHeight w:val="1030"/>
        </w:trPr>
        <w:tc>
          <w:tcPr>
            <w:tcW w:w="741" w:type="dxa"/>
            <w:shd w:val="clear" w:color="auto" w:fill="auto"/>
            <w:noWrap/>
            <w:vAlign w:val="center"/>
            <w:hideMark/>
          </w:tcPr>
          <w:p w14:paraId="4DB5B08E"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N-41</w:t>
            </w:r>
          </w:p>
        </w:tc>
        <w:tc>
          <w:tcPr>
            <w:tcW w:w="1257" w:type="dxa"/>
            <w:shd w:val="clear" w:color="auto" w:fill="auto"/>
            <w:noWrap/>
            <w:vAlign w:val="center"/>
            <w:hideMark/>
          </w:tcPr>
          <w:p w14:paraId="4E431EC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NCT00884741</w:t>
            </w:r>
          </w:p>
        </w:tc>
        <w:tc>
          <w:tcPr>
            <w:tcW w:w="2208" w:type="dxa"/>
            <w:gridSpan w:val="2"/>
            <w:shd w:val="clear" w:color="auto" w:fill="auto"/>
            <w:vAlign w:val="center"/>
            <w:hideMark/>
          </w:tcPr>
          <w:p w14:paraId="7FFFFD3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Bevacizumab</w:t>
            </w:r>
          </w:p>
        </w:tc>
        <w:tc>
          <w:tcPr>
            <w:tcW w:w="2694" w:type="dxa"/>
            <w:gridSpan w:val="2"/>
            <w:shd w:val="clear" w:color="auto" w:fill="auto"/>
            <w:noWrap/>
            <w:vAlign w:val="center"/>
            <w:hideMark/>
          </w:tcPr>
          <w:p w14:paraId="1AA354F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Glioblastoma</w:t>
            </w:r>
          </w:p>
        </w:tc>
        <w:tc>
          <w:tcPr>
            <w:tcW w:w="6538" w:type="dxa"/>
            <w:gridSpan w:val="2"/>
            <w:shd w:val="clear" w:color="auto" w:fill="auto"/>
            <w:vAlign w:val="center"/>
            <w:hideMark/>
          </w:tcPr>
          <w:p w14:paraId="07007EE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Gilbert MR, Dignam JJ, Armstrong TS, Wefel JS, Blumenthal DT, Vogelbaum MA, Colman H, Chakravarti A, Pugh S, Won M, Jeraj R, Brown PD, Jaeckle KA, Schiff D, Stieber VW, Brachman DG, Werner-Wasik M, Tremont-Lukats IW, Sulman EP, Aldape KD, Curran WJ Jr, Mehta MP. A randomized trial of bevacizumab for newly diagnosed glioblastoma. N Engl J Med. 2014 Feb 20;370(8):699-708. doi: 10.1056/NEJMoa1308573. PMID: 24552317; PMCID: PMC4201043.</w:t>
            </w:r>
          </w:p>
        </w:tc>
      </w:tr>
      <w:tr w:rsidR="00542C3C" w:rsidRPr="00CD407E" w14:paraId="702B778F" w14:textId="77777777" w:rsidTr="009622A0">
        <w:trPr>
          <w:gridAfter w:val="1"/>
          <w:wAfter w:w="89" w:type="dxa"/>
          <w:trHeight w:val="1230"/>
        </w:trPr>
        <w:tc>
          <w:tcPr>
            <w:tcW w:w="741" w:type="dxa"/>
            <w:shd w:val="clear" w:color="auto" w:fill="auto"/>
            <w:noWrap/>
            <w:vAlign w:val="center"/>
            <w:hideMark/>
          </w:tcPr>
          <w:p w14:paraId="5CB61227"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lastRenderedPageBreak/>
              <w:t>N-42</w:t>
            </w:r>
          </w:p>
        </w:tc>
        <w:tc>
          <w:tcPr>
            <w:tcW w:w="1257" w:type="dxa"/>
            <w:shd w:val="clear" w:color="auto" w:fill="auto"/>
            <w:noWrap/>
            <w:vAlign w:val="center"/>
            <w:hideMark/>
          </w:tcPr>
          <w:p w14:paraId="4FE3379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NCT01193257</w:t>
            </w:r>
          </w:p>
        </w:tc>
        <w:tc>
          <w:tcPr>
            <w:tcW w:w="2208" w:type="dxa"/>
            <w:gridSpan w:val="2"/>
            <w:shd w:val="clear" w:color="auto" w:fill="auto"/>
            <w:vAlign w:val="center"/>
            <w:hideMark/>
          </w:tcPr>
          <w:p w14:paraId="5AD8520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Orteronel (TAK-700) plus prednisone</w:t>
            </w:r>
          </w:p>
        </w:tc>
        <w:tc>
          <w:tcPr>
            <w:tcW w:w="2694" w:type="dxa"/>
            <w:gridSpan w:val="2"/>
            <w:shd w:val="clear" w:color="auto" w:fill="auto"/>
            <w:noWrap/>
            <w:vAlign w:val="center"/>
            <w:hideMark/>
          </w:tcPr>
          <w:p w14:paraId="37CFBCE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Prostate cancer</w:t>
            </w:r>
          </w:p>
        </w:tc>
        <w:tc>
          <w:tcPr>
            <w:tcW w:w="6538" w:type="dxa"/>
            <w:gridSpan w:val="2"/>
            <w:shd w:val="clear" w:color="auto" w:fill="auto"/>
            <w:vAlign w:val="center"/>
            <w:hideMark/>
          </w:tcPr>
          <w:p w14:paraId="378E7BAD"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Fizazi K, Jones R, Oudard S, Efstathiou E, Saad F, de Wit R, De Bono J, Cruz FM, Fountzilas G, Ulys A, Carcano F, Agarwal N, Agus D, Bellmunt J, Petrylak DP, Lee SY, Webb IJ, Tejura B, Borgstein N, Dreicer R. Phase III, randomized, double-blind, multicenter trial comparing orteronel (TAK-700) plus prednisone with placebo plus prednisone in patients with metastatic castration-resistant prostate cancer that has progressed during or after docetaxel-based therapy: ELM-PC 5. J Clin Oncol. 2015 Mar 1;33(7):723-31. doi: 10.1200/JCO.2014.56.5119. Epub 2015 Jan 26. PMID: 25624429; PMCID: PMC4879718.</w:t>
            </w:r>
          </w:p>
        </w:tc>
      </w:tr>
      <w:tr w:rsidR="00542C3C" w:rsidRPr="00CD407E" w14:paraId="61815DC6" w14:textId="77777777" w:rsidTr="009622A0">
        <w:trPr>
          <w:gridAfter w:val="1"/>
          <w:wAfter w:w="89" w:type="dxa"/>
          <w:trHeight w:val="1030"/>
        </w:trPr>
        <w:tc>
          <w:tcPr>
            <w:tcW w:w="741" w:type="dxa"/>
            <w:shd w:val="clear" w:color="auto" w:fill="auto"/>
            <w:noWrap/>
            <w:vAlign w:val="center"/>
            <w:hideMark/>
          </w:tcPr>
          <w:p w14:paraId="4E968F60"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N-43</w:t>
            </w:r>
          </w:p>
        </w:tc>
        <w:tc>
          <w:tcPr>
            <w:tcW w:w="1257" w:type="dxa"/>
            <w:shd w:val="clear" w:color="auto" w:fill="auto"/>
            <w:noWrap/>
            <w:vAlign w:val="center"/>
            <w:hideMark/>
          </w:tcPr>
          <w:p w14:paraId="01073B6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NCT00879333</w:t>
            </w:r>
          </w:p>
        </w:tc>
        <w:tc>
          <w:tcPr>
            <w:tcW w:w="2208" w:type="dxa"/>
            <w:gridSpan w:val="2"/>
            <w:shd w:val="clear" w:color="auto" w:fill="auto"/>
            <w:vAlign w:val="center"/>
            <w:hideMark/>
          </w:tcPr>
          <w:p w14:paraId="0D7EBCF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Everolimus plus BSC</w:t>
            </w:r>
          </w:p>
        </w:tc>
        <w:tc>
          <w:tcPr>
            <w:tcW w:w="2694" w:type="dxa"/>
            <w:gridSpan w:val="2"/>
            <w:shd w:val="clear" w:color="auto" w:fill="auto"/>
            <w:noWrap/>
            <w:vAlign w:val="center"/>
            <w:hideMark/>
          </w:tcPr>
          <w:p w14:paraId="5224A58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Gastric cancer</w:t>
            </w:r>
          </w:p>
        </w:tc>
        <w:tc>
          <w:tcPr>
            <w:tcW w:w="6538" w:type="dxa"/>
            <w:gridSpan w:val="2"/>
            <w:shd w:val="clear" w:color="auto" w:fill="auto"/>
            <w:vAlign w:val="center"/>
            <w:hideMark/>
          </w:tcPr>
          <w:p w14:paraId="62EE0D4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Ohtsu A, Ajani JA, Bai YX, Bang YJ, Chung HC, Pan HM, Sahmoud T, Shen L, Yeh KH, Chin K, Muro K, Kim YH, Ferry D, Tebbutt NC, Al-Batran SE, Smith H, Costantini C, Rizvi S, Lebwohl D, Van Cutsem E. Everolimus for previously treated advanced gastric cancer: results of the randomized, double-blind, phase III GRANITE-1 study. J Clin Oncol. 2013 Nov 1;31(31):3935-43. doi: 10.1200/JCO.2012.48.3552. Epub 2013 Sep 16. PMID: 24043745; PMCID: PMC5950503.</w:t>
            </w:r>
          </w:p>
        </w:tc>
      </w:tr>
      <w:tr w:rsidR="00542C3C" w:rsidRPr="00CD407E" w14:paraId="282E9E79" w14:textId="77777777" w:rsidTr="009622A0">
        <w:trPr>
          <w:gridAfter w:val="1"/>
          <w:wAfter w:w="89" w:type="dxa"/>
          <w:trHeight w:val="1230"/>
        </w:trPr>
        <w:tc>
          <w:tcPr>
            <w:tcW w:w="741" w:type="dxa"/>
            <w:shd w:val="clear" w:color="auto" w:fill="auto"/>
            <w:noWrap/>
            <w:vAlign w:val="center"/>
            <w:hideMark/>
          </w:tcPr>
          <w:p w14:paraId="3AF7591C"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N-44</w:t>
            </w:r>
          </w:p>
        </w:tc>
        <w:tc>
          <w:tcPr>
            <w:tcW w:w="1257" w:type="dxa"/>
            <w:shd w:val="clear" w:color="auto" w:fill="auto"/>
            <w:noWrap/>
            <w:vAlign w:val="center"/>
            <w:hideMark/>
          </w:tcPr>
          <w:p w14:paraId="3E225B64"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NCT00744497</w:t>
            </w:r>
          </w:p>
        </w:tc>
        <w:tc>
          <w:tcPr>
            <w:tcW w:w="2208" w:type="dxa"/>
            <w:gridSpan w:val="2"/>
            <w:shd w:val="clear" w:color="auto" w:fill="auto"/>
            <w:vAlign w:val="center"/>
            <w:hideMark/>
          </w:tcPr>
          <w:p w14:paraId="4718EB7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Dasatinib plus docetaxel</w:t>
            </w:r>
          </w:p>
        </w:tc>
        <w:tc>
          <w:tcPr>
            <w:tcW w:w="2694" w:type="dxa"/>
            <w:gridSpan w:val="2"/>
            <w:shd w:val="clear" w:color="auto" w:fill="auto"/>
            <w:noWrap/>
            <w:vAlign w:val="center"/>
            <w:hideMark/>
          </w:tcPr>
          <w:p w14:paraId="220DE96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Prostate cancer</w:t>
            </w:r>
          </w:p>
        </w:tc>
        <w:tc>
          <w:tcPr>
            <w:tcW w:w="6538" w:type="dxa"/>
            <w:gridSpan w:val="2"/>
            <w:shd w:val="clear" w:color="auto" w:fill="auto"/>
            <w:vAlign w:val="center"/>
            <w:hideMark/>
          </w:tcPr>
          <w:p w14:paraId="0AC0F974"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Araujo JC, Trudel GC, Saad F, Armstrong AJ, Yu EY, Bellmunt J, Wilding G, McCaffrey J, Serrano SV, Matveev VB, Efstathiou E, Oudard S, Morris MJ, Sizer B, Goebell PJ, Heidenreich A, de Bono JS, Begbie S, Hong JH, Richardet E, Gallardo E, Paliwal P, Durham S, Cheng S, Logothetis CJ. Docetaxel and dasatinib or placebo in men with metastatic castration-resistant prostate cancer (READY): a randomised, double-blind phase 3 trial. Lancet Oncol. 2013 Dec;14(13):1307-16. doi: 10.1016/S1470-2045(13)70479-0. Epub 2013 Nov 8. PMID: 24211163; PMCID: PMC5478530.</w:t>
            </w:r>
          </w:p>
        </w:tc>
      </w:tr>
      <w:tr w:rsidR="00542C3C" w:rsidRPr="00CD407E" w14:paraId="3D8FDAAF" w14:textId="77777777" w:rsidTr="009622A0">
        <w:trPr>
          <w:gridAfter w:val="1"/>
          <w:wAfter w:w="89" w:type="dxa"/>
          <w:trHeight w:val="1230"/>
        </w:trPr>
        <w:tc>
          <w:tcPr>
            <w:tcW w:w="741" w:type="dxa"/>
            <w:shd w:val="clear" w:color="auto" w:fill="auto"/>
            <w:noWrap/>
            <w:vAlign w:val="center"/>
            <w:hideMark/>
          </w:tcPr>
          <w:p w14:paraId="1F825ECD"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N-45</w:t>
            </w:r>
          </w:p>
        </w:tc>
        <w:tc>
          <w:tcPr>
            <w:tcW w:w="1257" w:type="dxa"/>
            <w:shd w:val="clear" w:color="auto" w:fill="auto"/>
            <w:noWrap/>
            <w:vAlign w:val="center"/>
            <w:hideMark/>
          </w:tcPr>
          <w:p w14:paraId="677BA5F4"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NCT01351415</w:t>
            </w:r>
          </w:p>
        </w:tc>
        <w:tc>
          <w:tcPr>
            <w:tcW w:w="2208" w:type="dxa"/>
            <w:gridSpan w:val="2"/>
            <w:shd w:val="clear" w:color="auto" w:fill="auto"/>
            <w:vAlign w:val="center"/>
            <w:hideMark/>
          </w:tcPr>
          <w:p w14:paraId="0D9A666C"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Bevacizumab plus SOC</w:t>
            </w:r>
          </w:p>
        </w:tc>
        <w:tc>
          <w:tcPr>
            <w:tcW w:w="2694" w:type="dxa"/>
            <w:gridSpan w:val="2"/>
            <w:shd w:val="clear" w:color="auto" w:fill="auto"/>
            <w:noWrap/>
            <w:vAlign w:val="center"/>
            <w:hideMark/>
          </w:tcPr>
          <w:p w14:paraId="7757FC7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Non-small cell lung cancer</w:t>
            </w:r>
          </w:p>
        </w:tc>
        <w:tc>
          <w:tcPr>
            <w:tcW w:w="6538" w:type="dxa"/>
            <w:gridSpan w:val="2"/>
            <w:shd w:val="clear" w:color="auto" w:fill="auto"/>
            <w:vAlign w:val="center"/>
            <w:hideMark/>
          </w:tcPr>
          <w:p w14:paraId="057D937D"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Gridelli C, de Castro Carpeno J, Dingemans AC, Griesinger F, Grossi F, Langer C, Ohe Y, Syrigos K, Thatcher N, Das-Gupta A, Truman M, Donica M, Smoljanovic V, Bennouna J. Safety and Efficacy of Bevacizumab Plus Standard-of-Care Treatment Beyond Disease Progression in Patients With Advanced Non-Small Cell Lung Cancer: The AvaALL Randomized Clinical Trial. JAMA Oncol. 2018 Dec 1;4(12):e183486. doi: 10.1001/jamaoncol.2018.3486. Epub 2018 Dec 13. Erratum in: JAMA Oncol. 2018 Dec 1;4(12):1792. PMID: 30177994; PMCID: PMC6440713.</w:t>
            </w:r>
          </w:p>
        </w:tc>
      </w:tr>
      <w:tr w:rsidR="00542C3C" w:rsidRPr="00CD407E" w14:paraId="54C6654C" w14:textId="77777777" w:rsidTr="009622A0">
        <w:trPr>
          <w:gridAfter w:val="1"/>
          <w:wAfter w:w="89" w:type="dxa"/>
          <w:trHeight w:val="830"/>
        </w:trPr>
        <w:tc>
          <w:tcPr>
            <w:tcW w:w="741" w:type="dxa"/>
            <w:shd w:val="clear" w:color="auto" w:fill="auto"/>
            <w:noWrap/>
            <w:vAlign w:val="center"/>
            <w:hideMark/>
          </w:tcPr>
          <w:p w14:paraId="52C52EDC"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N-46</w:t>
            </w:r>
          </w:p>
        </w:tc>
        <w:tc>
          <w:tcPr>
            <w:tcW w:w="1257" w:type="dxa"/>
            <w:shd w:val="clear" w:color="auto" w:fill="auto"/>
            <w:noWrap/>
            <w:vAlign w:val="center"/>
            <w:hideMark/>
          </w:tcPr>
          <w:p w14:paraId="71A38C1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NCT00673049</w:t>
            </w:r>
          </w:p>
        </w:tc>
        <w:tc>
          <w:tcPr>
            <w:tcW w:w="2208" w:type="dxa"/>
            <w:gridSpan w:val="2"/>
            <w:shd w:val="clear" w:color="auto" w:fill="auto"/>
            <w:vAlign w:val="center"/>
            <w:hideMark/>
          </w:tcPr>
          <w:p w14:paraId="2A42CE0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Figitumumab plus erlotinib</w:t>
            </w:r>
          </w:p>
        </w:tc>
        <w:tc>
          <w:tcPr>
            <w:tcW w:w="2694" w:type="dxa"/>
            <w:gridSpan w:val="2"/>
            <w:shd w:val="clear" w:color="auto" w:fill="auto"/>
            <w:noWrap/>
            <w:vAlign w:val="center"/>
            <w:hideMark/>
          </w:tcPr>
          <w:p w14:paraId="5FE619A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Non-small cell lung cancer</w:t>
            </w:r>
          </w:p>
        </w:tc>
        <w:tc>
          <w:tcPr>
            <w:tcW w:w="6538" w:type="dxa"/>
            <w:gridSpan w:val="2"/>
            <w:shd w:val="clear" w:color="auto" w:fill="auto"/>
            <w:vAlign w:val="center"/>
            <w:hideMark/>
          </w:tcPr>
          <w:p w14:paraId="1972662C"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Scagliotti GV, Bondarenko I, Blackhall F, Barlesi F, Hsia TC, Jassem J, Milanowski J, Popat S, Sanchez-Torres JM, Novello S, Benner RJ, Green S, Molpus K, Soria JC, Shepherd FA. Randomized, phase III trial of figitumumab in combination with erlotinib versus erlotinib alone in patients with nonadenocarcinoma nonsmall-cell lung cancer. Ann Oncol. 2015 Mar;26(3):497-504. doi: 10.1093/annonc/mdu517. Epub 2014 Nov 13. PMID: 25395283.</w:t>
            </w:r>
          </w:p>
        </w:tc>
      </w:tr>
      <w:tr w:rsidR="00542C3C" w:rsidRPr="00CD407E" w14:paraId="718B10F4" w14:textId="77777777" w:rsidTr="009622A0">
        <w:trPr>
          <w:gridAfter w:val="1"/>
          <w:wAfter w:w="89" w:type="dxa"/>
          <w:trHeight w:val="1230"/>
        </w:trPr>
        <w:tc>
          <w:tcPr>
            <w:tcW w:w="741" w:type="dxa"/>
            <w:shd w:val="clear" w:color="auto" w:fill="auto"/>
            <w:noWrap/>
            <w:vAlign w:val="center"/>
            <w:hideMark/>
          </w:tcPr>
          <w:p w14:paraId="5A29011B"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N-47</w:t>
            </w:r>
          </w:p>
        </w:tc>
        <w:tc>
          <w:tcPr>
            <w:tcW w:w="1257" w:type="dxa"/>
            <w:shd w:val="clear" w:color="auto" w:fill="auto"/>
            <w:noWrap/>
            <w:vAlign w:val="center"/>
            <w:hideMark/>
          </w:tcPr>
          <w:p w14:paraId="721C433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NCT02152631</w:t>
            </w:r>
          </w:p>
        </w:tc>
        <w:tc>
          <w:tcPr>
            <w:tcW w:w="2208" w:type="dxa"/>
            <w:gridSpan w:val="2"/>
            <w:shd w:val="clear" w:color="auto" w:fill="auto"/>
            <w:vAlign w:val="center"/>
            <w:hideMark/>
          </w:tcPr>
          <w:p w14:paraId="414CAAF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Abemaciclib plus BSC</w:t>
            </w:r>
          </w:p>
        </w:tc>
        <w:tc>
          <w:tcPr>
            <w:tcW w:w="2694" w:type="dxa"/>
            <w:gridSpan w:val="2"/>
            <w:shd w:val="clear" w:color="auto" w:fill="auto"/>
            <w:noWrap/>
            <w:vAlign w:val="center"/>
            <w:hideMark/>
          </w:tcPr>
          <w:p w14:paraId="3546BE7C"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Non-small cell lung cancer</w:t>
            </w:r>
          </w:p>
        </w:tc>
        <w:tc>
          <w:tcPr>
            <w:tcW w:w="6538" w:type="dxa"/>
            <w:gridSpan w:val="2"/>
            <w:shd w:val="clear" w:color="auto" w:fill="auto"/>
            <w:vAlign w:val="center"/>
            <w:hideMark/>
          </w:tcPr>
          <w:p w14:paraId="76067A34"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Goldman JW, Mazieres J, Barlesi F, Dragnev KH, Koczywas M, Göskel T, Cortot AB, Girard N, Wesseler C, Bischoff H, Nadal E, Park K, Lu S, Taus A, Cobo M, Estrem ST, Wijayawardana SR, Turner K, Oakley GJ 3rd, Hurt KC, Chiang AY, Hossain AM, John WJ, Paz-Ares L. A Randomized Phase III Study of Abemaciclib Versus Erlotinib in Patients with Stage IV Non-small Cell Lung Cancer With a Detectable KRAS Mutation Who Failed Prior Platinum-Based Therapy: JUNIPER. Front Oncol. 2020 Oct 26;10:578756. doi: 10.3389/fonc.2020.578756. PMID: 33194700; PMCID: PMC7649422.</w:t>
            </w:r>
          </w:p>
        </w:tc>
      </w:tr>
      <w:tr w:rsidR="00542C3C" w:rsidRPr="00CD407E" w14:paraId="76B6311E" w14:textId="77777777" w:rsidTr="009622A0">
        <w:trPr>
          <w:gridAfter w:val="1"/>
          <w:wAfter w:w="89" w:type="dxa"/>
          <w:trHeight w:val="830"/>
        </w:trPr>
        <w:tc>
          <w:tcPr>
            <w:tcW w:w="741" w:type="dxa"/>
            <w:shd w:val="clear" w:color="auto" w:fill="auto"/>
            <w:noWrap/>
            <w:vAlign w:val="center"/>
            <w:hideMark/>
          </w:tcPr>
          <w:p w14:paraId="7F16486A"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N-48</w:t>
            </w:r>
          </w:p>
        </w:tc>
        <w:tc>
          <w:tcPr>
            <w:tcW w:w="1257" w:type="dxa"/>
            <w:shd w:val="clear" w:color="auto" w:fill="auto"/>
            <w:noWrap/>
            <w:vAlign w:val="center"/>
            <w:hideMark/>
          </w:tcPr>
          <w:p w14:paraId="14E4FA6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NCT01846611</w:t>
            </w:r>
          </w:p>
        </w:tc>
        <w:tc>
          <w:tcPr>
            <w:tcW w:w="2208" w:type="dxa"/>
            <w:gridSpan w:val="2"/>
            <w:shd w:val="clear" w:color="auto" w:fill="auto"/>
            <w:vAlign w:val="center"/>
            <w:hideMark/>
          </w:tcPr>
          <w:p w14:paraId="2F66160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Trabectedin and pegylated liposomal doxorubicin</w:t>
            </w:r>
          </w:p>
        </w:tc>
        <w:tc>
          <w:tcPr>
            <w:tcW w:w="2694" w:type="dxa"/>
            <w:gridSpan w:val="2"/>
            <w:shd w:val="clear" w:color="auto" w:fill="auto"/>
            <w:noWrap/>
            <w:vAlign w:val="center"/>
            <w:hideMark/>
          </w:tcPr>
          <w:p w14:paraId="7A69077A"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Ovarian cancer</w:t>
            </w:r>
          </w:p>
        </w:tc>
        <w:tc>
          <w:tcPr>
            <w:tcW w:w="6538" w:type="dxa"/>
            <w:gridSpan w:val="2"/>
            <w:shd w:val="clear" w:color="auto" w:fill="auto"/>
            <w:vAlign w:val="center"/>
            <w:hideMark/>
          </w:tcPr>
          <w:p w14:paraId="2A50BED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Monk BJ, Herzog TJ, Wang G, Triantos S, Maul S, Knoblauch R, McGowan T, Shalaby WSW, Coleman RL. A phase 3 randomized, open-label, multicenter trial for safety and efficacy of combined trabectedin and pegylated liposomal doxorubicin therapy for recurrent ovarian cancer. Gynecol Oncol. 2020 Mar;156(3):535-544. doi: 10.1016/j.ygyno.2019.12.043. Epub 2020 Jan 8. PMID: 31924332.</w:t>
            </w:r>
          </w:p>
        </w:tc>
      </w:tr>
      <w:tr w:rsidR="00542C3C" w:rsidRPr="00CD407E" w14:paraId="1847E184" w14:textId="77777777" w:rsidTr="009622A0">
        <w:trPr>
          <w:gridAfter w:val="1"/>
          <w:wAfter w:w="89" w:type="dxa"/>
          <w:trHeight w:val="1230"/>
        </w:trPr>
        <w:tc>
          <w:tcPr>
            <w:tcW w:w="741" w:type="dxa"/>
            <w:shd w:val="clear" w:color="auto" w:fill="auto"/>
            <w:noWrap/>
            <w:vAlign w:val="center"/>
            <w:hideMark/>
          </w:tcPr>
          <w:p w14:paraId="46874522"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N-49</w:t>
            </w:r>
          </w:p>
        </w:tc>
        <w:tc>
          <w:tcPr>
            <w:tcW w:w="1257" w:type="dxa"/>
            <w:shd w:val="clear" w:color="auto" w:fill="auto"/>
            <w:noWrap/>
            <w:vAlign w:val="center"/>
            <w:hideMark/>
          </w:tcPr>
          <w:p w14:paraId="4E73FF4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NCT01721746</w:t>
            </w:r>
          </w:p>
        </w:tc>
        <w:tc>
          <w:tcPr>
            <w:tcW w:w="2208" w:type="dxa"/>
            <w:gridSpan w:val="2"/>
            <w:shd w:val="clear" w:color="auto" w:fill="auto"/>
            <w:vAlign w:val="center"/>
            <w:hideMark/>
          </w:tcPr>
          <w:p w14:paraId="5315C73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Nivolumab</w:t>
            </w:r>
          </w:p>
        </w:tc>
        <w:tc>
          <w:tcPr>
            <w:tcW w:w="2694" w:type="dxa"/>
            <w:gridSpan w:val="2"/>
            <w:shd w:val="clear" w:color="auto" w:fill="auto"/>
            <w:noWrap/>
            <w:vAlign w:val="center"/>
            <w:hideMark/>
          </w:tcPr>
          <w:p w14:paraId="0587B90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Melanoma</w:t>
            </w:r>
          </w:p>
        </w:tc>
        <w:tc>
          <w:tcPr>
            <w:tcW w:w="6538" w:type="dxa"/>
            <w:gridSpan w:val="2"/>
            <w:shd w:val="clear" w:color="auto" w:fill="auto"/>
            <w:vAlign w:val="center"/>
            <w:hideMark/>
          </w:tcPr>
          <w:p w14:paraId="42D2490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Weber JS, D'Angelo SP, Minor D, Hodi FS, Gutzmer R, Neyns B, Hoeller C, Khushalani NI, Miller WH Jr, Lao CD, Linette GP, Thomas L, Lorigan P, Grossmann KF, Hassel JC, Maio M, Sznol M, Ascierto PA, Mohr P, Chmielowski B, Bryce A, Svane IM, Grob JJ, Krackhardt AM, Horak C, Lambert A, Yang AS, Larkin J. Nivolumab versus chemotherapy in patients with advanced melanoma who progressed after anti-CTLA-4 treatment (CheckMate 037): a randomised, controlled, open-label, phase 3 trial. Lancet Oncol. 2015 Apr;16(4):375-84. doi: 10.1016/S1470-2045(15)70076-8. Epub 2015 Mar 18. PMID: 25795410.</w:t>
            </w:r>
          </w:p>
        </w:tc>
      </w:tr>
      <w:tr w:rsidR="00542C3C" w:rsidRPr="00CD407E" w14:paraId="1EEA089E" w14:textId="77777777" w:rsidTr="009622A0">
        <w:trPr>
          <w:gridAfter w:val="1"/>
          <w:wAfter w:w="89" w:type="dxa"/>
          <w:trHeight w:val="1230"/>
        </w:trPr>
        <w:tc>
          <w:tcPr>
            <w:tcW w:w="741" w:type="dxa"/>
            <w:shd w:val="clear" w:color="auto" w:fill="auto"/>
            <w:noWrap/>
            <w:vAlign w:val="center"/>
            <w:hideMark/>
          </w:tcPr>
          <w:p w14:paraId="18A34E3C"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lastRenderedPageBreak/>
              <w:t>N-50</w:t>
            </w:r>
          </w:p>
        </w:tc>
        <w:tc>
          <w:tcPr>
            <w:tcW w:w="1257" w:type="dxa"/>
            <w:shd w:val="clear" w:color="auto" w:fill="auto"/>
            <w:noWrap/>
            <w:vAlign w:val="center"/>
            <w:hideMark/>
          </w:tcPr>
          <w:p w14:paraId="4BFD200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NCT00988208</w:t>
            </w:r>
          </w:p>
        </w:tc>
        <w:tc>
          <w:tcPr>
            <w:tcW w:w="2208" w:type="dxa"/>
            <w:gridSpan w:val="2"/>
            <w:shd w:val="clear" w:color="auto" w:fill="auto"/>
            <w:vAlign w:val="center"/>
            <w:hideMark/>
          </w:tcPr>
          <w:p w14:paraId="48C16F6C"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Lenalidomide plus docetaxel and prednisone</w:t>
            </w:r>
          </w:p>
        </w:tc>
        <w:tc>
          <w:tcPr>
            <w:tcW w:w="2694" w:type="dxa"/>
            <w:gridSpan w:val="2"/>
            <w:shd w:val="clear" w:color="auto" w:fill="auto"/>
            <w:noWrap/>
            <w:vAlign w:val="center"/>
            <w:hideMark/>
          </w:tcPr>
          <w:p w14:paraId="3FDC70C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Prostate cancer</w:t>
            </w:r>
          </w:p>
        </w:tc>
        <w:tc>
          <w:tcPr>
            <w:tcW w:w="6538" w:type="dxa"/>
            <w:gridSpan w:val="2"/>
            <w:shd w:val="clear" w:color="auto" w:fill="auto"/>
            <w:vAlign w:val="center"/>
            <w:hideMark/>
          </w:tcPr>
          <w:p w14:paraId="06DE72E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Petrylak DP, Vogelzang NJ, Budnik N, Wiechno PJ, Sternberg CN, Doner K, Bellmunt J, Burke JM, de Olza MO, Choudhury A, Gschwend JE, Kopyltsov E, Flechon A, Van As N, Houede N, Barton D, Fandi A, Jungnelius U, Li S, de Wit R, Fizazi K. Docetaxel and prednisone with or without lenalidomide in chemotherapy-naive patients with metastatic castration-resistant prostate cancer (MAINSAIL): a randomised, double-blind, placebo-controlled phase 3 trial. Lancet Oncol. 2015 Apr;16(4):417-25. doi: 10.1016/S1470-2045(15)70025-2. Epub 2015 Mar 3. PMID: 25743937.</w:t>
            </w:r>
          </w:p>
        </w:tc>
      </w:tr>
      <w:tr w:rsidR="00542C3C" w:rsidRPr="00CD407E" w14:paraId="19137494" w14:textId="77777777" w:rsidTr="009622A0">
        <w:trPr>
          <w:gridAfter w:val="1"/>
          <w:wAfter w:w="89" w:type="dxa"/>
          <w:trHeight w:val="1030"/>
        </w:trPr>
        <w:tc>
          <w:tcPr>
            <w:tcW w:w="741" w:type="dxa"/>
            <w:shd w:val="clear" w:color="auto" w:fill="auto"/>
            <w:noWrap/>
            <w:vAlign w:val="center"/>
            <w:hideMark/>
          </w:tcPr>
          <w:p w14:paraId="135957F0"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N-51</w:t>
            </w:r>
          </w:p>
        </w:tc>
        <w:tc>
          <w:tcPr>
            <w:tcW w:w="1257" w:type="dxa"/>
            <w:shd w:val="clear" w:color="auto" w:fill="auto"/>
            <w:noWrap/>
            <w:vAlign w:val="center"/>
            <w:hideMark/>
          </w:tcPr>
          <w:p w14:paraId="658F510D"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NCT02555657</w:t>
            </w:r>
          </w:p>
        </w:tc>
        <w:tc>
          <w:tcPr>
            <w:tcW w:w="2208" w:type="dxa"/>
            <w:gridSpan w:val="2"/>
            <w:shd w:val="clear" w:color="auto" w:fill="auto"/>
            <w:vAlign w:val="center"/>
            <w:hideMark/>
          </w:tcPr>
          <w:p w14:paraId="462548C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Pembrolizumab</w:t>
            </w:r>
          </w:p>
        </w:tc>
        <w:tc>
          <w:tcPr>
            <w:tcW w:w="2694" w:type="dxa"/>
            <w:gridSpan w:val="2"/>
            <w:shd w:val="clear" w:color="auto" w:fill="auto"/>
            <w:noWrap/>
            <w:vAlign w:val="center"/>
            <w:hideMark/>
          </w:tcPr>
          <w:p w14:paraId="1F65A0BC"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Breast cancer</w:t>
            </w:r>
          </w:p>
        </w:tc>
        <w:tc>
          <w:tcPr>
            <w:tcW w:w="6538" w:type="dxa"/>
            <w:gridSpan w:val="2"/>
            <w:shd w:val="clear" w:color="auto" w:fill="auto"/>
            <w:vAlign w:val="center"/>
            <w:hideMark/>
          </w:tcPr>
          <w:p w14:paraId="18D406B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Winer EP, Lipatov O, Im SA, Goncalves A, Muñoz-Couselo E, Lee KS, Schmid P, Tamura K, Testa L, Witzel I, Ohtani S, Turner N, Zambelli S, Harbeck N, Andre F, Dent R, Zhou X, Karantza V, Mejia J, Cortes J; KEYNOTE-119 investigators. Pembrolizumab versus investigator-choice chemotherapy for metastatic triple-negative breast cancer (KEYNOTE-119): a randomised, open-label, phase 3 trial. Lancet Oncol. 2021 Apr;22(4):499-511. doi: 10.1016/S1470-2045(20)30754-3. Epub 2021 Mar 4. PMID: 33676601.</w:t>
            </w:r>
          </w:p>
        </w:tc>
      </w:tr>
      <w:tr w:rsidR="00542C3C" w:rsidRPr="00CD407E" w14:paraId="2CF414A6" w14:textId="77777777" w:rsidTr="009622A0">
        <w:trPr>
          <w:gridAfter w:val="1"/>
          <w:wAfter w:w="89" w:type="dxa"/>
          <w:trHeight w:val="1030"/>
        </w:trPr>
        <w:tc>
          <w:tcPr>
            <w:tcW w:w="741" w:type="dxa"/>
            <w:shd w:val="clear" w:color="auto" w:fill="auto"/>
            <w:noWrap/>
            <w:vAlign w:val="center"/>
            <w:hideMark/>
          </w:tcPr>
          <w:p w14:paraId="1A6C052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N-52</w:t>
            </w:r>
          </w:p>
        </w:tc>
        <w:tc>
          <w:tcPr>
            <w:tcW w:w="1257" w:type="dxa"/>
            <w:shd w:val="clear" w:color="auto" w:fill="auto"/>
            <w:noWrap/>
            <w:vAlign w:val="center"/>
            <w:hideMark/>
          </w:tcPr>
          <w:p w14:paraId="3D0F0D5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NCT02788279</w:t>
            </w:r>
          </w:p>
        </w:tc>
        <w:tc>
          <w:tcPr>
            <w:tcW w:w="2208" w:type="dxa"/>
            <w:gridSpan w:val="2"/>
            <w:shd w:val="clear" w:color="auto" w:fill="auto"/>
            <w:vAlign w:val="center"/>
            <w:hideMark/>
          </w:tcPr>
          <w:p w14:paraId="057F06A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Atezolizumab plus cobimetinib</w:t>
            </w:r>
          </w:p>
        </w:tc>
        <w:tc>
          <w:tcPr>
            <w:tcW w:w="2694" w:type="dxa"/>
            <w:gridSpan w:val="2"/>
            <w:shd w:val="clear" w:color="auto" w:fill="auto"/>
            <w:noWrap/>
            <w:vAlign w:val="center"/>
            <w:hideMark/>
          </w:tcPr>
          <w:p w14:paraId="752F759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Colorectal cancer</w:t>
            </w:r>
          </w:p>
        </w:tc>
        <w:tc>
          <w:tcPr>
            <w:tcW w:w="6538" w:type="dxa"/>
            <w:gridSpan w:val="2"/>
            <w:shd w:val="clear" w:color="auto" w:fill="auto"/>
            <w:vAlign w:val="center"/>
            <w:hideMark/>
          </w:tcPr>
          <w:p w14:paraId="38BFB0F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Eng C, Kim TW, Bendell J, Argilés G, Tebbutt NC, Di Bartolomeo M, Falcone A, Fakih M, Kozloff M, Segal NH, Sobrero A, Yan Y, Chang I, Uyei A, Roberts L, Ciardiello F; IMblaze370 Investigators. Atezolizumab with or without cobimetinib versus regorafenib in previously treated metastatic colorectal cancer (IMblaze370): a multicentre, open-label, phase 3, randomised, controlled trial. Lancet Oncol. 2019 Jun;20(6):849-861. doi: 10.1016/S1470-2045(19)30027-0. Epub 2019 Apr 16. Erratum in: Lancet Oncol. 2019 Jun;20(6):e293. PMID: 31003911.</w:t>
            </w:r>
          </w:p>
        </w:tc>
      </w:tr>
      <w:tr w:rsidR="00542C3C" w:rsidRPr="00CD407E" w14:paraId="07921E2D" w14:textId="77777777" w:rsidTr="009622A0">
        <w:trPr>
          <w:gridAfter w:val="1"/>
          <w:wAfter w:w="89" w:type="dxa"/>
          <w:trHeight w:val="1030"/>
        </w:trPr>
        <w:tc>
          <w:tcPr>
            <w:tcW w:w="741" w:type="dxa"/>
            <w:shd w:val="clear" w:color="auto" w:fill="auto"/>
            <w:noWrap/>
            <w:vAlign w:val="center"/>
            <w:hideMark/>
          </w:tcPr>
          <w:p w14:paraId="2AC8EAE4"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N-53</w:t>
            </w:r>
          </w:p>
        </w:tc>
        <w:tc>
          <w:tcPr>
            <w:tcW w:w="1257" w:type="dxa"/>
            <w:shd w:val="clear" w:color="auto" w:fill="auto"/>
            <w:noWrap/>
            <w:vAlign w:val="center"/>
            <w:hideMark/>
          </w:tcPr>
          <w:p w14:paraId="78E7E45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NCT02788279</w:t>
            </w:r>
          </w:p>
        </w:tc>
        <w:tc>
          <w:tcPr>
            <w:tcW w:w="2208" w:type="dxa"/>
            <w:gridSpan w:val="2"/>
            <w:shd w:val="clear" w:color="auto" w:fill="auto"/>
            <w:vAlign w:val="center"/>
            <w:hideMark/>
          </w:tcPr>
          <w:p w14:paraId="73301B0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Atezolizumab</w:t>
            </w:r>
          </w:p>
        </w:tc>
        <w:tc>
          <w:tcPr>
            <w:tcW w:w="2694" w:type="dxa"/>
            <w:gridSpan w:val="2"/>
            <w:shd w:val="clear" w:color="auto" w:fill="auto"/>
            <w:noWrap/>
            <w:vAlign w:val="center"/>
            <w:hideMark/>
          </w:tcPr>
          <w:p w14:paraId="1789963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Colorectal cancer</w:t>
            </w:r>
          </w:p>
        </w:tc>
        <w:tc>
          <w:tcPr>
            <w:tcW w:w="6538" w:type="dxa"/>
            <w:gridSpan w:val="2"/>
            <w:shd w:val="clear" w:color="auto" w:fill="auto"/>
            <w:vAlign w:val="center"/>
            <w:hideMark/>
          </w:tcPr>
          <w:p w14:paraId="1454782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Eng C, Kim TW, Bendell J, Argilés G, Tebbutt NC, Di Bartolomeo M, Falcone A, Fakih M, Kozloff M, Segal NH, Sobrero A, Yan Y, Chang I, Uyei A, Roberts L, Ciardiello F; IMblaze370 Investigators. Atezolizumab with or without cobimetinib versus regorafenib in previously treated metastatic colorectal cancer (IMblaze370): a multicentre, open-label, phase 3, randomised, controlled trial. Lancet Oncol. 2019 Jun;20(6):849-861. doi: 10.1016/S1470-2045(19)30027-0. Epub 2019 Apr 16. Erratum in: Lancet Oncol. 2019 Jun;20(6):e293. PMID: 31003911.</w:t>
            </w:r>
          </w:p>
        </w:tc>
      </w:tr>
      <w:tr w:rsidR="00542C3C" w:rsidRPr="00CD407E" w14:paraId="0DDCC829" w14:textId="77777777" w:rsidTr="009622A0">
        <w:trPr>
          <w:gridAfter w:val="1"/>
          <w:wAfter w:w="89" w:type="dxa"/>
          <w:trHeight w:val="1230"/>
        </w:trPr>
        <w:tc>
          <w:tcPr>
            <w:tcW w:w="741" w:type="dxa"/>
            <w:shd w:val="clear" w:color="auto" w:fill="auto"/>
            <w:noWrap/>
            <w:vAlign w:val="center"/>
            <w:hideMark/>
          </w:tcPr>
          <w:p w14:paraId="0B9C6C0F"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N-54</w:t>
            </w:r>
          </w:p>
        </w:tc>
        <w:tc>
          <w:tcPr>
            <w:tcW w:w="1257" w:type="dxa"/>
            <w:shd w:val="clear" w:color="auto" w:fill="auto"/>
            <w:noWrap/>
            <w:vAlign w:val="center"/>
            <w:hideMark/>
          </w:tcPr>
          <w:p w14:paraId="0AEA286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NCT01697072</w:t>
            </w:r>
          </w:p>
        </w:tc>
        <w:tc>
          <w:tcPr>
            <w:tcW w:w="2208" w:type="dxa"/>
            <w:gridSpan w:val="2"/>
            <w:shd w:val="clear" w:color="auto" w:fill="auto"/>
            <w:vAlign w:val="center"/>
            <w:hideMark/>
          </w:tcPr>
          <w:p w14:paraId="541CF70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Rilotumumab plus epirubicin, cisplatin, and capecitabine</w:t>
            </w:r>
          </w:p>
        </w:tc>
        <w:tc>
          <w:tcPr>
            <w:tcW w:w="2694" w:type="dxa"/>
            <w:gridSpan w:val="2"/>
            <w:shd w:val="clear" w:color="auto" w:fill="auto"/>
            <w:noWrap/>
            <w:vAlign w:val="center"/>
            <w:hideMark/>
          </w:tcPr>
          <w:p w14:paraId="763D617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Gastric cancer</w:t>
            </w:r>
          </w:p>
        </w:tc>
        <w:tc>
          <w:tcPr>
            <w:tcW w:w="6538" w:type="dxa"/>
            <w:gridSpan w:val="2"/>
            <w:shd w:val="clear" w:color="auto" w:fill="auto"/>
            <w:vAlign w:val="center"/>
            <w:hideMark/>
          </w:tcPr>
          <w:p w14:paraId="2BD10C9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Catenacci DVT, Tebbutt NC, Davidenko I, Murad AM, Al-Batran SE, Ilson DH, Tjulandin S, Gotovkin E, Karaszewska B, Bondarenko I, Tejani MA, Udrea AA, Tehfe M, De Vita F, Turkington C, Tang R, Ang A, Zhang Y, Hoang T, Sidhu R, Cunningham D. Rilotumumab plus epirubicin, cisplatin, and capecitabine as first-line therapy in advanced MET-positive gastric or gastro-oesophageal junction cancer (RILOMET-1): a randomised, double-blind, placebo-controlled, phase 3 trial. Lancet Oncol. 2017 Nov;18(11):1467-1482. doi: 10.1016/S1470-2045(17)30566-1. Epub 2017 Sep 25. PMID: 28958504; PMCID: PMC5898242.</w:t>
            </w:r>
          </w:p>
        </w:tc>
      </w:tr>
      <w:tr w:rsidR="00542C3C" w:rsidRPr="00CD407E" w14:paraId="1197E18A" w14:textId="77777777" w:rsidTr="009622A0">
        <w:trPr>
          <w:gridAfter w:val="1"/>
          <w:wAfter w:w="89" w:type="dxa"/>
          <w:trHeight w:val="1430"/>
        </w:trPr>
        <w:tc>
          <w:tcPr>
            <w:tcW w:w="741" w:type="dxa"/>
            <w:shd w:val="clear" w:color="auto" w:fill="auto"/>
            <w:noWrap/>
            <w:vAlign w:val="center"/>
            <w:hideMark/>
          </w:tcPr>
          <w:p w14:paraId="69F7956C"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N-55</w:t>
            </w:r>
          </w:p>
        </w:tc>
        <w:tc>
          <w:tcPr>
            <w:tcW w:w="1257" w:type="dxa"/>
            <w:shd w:val="clear" w:color="auto" w:fill="auto"/>
            <w:noWrap/>
            <w:vAlign w:val="center"/>
            <w:hideMark/>
          </w:tcPr>
          <w:p w14:paraId="5A2C49D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NCT00861614</w:t>
            </w:r>
          </w:p>
        </w:tc>
        <w:tc>
          <w:tcPr>
            <w:tcW w:w="2208" w:type="dxa"/>
            <w:gridSpan w:val="2"/>
            <w:shd w:val="clear" w:color="auto" w:fill="auto"/>
            <w:vAlign w:val="center"/>
            <w:hideMark/>
          </w:tcPr>
          <w:p w14:paraId="7019B5BD"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 xml:space="preserve">Ipilimumab </w:t>
            </w:r>
          </w:p>
        </w:tc>
        <w:tc>
          <w:tcPr>
            <w:tcW w:w="2694" w:type="dxa"/>
            <w:gridSpan w:val="2"/>
            <w:shd w:val="clear" w:color="auto" w:fill="auto"/>
            <w:noWrap/>
            <w:vAlign w:val="center"/>
            <w:hideMark/>
          </w:tcPr>
          <w:p w14:paraId="255DFE6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Prostate cancer</w:t>
            </w:r>
          </w:p>
        </w:tc>
        <w:tc>
          <w:tcPr>
            <w:tcW w:w="6538" w:type="dxa"/>
            <w:gridSpan w:val="2"/>
            <w:shd w:val="clear" w:color="auto" w:fill="auto"/>
            <w:vAlign w:val="center"/>
            <w:hideMark/>
          </w:tcPr>
          <w:p w14:paraId="21F6BC0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Kwon ED, Drake CG, Scher HI, Fizazi K, Bossi A, van den Eertwegh AJ, Krainer M, Houede N, Santos R, Mahammedi H, Ng S, Maio M, Franke FA, Sundar S, Agarwal N, Bergman AM, Ciuleanu TE, Korbenfeld E, Sengeløv L, Hansen S, Logothetis C, Beer TM, McHenry MB, Gagnier P, Liu D, Gerritsen WR; CA184-043 Investigators. Ipilimumab versus placebo after radiotherapy in patients with metastatic castration-resistant prostate cancer that had progressed after docetaxel chemotherapy (CA184-043): a multicentre, randomised, double-blind, phase 3 trial. Lancet Oncol. 2014 Jun;15(7):700-12. doi: 10.1016/S1470-2045(14)70189-5. Epub 2014 May 13. PMID: 24831977; PMCID: PMC4418935.</w:t>
            </w:r>
          </w:p>
        </w:tc>
      </w:tr>
      <w:tr w:rsidR="00542C3C" w:rsidRPr="00CD407E" w14:paraId="0D13AD3C" w14:textId="77777777" w:rsidTr="009622A0">
        <w:trPr>
          <w:gridAfter w:val="1"/>
          <w:wAfter w:w="89" w:type="dxa"/>
          <w:trHeight w:val="1030"/>
        </w:trPr>
        <w:tc>
          <w:tcPr>
            <w:tcW w:w="741" w:type="dxa"/>
            <w:shd w:val="clear" w:color="auto" w:fill="auto"/>
            <w:noWrap/>
            <w:vAlign w:val="center"/>
            <w:hideMark/>
          </w:tcPr>
          <w:p w14:paraId="0AB416D2"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N-56</w:t>
            </w:r>
          </w:p>
        </w:tc>
        <w:tc>
          <w:tcPr>
            <w:tcW w:w="1257" w:type="dxa"/>
            <w:shd w:val="clear" w:color="auto" w:fill="auto"/>
            <w:noWrap/>
            <w:vAlign w:val="center"/>
            <w:hideMark/>
          </w:tcPr>
          <w:p w14:paraId="39DC25C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NCT00676650</w:t>
            </w:r>
          </w:p>
        </w:tc>
        <w:tc>
          <w:tcPr>
            <w:tcW w:w="2208" w:type="dxa"/>
            <w:gridSpan w:val="2"/>
            <w:shd w:val="clear" w:color="auto" w:fill="auto"/>
            <w:vAlign w:val="center"/>
            <w:hideMark/>
          </w:tcPr>
          <w:p w14:paraId="4DA2BCB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Sunitinib plus prednisone</w:t>
            </w:r>
          </w:p>
        </w:tc>
        <w:tc>
          <w:tcPr>
            <w:tcW w:w="2694" w:type="dxa"/>
            <w:gridSpan w:val="2"/>
            <w:shd w:val="clear" w:color="auto" w:fill="auto"/>
            <w:noWrap/>
            <w:vAlign w:val="center"/>
            <w:hideMark/>
          </w:tcPr>
          <w:p w14:paraId="772F1F8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Prostate cancer</w:t>
            </w:r>
          </w:p>
        </w:tc>
        <w:tc>
          <w:tcPr>
            <w:tcW w:w="6538" w:type="dxa"/>
            <w:gridSpan w:val="2"/>
            <w:shd w:val="clear" w:color="auto" w:fill="auto"/>
            <w:vAlign w:val="center"/>
            <w:hideMark/>
          </w:tcPr>
          <w:p w14:paraId="65DA91A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Michaelson MD, Oudard S, Ou YC, Sengeløv L, Saad F, Houede N, Ostler P, Stenzl A, Daugaard G, Jones R, Laestadius F, Ullèn A, Bahl A, Castellano D, Gschwend J, Maurina T, Chow Maneval E, Wang SL, Lechuga MJ, Paolini J, Chen I. Randomized, placebo-controlled, phase III trial of sunitinib plus prednisone versus prednisone alone in progressive, metastatic, castration-resistant prostate cancer. J Clin Oncol. 2014 Jan 10;32(2):76-82. doi: 10.1200/JCO.2012.48.5268. Epub 2013 Dec 9. PMID: 24323035.</w:t>
            </w:r>
          </w:p>
        </w:tc>
      </w:tr>
      <w:tr w:rsidR="00542C3C" w:rsidRPr="00CD407E" w14:paraId="5968CB0E" w14:textId="77777777" w:rsidTr="009622A0">
        <w:trPr>
          <w:gridAfter w:val="1"/>
          <w:wAfter w:w="89" w:type="dxa"/>
          <w:trHeight w:val="1230"/>
        </w:trPr>
        <w:tc>
          <w:tcPr>
            <w:tcW w:w="741" w:type="dxa"/>
            <w:shd w:val="clear" w:color="auto" w:fill="auto"/>
            <w:noWrap/>
            <w:vAlign w:val="center"/>
            <w:hideMark/>
          </w:tcPr>
          <w:p w14:paraId="46E99549"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lastRenderedPageBreak/>
              <w:t>N-57</w:t>
            </w:r>
          </w:p>
        </w:tc>
        <w:tc>
          <w:tcPr>
            <w:tcW w:w="1257" w:type="dxa"/>
            <w:shd w:val="clear" w:color="auto" w:fill="auto"/>
            <w:noWrap/>
            <w:vAlign w:val="center"/>
            <w:hideMark/>
          </w:tcPr>
          <w:p w14:paraId="0A10FE1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NCT01000025</w:t>
            </w:r>
          </w:p>
        </w:tc>
        <w:tc>
          <w:tcPr>
            <w:tcW w:w="2208" w:type="dxa"/>
            <w:gridSpan w:val="2"/>
            <w:shd w:val="clear" w:color="auto" w:fill="auto"/>
            <w:vAlign w:val="center"/>
            <w:hideMark/>
          </w:tcPr>
          <w:p w14:paraId="48F099C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 xml:space="preserve">Dacomitinib </w:t>
            </w:r>
          </w:p>
        </w:tc>
        <w:tc>
          <w:tcPr>
            <w:tcW w:w="2694" w:type="dxa"/>
            <w:gridSpan w:val="2"/>
            <w:shd w:val="clear" w:color="auto" w:fill="auto"/>
            <w:noWrap/>
            <w:vAlign w:val="center"/>
            <w:hideMark/>
          </w:tcPr>
          <w:p w14:paraId="5147ACC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Non-small cell lung cancer</w:t>
            </w:r>
          </w:p>
        </w:tc>
        <w:tc>
          <w:tcPr>
            <w:tcW w:w="6538" w:type="dxa"/>
            <w:gridSpan w:val="2"/>
            <w:shd w:val="clear" w:color="auto" w:fill="auto"/>
            <w:vAlign w:val="center"/>
            <w:hideMark/>
          </w:tcPr>
          <w:p w14:paraId="45BC071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Ellis PM, Shepherd FA, Millward M, Perrone F, Seymour L, Liu G, Sun S, Cho BC, Morabito A, Leighl NB, Stockler MR, Lee CW, Wierzbicki R, Cohen V, Blais N, Sangha RS, Favaretto AG, Kang JH, Tsao MS, Wilson CF, Goldberg Z, Ding K, Goss GD, Bradbury PA; NCIC CTG; Australasian Lung Cancer Trials Group; NCI Naples Clinical Trials Unit. Dacomitinib compared with placebo in pretreated patients with advanced or metastatic non-small-cell lung cancer (NCIC CTG BR.26): a double-blind, randomised, phase 3 trial. Lancet Oncol. 2014 Nov;15(12):1379-88. doi: 10.1016/S1470-2045(14)70472-3. Epub 2014 Oct 15. PMID: 25439692.</w:t>
            </w:r>
          </w:p>
        </w:tc>
      </w:tr>
      <w:tr w:rsidR="00542C3C" w:rsidRPr="00CD407E" w14:paraId="57C1131B" w14:textId="77777777" w:rsidTr="009622A0">
        <w:trPr>
          <w:gridAfter w:val="1"/>
          <w:wAfter w:w="89" w:type="dxa"/>
          <w:trHeight w:val="1030"/>
        </w:trPr>
        <w:tc>
          <w:tcPr>
            <w:tcW w:w="741" w:type="dxa"/>
            <w:shd w:val="clear" w:color="auto" w:fill="auto"/>
            <w:noWrap/>
            <w:vAlign w:val="center"/>
            <w:hideMark/>
          </w:tcPr>
          <w:p w14:paraId="2442BFCA"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N-58</w:t>
            </w:r>
          </w:p>
        </w:tc>
        <w:tc>
          <w:tcPr>
            <w:tcW w:w="1257" w:type="dxa"/>
            <w:shd w:val="clear" w:color="auto" w:fill="auto"/>
            <w:noWrap/>
            <w:vAlign w:val="center"/>
            <w:hideMark/>
          </w:tcPr>
          <w:p w14:paraId="2FC46AD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NCT01605227</w:t>
            </w:r>
          </w:p>
        </w:tc>
        <w:tc>
          <w:tcPr>
            <w:tcW w:w="2208" w:type="dxa"/>
            <w:gridSpan w:val="2"/>
            <w:shd w:val="clear" w:color="auto" w:fill="auto"/>
            <w:vAlign w:val="center"/>
            <w:hideMark/>
          </w:tcPr>
          <w:p w14:paraId="1D43BEB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Cabozantinib</w:t>
            </w:r>
          </w:p>
        </w:tc>
        <w:tc>
          <w:tcPr>
            <w:tcW w:w="2694" w:type="dxa"/>
            <w:gridSpan w:val="2"/>
            <w:shd w:val="clear" w:color="auto" w:fill="auto"/>
            <w:noWrap/>
            <w:vAlign w:val="center"/>
            <w:hideMark/>
          </w:tcPr>
          <w:p w14:paraId="4AF8D2B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Prostate cancer</w:t>
            </w:r>
          </w:p>
        </w:tc>
        <w:tc>
          <w:tcPr>
            <w:tcW w:w="6538" w:type="dxa"/>
            <w:gridSpan w:val="2"/>
            <w:shd w:val="clear" w:color="auto" w:fill="auto"/>
            <w:vAlign w:val="center"/>
            <w:hideMark/>
          </w:tcPr>
          <w:p w14:paraId="46B98F7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Smith M, De Bono J, Sternberg C, Le Moulec S, Oudard S, De Giorgi U, Krainer M, Bergman A, Hoelzer W, De Wit R, Bögemann M, Saad F, Cruciani G, Thiery-Vuillemin A, Feyerabend S, Miller K, Houédé N, Hussain S, Lam E, Polikoff J, Stenzl A, Mainwaring P, Ramies D, Hessel C, Weitzman A, Fizazi K. Phase III Study of Cabozantinib in Previously Treated Metastatic Castration-Resistant Prostate Cancer: COMET-1. J Clin Oncol. 2016 Sep 1;34(25):3005-13. doi: 10.1200/JCO.2015.65.5597. Epub 2016 Jul 11. PMID: 27400947.</w:t>
            </w:r>
          </w:p>
        </w:tc>
      </w:tr>
      <w:tr w:rsidR="00542C3C" w:rsidRPr="00CD407E" w14:paraId="461C554D" w14:textId="77777777" w:rsidTr="009622A0">
        <w:trPr>
          <w:gridAfter w:val="1"/>
          <w:wAfter w:w="89" w:type="dxa"/>
          <w:trHeight w:val="1030"/>
        </w:trPr>
        <w:tc>
          <w:tcPr>
            <w:tcW w:w="741" w:type="dxa"/>
            <w:shd w:val="clear" w:color="auto" w:fill="auto"/>
            <w:noWrap/>
            <w:vAlign w:val="center"/>
            <w:hideMark/>
          </w:tcPr>
          <w:p w14:paraId="2506D4F7"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N-59</w:t>
            </w:r>
          </w:p>
        </w:tc>
        <w:tc>
          <w:tcPr>
            <w:tcW w:w="1257" w:type="dxa"/>
            <w:shd w:val="clear" w:color="auto" w:fill="auto"/>
            <w:noWrap/>
            <w:vAlign w:val="center"/>
            <w:hideMark/>
          </w:tcPr>
          <w:p w14:paraId="1224DFA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NCT02752074</w:t>
            </w:r>
          </w:p>
        </w:tc>
        <w:tc>
          <w:tcPr>
            <w:tcW w:w="2208" w:type="dxa"/>
            <w:gridSpan w:val="2"/>
            <w:shd w:val="clear" w:color="auto" w:fill="auto"/>
            <w:vAlign w:val="center"/>
            <w:hideMark/>
          </w:tcPr>
          <w:p w14:paraId="2BA3B31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Epacadostat plus pembrolizumab</w:t>
            </w:r>
          </w:p>
        </w:tc>
        <w:tc>
          <w:tcPr>
            <w:tcW w:w="2694" w:type="dxa"/>
            <w:gridSpan w:val="2"/>
            <w:shd w:val="clear" w:color="auto" w:fill="auto"/>
            <w:noWrap/>
            <w:vAlign w:val="center"/>
            <w:hideMark/>
          </w:tcPr>
          <w:p w14:paraId="4219B15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Melanoma</w:t>
            </w:r>
          </w:p>
        </w:tc>
        <w:tc>
          <w:tcPr>
            <w:tcW w:w="6538" w:type="dxa"/>
            <w:gridSpan w:val="2"/>
            <w:shd w:val="clear" w:color="auto" w:fill="auto"/>
            <w:vAlign w:val="center"/>
            <w:hideMark/>
          </w:tcPr>
          <w:p w14:paraId="6EB58E2D"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Long GV, Dummer R, Hamid O, Gajewski TF, Caglevic C, Dalle S, Arance A, Carlino MS, Grob JJ, Kim TM, Demidov L, Robert C, Larkin J, Anderson JR, Maleski J, Jones M, Diede SJ, Mitchell TC. Epacadostat plus pembrolizumab versus placebo plus pembrolizumab in patients with unresectable or metastatic melanoma (ECHO-301/KEYNOTE-252): a phase 3, randomised, double-blind study. Lancet Oncol. 2019 Aug;20(8):1083-1097. doi: 10.1016/S1470-2045(19)30274-8. Epub 2019 Jun 17. PMID: 31221619.</w:t>
            </w:r>
          </w:p>
        </w:tc>
      </w:tr>
      <w:tr w:rsidR="00542C3C" w:rsidRPr="00CD407E" w14:paraId="5807085B" w14:textId="77777777" w:rsidTr="009622A0">
        <w:trPr>
          <w:gridAfter w:val="1"/>
          <w:wAfter w:w="89" w:type="dxa"/>
          <w:trHeight w:val="830"/>
        </w:trPr>
        <w:tc>
          <w:tcPr>
            <w:tcW w:w="741" w:type="dxa"/>
            <w:shd w:val="clear" w:color="auto" w:fill="auto"/>
            <w:noWrap/>
            <w:vAlign w:val="center"/>
            <w:hideMark/>
          </w:tcPr>
          <w:p w14:paraId="480135AD"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N-60</w:t>
            </w:r>
          </w:p>
        </w:tc>
        <w:tc>
          <w:tcPr>
            <w:tcW w:w="1257" w:type="dxa"/>
            <w:shd w:val="clear" w:color="auto" w:fill="auto"/>
            <w:noWrap/>
            <w:vAlign w:val="center"/>
            <w:hideMark/>
          </w:tcPr>
          <w:p w14:paraId="71750B5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NCT00662597</w:t>
            </w:r>
          </w:p>
        </w:tc>
        <w:tc>
          <w:tcPr>
            <w:tcW w:w="2208" w:type="dxa"/>
            <w:gridSpan w:val="2"/>
            <w:shd w:val="clear" w:color="auto" w:fill="auto"/>
            <w:vAlign w:val="center"/>
            <w:hideMark/>
          </w:tcPr>
          <w:p w14:paraId="3241964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Vadimezan (ASA404) plus carboplatin and paclitaxel</w:t>
            </w:r>
          </w:p>
        </w:tc>
        <w:tc>
          <w:tcPr>
            <w:tcW w:w="2694" w:type="dxa"/>
            <w:gridSpan w:val="2"/>
            <w:shd w:val="clear" w:color="auto" w:fill="auto"/>
            <w:noWrap/>
            <w:vAlign w:val="center"/>
            <w:hideMark/>
          </w:tcPr>
          <w:p w14:paraId="192ECAC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Non-small cell lung cancer</w:t>
            </w:r>
          </w:p>
        </w:tc>
        <w:tc>
          <w:tcPr>
            <w:tcW w:w="6538" w:type="dxa"/>
            <w:gridSpan w:val="2"/>
            <w:shd w:val="clear" w:color="auto" w:fill="auto"/>
            <w:vAlign w:val="center"/>
            <w:hideMark/>
          </w:tcPr>
          <w:p w14:paraId="33261BD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Lara PN Jr, Douillard JY, Nakagawa K, von Pawel J, McKeage MJ, Albert I, Losonczy G, Reck M, Heo DS, Fan X, Fandi A, Scagliotti G. Randomized phase III placebo-controlled trial of carboplatin and paclitaxel with or without the vascular disrupting agent vadimezan (ASA404) in advanced non-small-cell lung cancer. J Clin Oncol. 2011 Aug 1;29(22):2965-71. doi: 10.1200/JCO.2011.35.0660. Epub 2011 Jun 27. PMID: 21709202.</w:t>
            </w:r>
          </w:p>
        </w:tc>
      </w:tr>
      <w:tr w:rsidR="00542C3C" w:rsidRPr="00CD407E" w14:paraId="75A350FE" w14:textId="77777777" w:rsidTr="009622A0">
        <w:trPr>
          <w:gridAfter w:val="1"/>
          <w:wAfter w:w="89" w:type="dxa"/>
          <w:trHeight w:val="830"/>
        </w:trPr>
        <w:tc>
          <w:tcPr>
            <w:tcW w:w="741" w:type="dxa"/>
            <w:shd w:val="clear" w:color="auto" w:fill="auto"/>
            <w:noWrap/>
            <w:vAlign w:val="center"/>
            <w:hideMark/>
          </w:tcPr>
          <w:p w14:paraId="20D87190" w14:textId="77777777" w:rsidR="00542C3C" w:rsidRPr="00CD407E" w:rsidRDefault="00542C3C" w:rsidP="009622A0">
            <w:pPr>
              <w:spacing w:after="0" w:line="240" w:lineRule="auto"/>
              <w:rPr>
                <w:rFonts w:ascii="Calibri" w:eastAsia="Times New Roman" w:hAnsi="Calibri" w:cs="Calibri"/>
                <w:noProof w:val="0"/>
                <w:color w:val="000000"/>
              </w:rPr>
            </w:pPr>
            <w:r w:rsidRPr="00CD407E">
              <w:rPr>
                <w:rFonts w:ascii="Calibri" w:eastAsia="Times New Roman" w:hAnsi="Calibri" w:cs="Calibri"/>
                <w:noProof w:val="0"/>
                <w:color w:val="000000"/>
              </w:rPr>
              <w:t>N-61</w:t>
            </w:r>
          </w:p>
        </w:tc>
        <w:tc>
          <w:tcPr>
            <w:tcW w:w="1257" w:type="dxa"/>
            <w:shd w:val="clear" w:color="auto" w:fill="auto"/>
            <w:noWrap/>
            <w:vAlign w:val="center"/>
            <w:hideMark/>
          </w:tcPr>
          <w:p w14:paraId="2A89675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NCT00774345</w:t>
            </w:r>
          </w:p>
        </w:tc>
        <w:tc>
          <w:tcPr>
            <w:tcW w:w="2208" w:type="dxa"/>
            <w:gridSpan w:val="2"/>
            <w:shd w:val="clear" w:color="auto" w:fill="auto"/>
            <w:vAlign w:val="center"/>
            <w:hideMark/>
          </w:tcPr>
          <w:p w14:paraId="744F7AF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Lenalidomide</w:t>
            </w:r>
          </w:p>
        </w:tc>
        <w:tc>
          <w:tcPr>
            <w:tcW w:w="2694" w:type="dxa"/>
            <w:gridSpan w:val="2"/>
            <w:shd w:val="clear" w:color="auto" w:fill="auto"/>
            <w:noWrap/>
            <w:vAlign w:val="center"/>
            <w:hideMark/>
          </w:tcPr>
          <w:p w14:paraId="282DD65D"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Chronic lymphocytic leukemia</w:t>
            </w:r>
          </w:p>
        </w:tc>
        <w:tc>
          <w:tcPr>
            <w:tcW w:w="6538" w:type="dxa"/>
            <w:gridSpan w:val="2"/>
            <w:shd w:val="clear" w:color="auto" w:fill="auto"/>
            <w:vAlign w:val="center"/>
            <w:hideMark/>
          </w:tcPr>
          <w:p w14:paraId="018565E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Chanan-Khan AA, Zaritskey A, Egyed M, Vokurka S, Semochkin S, Schuh A, Kassis J, Simpson D, Zhang J, Purse B, Foà R. Lenalidomide maintenance therapy in previously treated chronic lymphocytic leukaemia (CONTINUUM): a randomised, double-blind, placebo-controlled, phase 3 trial. Lancet Haematol. 2017 Nov;4(11):e534-e543. doi: 10.1016/S2352-3026(17)30168-0. Epub 2017 Sep 25. PMID: 28958469.</w:t>
            </w:r>
          </w:p>
        </w:tc>
      </w:tr>
      <w:tr w:rsidR="00542C3C" w:rsidRPr="00CD407E" w14:paraId="30931C54" w14:textId="77777777" w:rsidTr="009622A0">
        <w:trPr>
          <w:gridAfter w:val="1"/>
          <w:wAfter w:w="89" w:type="dxa"/>
          <w:trHeight w:val="1030"/>
        </w:trPr>
        <w:tc>
          <w:tcPr>
            <w:tcW w:w="741" w:type="dxa"/>
            <w:shd w:val="clear" w:color="auto" w:fill="auto"/>
            <w:noWrap/>
            <w:vAlign w:val="center"/>
            <w:hideMark/>
          </w:tcPr>
          <w:p w14:paraId="156706B4" w14:textId="77777777" w:rsidR="00542C3C" w:rsidRPr="00CD407E" w:rsidRDefault="00542C3C" w:rsidP="009622A0">
            <w:pPr>
              <w:spacing w:after="0" w:line="240" w:lineRule="auto"/>
              <w:rPr>
                <w:rFonts w:ascii="Calibri" w:eastAsia="Times New Roman" w:hAnsi="Calibri" w:cs="Calibri"/>
                <w:noProof w:val="0"/>
                <w:color w:val="000000"/>
              </w:rPr>
            </w:pPr>
            <w:r w:rsidRPr="00CD407E">
              <w:rPr>
                <w:rFonts w:ascii="Calibri" w:eastAsia="Times New Roman" w:hAnsi="Calibri" w:cs="Calibri"/>
                <w:noProof w:val="0"/>
                <w:color w:val="000000"/>
              </w:rPr>
              <w:t>N-62</w:t>
            </w:r>
          </w:p>
        </w:tc>
        <w:tc>
          <w:tcPr>
            <w:tcW w:w="1257" w:type="dxa"/>
            <w:shd w:val="clear" w:color="auto" w:fill="auto"/>
            <w:noWrap/>
            <w:vAlign w:val="center"/>
            <w:hideMark/>
          </w:tcPr>
          <w:p w14:paraId="2C78F21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NCT02511405</w:t>
            </w:r>
          </w:p>
        </w:tc>
        <w:tc>
          <w:tcPr>
            <w:tcW w:w="2208" w:type="dxa"/>
            <w:gridSpan w:val="2"/>
            <w:shd w:val="clear" w:color="auto" w:fill="auto"/>
            <w:vAlign w:val="center"/>
            <w:hideMark/>
          </w:tcPr>
          <w:p w14:paraId="36EC603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Ofranergene obadenovec (VB-111) plus bevacizumab</w:t>
            </w:r>
          </w:p>
        </w:tc>
        <w:tc>
          <w:tcPr>
            <w:tcW w:w="2694" w:type="dxa"/>
            <w:gridSpan w:val="2"/>
            <w:shd w:val="clear" w:color="auto" w:fill="auto"/>
            <w:noWrap/>
            <w:vAlign w:val="center"/>
            <w:hideMark/>
          </w:tcPr>
          <w:p w14:paraId="2534854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Glioblastoma</w:t>
            </w:r>
          </w:p>
        </w:tc>
        <w:tc>
          <w:tcPr>
            <w:tcW w:w="6538" w:type="dxa"/>
            <w:gridSpan w:val="2"/>
            <w:shd w:val="clear" w:color="auto" w:fill="auto"/>
            <w:vAlign w:val="center"/>
            <w:hideMark/>
          </w:tcPr>
          <w:p w14:paraId="6AEA10C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Cloughesy TF, Brenner A, de Groot JF, Butowski NA, Zach L, Campian JL, Ellingson BM, Freedman LS, Cohen YC, Lowenton-Spier N, Rachmilewitz Minei T, Fain Shmueli S; GLOBE Study Investigators; Wen PY. A randomized controlled phase III study of VB-111 combined with bevacizumab vs bevacizumab monotherapy in patients with recurrent glioblastoma (GLOBE). Neuro Oncol. 2020 May 15;22(5):705-717. doi: 10.1093/neuonc/noz232. PMID: 31844890; PMCID: PMC7229248.</w:t>
            </w:r>
          </w:p>
        </w:tc>
      </w:tr>
      <w:tr w:rsidR="00542C3C" w:rsidRPr="00CD407E" w14:paraId="3859D4B4" w14:textId="77777777" w:rsidTr="009622A0">
        <w:trPr>
          <w:gridAfter w:val="1"/>
          <w:wAfter w:w="89" w:type="dxa"/>
          <w:trHeight w:val="1230"/>
        </w:trPr>
        <w:tc>
          <w:tcPr>
            <w:tcW w:w="741" w:type="dxa"/>
            <w:shd w:val="clear" w:color="auto" w:fill="auto"/>
            <w:noWrap/>
            <w:vAlign w:val="center"/>
            <w:hideMark/>
          </w:tcPr>
          <w:p w14:paraId="16B2A19A" w14:textId="77777777" w:rsidR="00542C3C" w:rsidRPr="00CD407E" w:rsidRDefault="00542C3C" w:rsidP="009622A0">
            <w:pPr>
              <w:spacing w:after="0" w:line="240" w:lineRule="auto"/>
              <w:rPr>
                <w:rFonts w:ascii="Calibri" w:eastAsia="Times New Roman" w:hAnsi="Calibri" w:cs="Calibri"/>
                <w:noProof w:val="0"/>
                <w:color w:val="000000"/>
              </w:rPr>
            </w:pPr>
            <w:r w:rsidRPr="00CD407E">
              <w:rPr>
                <w:rFonts w:ascii="Calibri" w:eastAsia="Times New Roman" w:hAnsi="Calibri" w:cs="Calibri"/>
                <w:noProof w:val="0"/>
                <w:color w:val="000000"/>
              </w:rPr>
              <w:t>N-63</w:t>
            </w:r>
          </w:p>
        </w:tc>
        <w:tc>
          <w:tcPr>
            <w:tcW w:w="1257" w:type="dxa"/>
            <w:shd w:val="clear" w:color="auto" w:fill="auto"/>
            <w:noWrap/>
            <w:vAlign w:val="center"/>
            <w:hideMark/>
          </w:tcPr>
          <w:p w14:paraId="5DEE57AD"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NCT01492101</w:t>
            </w:r>
          </w:p>
        </w:tc>
        <w:tc>
          <w:tcPr>
            <w:tcW w:w="2208" w:type="dxa"/>
            <w:gridSpan w:val="2"/>
            <w:shd w:val="clear" w:color="auto" w:fill="auto"/>
            <w:vAlign w:val="center"/>
            <w:hideMark/>
          </w:tcPr>
          <w:p w14:paraId="1BA673AC"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Etirinotecan pegol</w:t>
            </w:r>
          </w:p>
        </w:tc>
        <w:tc>
          <w:tcPr>
            <w:tcW w:w="2694" w:type="dxa"/>
            <w:gridSpan w:val="2"/>
            <w:shd w:val="clear" w:color="auto" w:fill="auto"/>
            <w:noWrap/>
            <w:vAlign w:val="center"/>
            <w:hideMark/>
          </w:tcPr>
          <w:p w14:paraId="5BB04F9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Breast cancer</w:t>
            </w:r>
          </w:p>
        </w:tc>
        <w:tc>
          <w:tcPr>
            <w:tcW w:w="6538" w:type="dxa"/>
            <w:gridSpan w:val="2"/>
            <w:shd w:val="clear" w:color="auto" w:fill="auto"/>
            <w:vAlign w:val="center"/>
            <w:hideMark/>
          </w:tcPr>
          <w:p w14:paraId="15E975D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Perez EA, Awada A, O'Shaughnessy J, Rugo HS, Twelves C, Im SA, Gómez-Pardo P, Schwartzberg LS, Diéras V, Yardley DA, Potter DA, Mailliez A, Moreno-Aspitia A, Ahn JS, Zhao C, Hoch U, Tagliaferri M, Hannah AL, Cortes J. Etirinotecan pegol (NKTR-102) versus treatment of physician's choice in women with advanced breast cancer previously treated with an anthracycline, a taxane, and capecitabine (BEACON): a randomised, open-label, multicentre, phase 3 trial. Lancet Oncol. 2015 Nov;16(15):1556-1568. doi: 10.1016/S1470-2045(15)00332-0. Epub 2015 Oct 22. PMID: 26482278.</w:t>
            </w:r>
          </w:p>
        </w:tc>
      </w:tr>
      <w:tr w:rsidR="00542C3C" w:rsidRPr="00CD407E" w14:paraId="3CFC39B6" w14:textId="77777777" w:rsidTr="009622A0">
        <w:trPr>
          <w:gridAfter w:val="1"/>
          <w:wAfter w:w="89" w:type="dxa"/>
          <w:trHeight w:val="1030"/>
        </w:trPr>
        <w:tc>
          <w:tcPr>
            <w:tcW w:w="741" w:type="dxa"/>
            <w:shd w:val="clear" w:color="auto" w:fill="auto"/>
            <w:noWrap/>
            <w:vAlign w:val="center"/>
            <w:hideMark/>
          </w:tcPr>
          <w:p w14:paraId="6941C7F1"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N-64</w:t>
            </w:r>
          </w:p>
        </w:tc>
        <w:tc>
          <w:tcPr>
            <w:tcW w:w="1257" w:type="dxa"/>
            <w:shd w:val="clear" w:color="auto" w:fill="auto"/>
            <w:noWrap/>
            <w:vAlign w:val="center"/>
            <w:hideMark/>
          </w:tcPr>
          <w:p w14:paraId="1BA05E7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NCT00938652</w:t>
            </w:r>
          </w:p>
        </w:tc>
        <w:tc>
          <w:tcPr>
            <w:tcW w:w="2208" w:type="dxa"/>
            <w:gridSpan w:val="2"/>
            <w:shd w:val="clear" w:color="auto" w:fill="auto"/>
            <w:vAlign w:val="center"/>
            <w:hideMark/>
          </w:tcPr>
          <w:p w14:paraId="7255B78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Iniparib plus gemcitabine and carboplatin</w:t>
            </w:r>
          </w:p>
        </w:tc>
        <w:tc>
          <w:tcPr>
            <w:tcW w:w="2694" w:type="dxa"/>
            <w:gridSpan w:val="2"/>
            <w:shd w:val="clear" w:color="auto" w:fill="auto"/>
            <w:noWrap/>
            <w:vAlign w:val="center"/>
            <w:hideMark/>
          </w:tcPr>
          <w:p w14:paraId="5D6D9E6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Breast cancer</w:t>
            </w:r>
          </w:p>
        </w:tc>
        <w:tc>
          <w:tcPr>
            <w:tcW w:w="6538" w:type="dxa"/>
            <w:gridSpan w:val="2"/>
            <w:shd w:val="clear" w:color="auto" w:fill="auto"/>
            <w:vAlign w:val="center"/>
            <w:hideMark/>
          </w:tcPr>
          <w:p w14:paraId="5162239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O'Shaughnessy J, Schwartzberg L, Danso MA, Miller KD, Rugo HS, Neubauer M, Robert N, Hellerstedt B, Saleh M, Richards P, Specht JM, Yardley DA, Carlson RW, Finn RS, Charpentier E, Garcia-Ribas I, Winer EP. Phase III study of iniparib plus gemcitabine and carboplatin versus gemcitabine and carboplatin in patients with metastatic triple-negative breast cancer. J Clin Oncol. 2014 Dec 1;32(34):3840-7. doi: 10.1200/JCO.2014.55.2984. Epub 2014 Oct 27. PMID: 25349301.</w:t>
            </w:r>
          </w:p>
        </w:tc>
      </w:tr>
      <w:tr w:rsidR="00542C3C" w:rsidRPr="00CD407E" w14:paraId="23FAD328" w14:textId="77777777" w:rsidTr="009622A0">
        <w:trPr>
          <w:gridAfter w:val="1"/>
          <w:wAfter w:w="89" w:type="dxa"/>
          <w:trHeight w:val="1030"/>
        </w:trPr>
        <w:tc>
          <w:tcPr>
            <w:tcW w:w="741" w:type="dxa"/>
            <w:shd w:val="clear" w:color="auto" w:fill="auto"/>
            <w:noWrap/>
            <w:vAlign w:val="center"/>
            <w:hideMark/>
          </w:tcPr>
          <w:p w14:paraId="333EDD80"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lastRenderedPageBreak/>
              <w:t>N-65</w:t>
            </w:r>
          </w:p>
        </w:tc>
        <w:tc>
          <w:tcPr>
            <w:tcW w:w="1257" w:type="dxa"/>
            <w:shd w:val="clear" w:color="auto" w:fill="auto"/>
            <w:noWrap/>
            <w:vAlign w:val="center"/>
            <w:hideMark/>
          </w:tcPr>
          <w:p w14:paraId="0DC43DF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NCT01193244</w:t>
            </w:r>
          </w:p>
        </w:tc>
        <w:tc>
          <w:tcPr>
            <w:tcW w:w="2208" w:type="dxa"/>
            <w:gridSpan w:val="2"/>
            <w:shd w:val="clear" w:color="auto" w:fill="auto"/>
            <w:vAlign w:val="center"/>
            <w:hideMark/>
          </w:tcPr>
          <w:p w14:paraId="3C88C9C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 xml:space="preserve">Orteronel plus prednisone </w:t>
            </w:r>
          </w:p>
        </w:tc>
        <w:tc>
          <w:tcPr>
            <w:tcW w:w="2694" w:type="dxa"/>
            <w:gridSpan w:val="2"/>
            <w:shd w:val="clear" w:color="auto" w:fill="auto"/>
            <w:noWrap/>
            <w:vAlign w:val="center"/>
            <w:hideMark/>
          </w:tcPr>
          <w:p w14:paraId="66B1838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Prostate cancer</w:t>
            </w:r>
          </w:p>
        </w:tc>
        <w:tc>
          <w:tcPr>
            <w:tcW w:w="6538" w:type="dxa"/>
            <w:gridSpan w:val="2"/>
            <w:shd w:val="clear" w:color="auto" w:fill="auto"/>
            <w:vAlign w:val="center"/>
            <w:hideMark/>
          </w:tcPr>
          <w:p w14:paraId="430EA5C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Saad F, Fizazi K, Jinga V, Efstathiou E, Fong PC, Hart LL, Jones R, McDermott R, Wirth M, Suzuki K, MacLean DB, Wang L, Akaza H, Nelson J, Scher HI, Dreicer R, Webb IJ, de Wit R; ELM-PC 4 investigators. Orteronel plus prednisone in patients with chemotherapy-naive metastatic castration-resistant prostate cancer (ELM-PC 4): a double-blind, multicentre, phase 3, randomised, placebo-controlled trial. Lancet Oncol. 2015 Mar;16(3):338-48. doi: 10.1016/S1470-2045(15)70027-6. Epub 2015 Feb 18. PMID: 25701170.</w:t>
            </w:r>
          </w:p>
        </w:tc>
      </w:tr>
      <w:tr w:rsidR="00542C3C" w:rsidRPr="00CD407E" w14:paraId="2F132FEE" w14:textId="77777777" w:rsidTr="009622A0">
        <w:trPr>
          <w:gridAfter w:val="1"/>
          <w:wAfter w:w="89" w:type="dxa"/>
          <w:trHeight w:val="1230"/>
        </w:trPr>
        <w:tc>
          <w:tcPr>
            <w:tcW w:w="741" w:type="dxa"/>
            <w:shd w:val="clear" w:color="auto" w:fill="auto"/>
            <w:noWrap/>
            <w:vAlign w:val="center"/>
            <w:hideMark/>
          </w:tcPr>
          <w:p w14:paraId="688375C7" w14:textId="77777777" w:rsidR="00542C3C" w:rsidRPr="00CD407E" w:rsidRDefault="00542C3C" w:rsidP="009622A0">
            <w:pPr>
              <w:spacing w:after="0" w:line="240" w:lineRule="auto"/>
              <w:rPr>
                <w:rFonts w:ascii="Calibri" w:eastAsia="Times New Roman" w:hAnsi="Calibri" w:cs="Calibri"/>
                <w:noProof w:val="0"/>
                <w:color w:val="000000"/>
              </w:rPr>
            </w:pPr>
            <w:r w:rsidRPr="00CD407E">
              <w:rPr>
                <w:rFonts w:ascii="Calibri" w:eastAsia="Times New Roman" w:hAnsi="Calibri" w:cs="Calibri"/>
                <w:noProof w:val="0"/>
                <w:color w:val="000000"/>
              </w:rPr>
              <w:t>N-66</w:t>
            </w:r>
          </w:p>
        </w:tc>
        <w:tc>
          <w:tcPr>
            <w:tcW w:w="1257" w:type="dxa"/>
            <w:shd w:val="clear" w:color="auto" w:fill="auto"/>
            <w:noWrap/>
            <w:vAlign w:val="center"/>
            <w:hideMark/>
          </w:tcPr>
          <w:p w14:paraId="164A41BD"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NCT01241500</w:t>
            </w:r>
          </w:p>
        </w:tc>
        <w:tc>
          <w:tcPr>
            <w:tcW w:w="2208" w:type="dxa"/>
            <w:gridSpan w:val="2"/>
            <w:shd w:val="clear" w:color="auto" w:fill="auto"/>
            <w:vAlign w:val="center"/>
            <w:hideMark/>
          </w:tcPr>
          <w:p w14:paraId="39C8BF7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Rigosertib</w:t>
            </w:r>
          </w:p>
        </w:tc>
        <w:tc>
          <w:tcPr>
            <w:tcW w:w="2694" w:type="dxa"/>
            <w:gridSpan w:val="2"/>
            <w:shd w:val="clear" w:color="auto" w:fill="auto"/>
            <w:noWrap/>
            <w:vAlign w:val="center"/>
            <w:hideMark/>
          </w:tcPr>
          <w:p w14:paraId="6565D68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Myelodysplastic syndromes</w:t>
            </w:r>
          </w:p>
        </w:tc>
        <w:tc>
          <w:tcPr>
            <w:tcW w:w="6538" w:type="dxa"/>
            <w:gridSpan w:val="2"/>
            <w:shd w:val="clear" w:color="auto" w:fill="auto"/>
            <w:vAlign w:val="center"/>
            <w:hideMark/>
          </w:tcPr>
          <w:p w14:paraId="0EE2D50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Garcia-Manero G, Fenaux P, Al-Kali A, Baer MR, Sekeres MA, Roboz GJ, Gaidano G, Scott BL, Greenberg P, Platzbecker U, Steensma DP, Kambhampati S, Kreuzer KA, Godley LA, Atallah E, Collins R Jr, Kantarjian H, Jabbour E, Wilhelm FE, Azarnia N, Silverman LR; ONTIME study investigators. Rigosertib versus best supportive care for patients with high-risk myelodysplastic syndromes after failure of hypomethylating drugs (ONTIME): a randomised, controlled, phase 3 trial. Lancet Oncol. 2016 Apr;17(4):496-508. doi: 10.1016/S1470-2045(16)00009-7. Epub 2016 Mar 9. PMID: 26968357.</w:t>
            </w:r>
          </w:p>
        </w:tc>
      </w:tr>
      <w:tr w:rsidR="00542C3C" w:rsidRPr="00CD407E" w14:paraId="203FB079" w14:textId="77777777" w:rsidTr="009622A0">
        <w:trPr>
          <w:gridAfter w:val="1"/>
          <w:wAfter w:w="89" w:type="dxa"/>
          <w:trHeight w:val="1430"/>
        </w:trPr>
        <w:tc>
          <w:tcPr>
            <w:tcW w:w="741" w:type="dxa"/>
            <w:shd w:val="clear" w:color="auto" w:fill="auto"/>
            <w:noWrap/>
            <w:vAlign w:val="center"/>
            <w:hideMark/>
          </w:tcPr>
          <w:p w14:paraId="0E2294C1"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N-67</w:t>
            </w:r>
          </w:p>
        </w:tc>
        <w:tc>
          <w:tcPr>
            <w:tcW w:w="1257" w:type="dxa"/>
            <w:shd w:val="clear" w:color="auto" w:fill="auto"/>
            <w:noWrap/>
            <w:vAlign w:val="center"/>
            <w:hideMark/>
          </w:tcPr>
          <w:p w14:paraId="5FB17B0A"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NCT01655693</w:t>
            </w:r>
          </w:p>
        </w:tc>
        <w:tc>
          <w:tcPr>
            <w:tcW w:w="2208" w:type="dxa"/>
            <w:gridSpan w:val="2"/>
            <w:shd w:val="clear" w:color="auto" w:fill="auto"/>
            <w:vAlign w:val="center"/>
            <w:hideMark/>
          </w:tcPr>
          <w:p w14:paraId="36CA210D"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Doxorubicin-loaded nanoparticles</w:t>
            </w:r>
          </w:p>
        </w:tc>
        <w:tc>
          <w:tcPr>
            <w:tcW w:w="2694" w:type="dxa"/>
            <w:gridSpan w:val="2"/>
            <w:shd w:val="clear" w:color="auto" w:fill="auto"/>
            <w:noWrap/>
            <w:vAlign w:val="center"/>
            <w:hideMark/>
          </w:tcPr>
          <w:p w14:paraId="0362B13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Hepatocellular carcinoma</w:t>
            </w:r>
          </w:p>
        </w:tc>
        <w:tc>
          <w:tcPr>
            <w:tcW w:w="6538" w:type="dxa"/>
            <w:gridSpan w:val="2"/>
            <w:shd w:val="clear" w:color="auto" w:fill="auto"/>
            <w:vAlign w:val="center"/>
            <w:hideMark/>
          </w:tcPr>
          <w:p w14:paraId="7C35350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Merle P, Blanc JF, Phelip JM, Pelletier G, Bronowicki JP, Touchefeu Y, Pageaux G, Gerolami R, Habersetzer F, Nguyen-Khac E, Casadei-Gardini A, Borbath I, Tran A, Wege H, Saad AS, Colombo M, Abergel A, Richou C, Waked I, Yee NS, Molé A, Attali P, Le Boulicaut J, Vasseur B; RELIVE Investigators. Doxorubicin-loaded nanoparticles for patients with advanced hepatocellular carcinoma after sorafenib treatment failure (RELIVE): a phase 3 randomised controlled trial. Lancet Gastroenterol Hepatol. 2019 Jun;4(6):454-465. doi: 10.1016/S2468-1253(19)30040-8. Epub 2019 Apr 4. Erratum in: Lancet Gastroenterol Hepatol. 2019 Jul;4(7):e6. Erratum in: Lancet Gastroenterol Hepatol. 2020 Feb;5(2):e1. PMID: 30954567.</w:t>
            </w:r>
          </w:p>
        </w:tc>
      </w:tr>
      <w:tr w:rsidR="00542C3C" w:rsidRPr="00CD407E" w14:paraId="7E5D4BC4" w14:textId="77777777" w:rsidTr="009622A0">
        <w:trPr>
          <w:gridAfter w:val="1"/>
          <w:wAfter w:w="89" w:type="dxa"/>
          <w:trHeight w:val="1030"/>
        </w:trPr>
        <w:tc>
          <w:tcPr>
            <w:tcW w:w="741" w:type="dxa"/>
            <w:shd w:val="clear" w:color="auto" w:fill="auto"/>
            <w:noWrap/>
            <w:vAlign w:val="center"/>
            <w:hideMark/>
          </w:tcPr>
          <w:p w14:paraId="4661D983"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N-68</w:t>
            </w:r>
          </w:p>
        </w:tc>
        <w:tc>
          <w:tcPr>
            <w:tcW w:w="1257" w:type="dxa"/>
            <w:shd w:val="clear" w:color="auto" w:fill="auto"/>
            <w:noWrap/>
            <w:vAlign w:val="center"/>
            <w:hideMark/>
          </w:tcPr>
          <w:p w14:paraId="32E2625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NCT01232556</w:t>
            </w:r>
          </w:p>
        </w:tc>
        <w:tc>
          <w:tcPr>
            <w:tcW w:w="2208" w:type="dxa"/>
            <w:gridSpan w:val="2"/>
            <w:shd w:val="clear" w:color="auto" w:fill="auto"/>
            <w:vAlign w:val="center"/>
            <w:hideMark/>
          </w:tcPr>
          <w:p w14:paraId="31E35EBA"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Inotuzumab ozogamicin plus rituximab</w:t>
            </w:r>
          </w:p>
        </w:tc>
        <w:tc>
          <w:tcPr>
            <w:tcW w:w="2694" w:type="dxa"/>
            <w:gridSpan w:val="2"/>
            <w:shd w:val="clear" w:color="auto" w:fill="auto"/>
            <w:noWrap/>
            <w:vAlign w:val="center"/>
            <w:hideMark/>
          </w:tcPr>
          <w:p w14:paraId="7AB5C51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Non-Hodgkin's lymphoma</w:t>
            </w:r>
          </w:p>
        </w:tc>
        <w:tc>
          <w:tcPr>
            <w:tcW w:w="6538" w:type="dxa"/>
            <w:gridSpan w:val="2"/>
            <w:shd w:val="clear" w:color="auto" w:fill="auto"/>
            <w:vAlign w:val="center"/>
            <w:hideMark/>
          </w:tcPr>
          <w:p w14:paraId="2A579E3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Dang NH, Ogura M, Castaigne S, Fayad LE, Jerkeman M, Radford J, Pezzutto A, Bondarenko I, Stewart DA, Shnaidman M, Sullivan S, Vandendries E, Tobinai K, Ramchandren R, Hamlin PA, Giné E, Ando K. Randomized, phase 3 trial of inotuzumab ozogamicin plus rituximab versus chemotherapy plus rituximab for relapsed/refractory aggressive B-cell non-Hodgkin lymphoma. Br J Haematol. 2018 Aug;182(4):583-586. doi: 10.1111/bjh.14820. Epub 2017 Jul 5. PMID: 28677896; PMCID: PMC6200343.</w:t>
            </w:r>
          </w:p>
        </w:tc>
      </w:tr>
      <w:tr w:rsidR="00542C3C" w:rsidRPr="00CD407E" w14:paraId="12653951" w14:textId="77777777" w:rsidTr="009622A0">
        <w:trPr>
          <w:gridAfter w:val="1"/>
          <w:wAfter w:w="89" w:type="dxa"/>
          <w:trHeight w:val="1030"/>
        </w:trPr>
        <w:tc>
          <w:tcPr>
            <w:tcW w:w="741" w:type="dxa"/>
            <w:shd w:val="clear" w:color="auto" w:fill="auto"/>
            <w:noWrap/>
            <w:vAlign w:val="center"/>
            <w:hideMark/>
          </w:tcPr>
          <w:p w14:paraId="5C308959"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N-69</w:t>
            </w:r>
          </w:p>
        </w:tc>
        <w:tc>
          <w:tcPr>
            <w:tcW w:w="1257" w:type="dxa"/>
            <w:shd w:val="clear" w:color="auto" w:fill="auto"/>
            <w:noWrap/>
            <w:vAlign w:val="center"/>
            <w:hideMark/>
          </w:tcPr>
          <w:p w14:paraId="4D1211F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NCT00324155</w:t>
            </w:r>
          </w:p>
        </w:tc>
        <w:tc>
          <w:tcPr>
            <w:tcW w:w="2208" w:type="dxa"/>
            <w:gridSpan w:val="2"/>
            <w:shd w:val="clear" w:color="auto" w:fill="auto"/>
            <w:vAlign w:val="center"/>
            <w:hideMark/>
          </w:tcPr>
          <w:p w14:paraId="494738F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Ipilimumab plus dacarbazine</w:t>
            </w:r>
          </w:p>
        </w:tc>
        <w:tc>
          <w:tcPr>
            <w:tcW w:w="2694" w:type="dxa"/>
            <w:gridSpan w:val="2"/>
            <w:shd w:val="clear" w:color="auto" w:fill="auto"/>
            <w:noWrap/>
            <w:vAlign w:val="center"/>
            <w:hideMark/>
          </w:tcPr>
          <w:p w14:paraId="4C625E6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Melanoma</w:t>
            </w:r>
          </w:p>
        </w:tc>
        <w:tc>
          <w:tcPr>
            <w:tcW w:w="6538" w:type="dxa"/>
            <w:gridSpan w:val="2"/>
            <w:shd w:val="clear" w:color="auto" w:fill="auto"/>
            <w:vAlign w:val="center"/>
            <w:hideMark/>
          </w:tcPr>
          <w:p w14:paraId="74CDB35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Robert C, Thomas L, Bondarenko I, O'Day S, Weber J, Garbe C, Lebbe C, Baurain JF, Testori A, Grob JJ, Davidson N, Richards J, Maio M, Hauschild A, Miller WH Jr, Gascon P, Lotem M, Harmankaya K, Ibrahim R, Francis S, Chen TT, Humphrey R, Hoos A, Wolchok JD. Ipilimumab plus dacarbazine for previously untreated metastatic melanoma. N Engl J Med. 2011 Jun 30;364(26):2517-26. doi: 10.1056/NEJMoa1104621. Epub 2011 Jun 5. PMID: 21639810.</w:t>
            </w:r>
          </w:p>
        </w:tc>
      </w:tr>
      <w:tr w:rsidR="00542C3C" w:rsidRPr="00CD407E" w14:paraId="20456327" w14:textId="77777777" w:rsidTr="009622A0">
        <w:trPr>
          <w:gridAfter w:val="1"/>
          <w:wAfter w:w="89" w:type="dxa"/>
          <w:trHeight w:val="1030"/>
        </w:trPr>
        <w:tc>
          <w:tcPr>
            <w:tcW w:w="741" w:type="dxa"/>
            <w:shd w:val="clear" w:color="auto" w:fill="auto"/>
            <w:noWrap/>
            <w:vAlign w:val="center"/>
            <w:hideMark/>
          </w:tcPr>
          <w:p w14:paraId="50549AE3"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N-70</w:t>
            </w:r>
          </w:p>
        </w:tc>
        <w:tc>
          <w:tcPr>
            <w:tcW w:w="1257" w:type="dxa"/>
            <w:shd w:val="clear" w:color="auto" w:fill="auto"/>
            <w:noWrap/>
            <w:vAlign w:val="center"/>
            <w:hideMark/>
          </w:tcPr>
          <w:p w14:paraId="58C6D4B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NCT02106546</w:t>
            </w:r>
          </w:p>
        </w:tc>
        <w:tc>
          <w:tcPr>
            <w:tcW w:w="2208" w:type="dxa"/>
            <w:gridSpan w:val="2"/>
            <w:shd w:val="clear" w:color="auto" w:fill="auto"/>
            <w:vAlign w:val="center"/>
            <w:hideMark/>
          </w:tcPr>
          <w:p w14:paraId="5EDBAA6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Veliparib plus carboplatin and paclitaxel</w:t>
            </w:r>
          </w:p>
        </w:tc>
        <w:tc>
          <w:tcPr>
            <w:tcW w:w="2694" w:type="dxa"/>
            <w:gridSpan w:val="2"/>
            <w:shd w:val="clear" w:color="auto" w:fill="auto"/>
            <w:noWrap/>
            <w:vAlign w:val="center"/>
            <w:hideMark/>
          </w:tcPr>
          <w:p w14:paraId="2C2417A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Non-small cell lung cancer</w:t>
            </w:r>
          </w:p>
        </w:tc>
        <w:tc>
          <w:tcPr>
            <w:tcW w:w="6538" w:type="dxa"/>
            <w:gridSpan w:val="2"/>
            <w:shd w:val="clear" w:color="auto" w:fill="auto"/>
            <w:vAlign w:val="center"/>
            <w:hideMark/>
          </w:tcPr>
          <w:p w14:paraId="7FACB91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Ramalingam SS, Novello S, Guclu SZ, Bentsion D, Zvirbule Z, Szilasi M, Bernabe R, Syrigos K, Byers LA, Clingan P, Bar J, Vokes EE, Govindan R, Dunbar M, Ansell P, He L, Huang X, Sehgal V, Glasgow J, Bach BA, Mazieres J. Veliparib in Combination With Platinum-Based Chemotherapy for First-Line Treatment of Advanced Squamous Cell Lung Cancer: A Randomized, Multicenter Phase III Study. J Clin Oncol. 2021 Nov 10;39(32):3633-3644. doi: 10.1200/JCO.20.03318. Epub 2021 Aug 26. PMID: 34436928; PMCID: PMC8577684.</w:t>
            </w:r>
          </w:p>
        </w:tc>
      </w:tr>
      <w:tr w:rsidR="00542C3C" w:rsidRPr="00CD407E" w14:paraId="07DACE02" w14:textId="77777777" w:rsidTr="009622A0">
        <w:trPr>
          <w:gridAfter w:val="1"/>
          <w:wAfter w:w="89" w:type="dxa"/>
          <w:trHeight w:val="1030"/>
        </w:trPr>
        <w:tc>
          <w:tcPr>
            <w:tcW w:w="741" w:type="dxa"/>
            <w:shd w:val="clear" w:color="auto" w:fill="auto"/>
            <w:noWrap/>
            <w:vAlign w:val="center"/>
            <w:hideMark/>
          </w:tcPr>
          <w:p w14:paraId="20F980D9"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N-71</w:t>
            </w:r>
          </w:p>
        </w:tc>
        <w:tc>
          <w:tcPr>
            <w:tcW w:w="1257" w:type="dxa"/>
            <w:shd w:val="clear" w:color="auto" w:fill="auto"/>
            <w:noWrap/>
            <w:vAlign w:val="center"/>
            <w:hideMark/>
          </w:tcPr>
          <w:p w14:paraId="1ED0C8B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NCT01999673</w:t>
            </w:r>
          </w:p>
        </w:tc>
        <w:tc>
          <w:tcPr>
            <w:tcW w:w="2208" w:type="dxa"/>
            <w:gridSpan w:val="2"/>
            <w:shd w:val="clear" w:color="auto" w:fill="auto"/>
            <w:vAlign w:val="center"/>
            <w:hideMark/>
          </w:tcPr>
          <w:p w14:paraId="4AB1040C"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Bavituximab plus docetaxel</w:t>
            </w:r>
          </w:p>
        </w:tc>
        <w:tc>
          <w:tcPr>
            <w:tcW w:w="2694" w:type="dxa"/>
            <w:gridSpan w:val="2"/>
            <w:shd w:val="clear" w:color="auto" w:fill="auto"/>
            <w:noWrap/>
            <w:vAlign w:val="center"/>
            <w:hideMark/>
          </w:tcPr>
          <w:p w14:paraId="03F52BF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Non-small cell lung cancer</w:t>
            </w:r>
          </w:p>
        </w:tc>
        <w:tc>
          <w:tcPr>
            <w:tcW w:w="6538" w:type="dxa"/>
            <w:gridSpan w:val="2"/>
            <w:shd w:val="clear" w:color="auto" w:fill="auto"/>
            <w:vAlign w:val="center"/>
            <w:hideMark/>
          </w:tcPr>
          <w:p w14:paraId="6FA4298C"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Gerber DE, Horn L, Boyer M, Sanborn R, Natale R, Palmero R, Bidoli P, Bondarenko I, Germonpre P, Ghizdavescu D, Kotsakis A, Lena H, Losonczy G, Park K, Su WC, Tang M, Lai J, Kallinteris NL, Shan JS, Reck M, Spigel DR. Randomized phase III study of docetaxel plus bavituximab in previously treated advanced non-squamous non-small-cell lung cancer. Ann Oncol. 2018 Jul 1;29(7):1548-1553. doi: 10.1093/annonc/mdy177. PMID: 29767677; PMCID: PMC6887726.</w:t>
            </w:r>
          </w:p>
        </w:tc>
      </w:tr>
      <w:tr w:rsidR="00542C3C" w:rsidRPr="00CD407E" w14:paraId="276C2AE1" w14:textId="77777777" w:rsidTr="009622A0">
        <w:trPr>
          <w:gridAfter w:val="1"/>
          <w:wAfter w:w="89" w:type="dxa"/>
          <w:trHeight w:val="1230"/>
        </w:trPr>
        <w:tc>
          <w:tcPr>
            <w:tcW w:w="741" w:type="dxa"/>
            <w:shd w:val="clear" w:color="auto" w:fill="auto"/>
            <w:noWrap/>
            <w:vAlign w:val="center"/>
            <w:hideMark/>
          </w:tcPr>
          <w:p w14:paraId="701DD6CD"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N-72</w:t>
            </w:r>
          </w:p>
        </w:tc>
        <w:tc>
          <w:tcPr>
            <w:tcW w:w="1257" w:type="dxa"/>
            <w:shd w:val="clear" w:color="auto" w:fill="auto"/>
            <w:noWrap/>
            <w:vAlign w:val="center"/>
            <w:hideMark/>
          </w:tcPr>
          <w:p w14:paraId="43C6598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NCT01057810</w:t>
            </w:r>
          </w:p>
        </w:tc>
        <w:tc>
          <w:tcPr>
            <w:tcW w:w="2208" w:type="dxa"/>
            <w:gridSpan w:val="2"/>
            <w:shd w:val="clear" w:color="auto" w:fill="auto"/>
            <w:vAlign w:val="center"/>
            <w:hideMark/>
          </w:tcPr>
          <w:p w14:paraId="2B656EF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Ipilimumab</w:t>
            </w:r>
          </w:p>
        </w:tc>
        <w:tc>
          <w:tcPr>
            <w:tcW w:w="2694" w:type="dxa"/>
            <w:gridSpan w:val="2"/>
            <w:shd w:val="clear" w:color="auto" w:fill="auto"/>
            <w:noWrap/>
            <w:vAlign w:val="center"/>
            <w:hideMark/>
          </w:tcPr>
          <w:p w14:paraId="6D5F4BFA"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Prostate cancer</w:t>
            </w:r>
          </w:p>
        </w:tc>
        <w:tc>
          <w:tcPr>
            <w:tcW w:w="6538" w:type="dxa"/>
            <w:gridSpan w:val="2"/>
            <w:shd w:val="clear" w:color="auto" w:fill="auto"/>
            <w:vAlign w:val="center"/>
            <w:hideMark/>
          </w:tcPr>
          <w:p w14:paraId="7BF2A9E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Beer TM, Kwon ED, Drake CG, Fizazi K, Logothetis C, Gravis G, Ganju V, Polikoff J, Saad F, Humanski P, Piulats JM, Gonzalez Mella P, Ng SS, Jaeger D, Parnis FX, Franke FA, Puente J, Carvajal R, Sengeløv L, McHenry MB, Varma A, van den Eertwegh AJ, Gerritsen W. Randomized, Double-Blind, Phase III Trial of Ipilimumab Versus Placebo in Asymptomatic or Minimally Symptomatic Patients With Metastatic Chemotherapy-Naive Castration-Resistant Prostate Cancer. J Clin Oncol. 2017 Jan;35(1):40-47. doi: 10.1200/JCO.2016.69.1584. Epub 2016 Oct 31. PMID: 28034081.</w:t>
            </w:r>
          </w:p>
        </w:tc>
      </w:tr>
      <w:tr w:rsidR="00542C3C" w:rsidRPr="00CD407E" w14:paraId="27948B6B" w14:textId="77777777" w:rsidTr="009622A0">
        <w:trPr>
          <w:gridAfter w:val="1"/>
          <w:wAfter w:w="89" w:type="dxa"/>
          <w:trHeight w:val="1030"/>
        </w:trPr>
        <w:tc>
          <w:tcPr>
            <w:tcW w:w="741" w:type="dxa"/>
            <w:shd w:val="clear" w:color="auto" w:fill="auto"/>
            <w:noWrap/>
            <w:vAlign w:val="center"/>
            <w:hideMark/>
          </w:tcPr>
          <w:p w14:paraId="7BB5C33D"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lastRenderedPageBreak/>
              <w:t>N-73</w:t>
            </w:r>
          </w:p>
        </w:tc>
        <w:tc>
          <w:tcPr>
            <w:tcW w:w="1257" w:type="dxa"/>
            <w:shd w:val="clear" w:color="auto" w:fill="auto"/>
            <w:noWrap/>
            <w:vAlign w:val="center"/>
            <w:hideMark/>
          </w:tcPr>
          <w:p w14:paraId="071002A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NCT02369874</w:t>
            </w:r>
          </w:p>
        </w:tc>
        <w:tc>
          <w:tcPr>
            <w:tcW w:w="2208" w:type="dxa"/>
            <w:gridSpan w:val="2"/>
            <w:shd w:val="clear" w:color="auto" w:fill="auto"/>
            <w:vAlign w:val="center"/>
            <w:hideMark/>
          </w:tcPr>
          <w:p w14:paraId="0C41C3EA"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Durvalumab plus tremelimumab</w:t>
            </w:r>
          </w:p>
        </w:tc>
        <w:tc>
          <w:tcPr>
            <w:tcW w:w="2694" w:type="dxa"/>
            <w:gridSpan w:val="2"/>
            <w:shd w:val="clear" w:color="auto" w:fill="auto"/>
            <w:noWrap/>
            <w:vAlign w:val="center"/>
            <w:hideMark/>
          </w:tcPr>
          <w:p w14:paraId="5205B14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Head and neck cancer</w:t>
            </w:r>
          </w:p>
        </w:tc>
        <w:tc>
          <w:tcPr>
            <w:tcW w:w="6538" w:type="dxa"/>
            <w:gridSpan w:val="2"/>
            <w:shd w:val="clear" w:color="auto" w:fill="auto"/>
            <w:vAlign w:val="center"/>
            <w:hideMark/>
          </w:tcPr>
          <w:p w14:paraId="3F6F301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Ferris RL, Haddad R, Even C, Tahara M, Dvorkin M, Ciuleanu TE, Clement PM, Mesia R, Kutukova S, Zholudeva L, Daste A, Caballero-Daroqui J, Keam B, Vynnychenko I, Lafond C, Shetty J, Mann H, Fan J, Wildsmith S, Morsli N, Fayette J, Licitra L. Durvalumab with or without tremelimumab in patients with recurrent or metastatic head and neck squamous cell carcinoma: EAGLE, a randomized, open-label phase III study. Ann Oncol. 2020 Jul;31(7):942-950. doi: 10.1016/j.annonc.2020.04.001. Epub 2020 Apr 12. PMID: 32294530.</w:t>
            </w:r>
          </w:p>
        </w:tc>
      </w:tr>
      <w:tr w:rsidR="00542C3C" w:rsidRPr="00CD407E" w14:paraId="02776495" w14:textId="77777777" w:rsidTr="009622A0">
        <w:trPr>
          <w:gridAfter w:val="1"/>
          <w:wAfter w:w="89" w:type="dxa"/>
          <w:trHeight w:val="1030"/>
        </w:trPr>
        <w:tc>
          <w:tcPr>
            <w:tcW w:w="741" w:type="dxa"/>
            <w:shd w:val="clear" w:color="auto" w:fill="auto"/>
            <w:noWrap/>
            <w:vAlign w:val="center"/>
            <w:hideMark/>
          </w:tcPr>
          <w:p w14:paraId="08B55008"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N-74</w:t>
            </w:r>
          </w:p>
        </w:tc>
        <w:tc>
          <w:tcPr>
            <w:tcW w:w="1257" w:type="dxa"/>
            <w:shd w:val="clear" w:color="auto" w:fill="auto"/>
            <w:noWrap/>
            <w:vAlign w:val="center"/>
            <w:hideMark/>
          </w:tcPr>
          <w:p w14:paraId="2ECBF35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NCT02369874</w:t>
            </w:r>
          </w:p>
        </w:tc>
        <w:tc>
          <w:tcPr>
            <w:tcW w:w="2208" w:type="dxa"/>
            <w:gridSpan w:val="2"/>
            <w:shd w:val="clear" w:color="auto" w:fill="auto"/>
            <w:vAlign w:val="center"/>
            <w:hideMark/>
          </w:tcPr>
          <w:p w14:paraId="6142049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Durvalumab</w:t>
            </w:r>
          </w:p>
        </w:tc>
        <w:tc>
          <w:tcPr>
            <w:tcW w:w="2694" w:type="dxa"/>
            <w:gridSpan w:val="2"/>
            <w:shd w:val="clear" w:color="auto" w:fill="auto"/>
            <w:noWrap/>
            <w:vAlign w:val="center"/>
            <w:hideMark/>
          </w:tcPr>
          <w:p w14:paraId="3CB6644D"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Head and neck cancer</w:t>
            </w:r>
          </w:p>
        </w:tc>
        <w:tc>
          <w:tcPr>
            <w:tcW w:w="6538" w:type="dxa"/>
            <w:gridSpan w:val="2"/>
            <w:shd w:val="clear" w:color="auto" w:fill="auto"/>
            <w:vAlign w:val="center"/>
            <w:hideMark/>
          </w:tcPr>
          <w:p w14:paraId="3C32C334"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Ferris RL, Haddad R, Even C, Tahara M, Dvorkin M, Ciuleanu TE, Clement PM, Mesia R, Kutukova S, Zholudeva L, Daste A, Caballero-Daroqui J, Keam B, Vynnychenko I, Lafond C, Shetty J, Mann H, Fan J, Wildsmith S, Morsli N, Fayette J, Licitra L. Durvalumab with or without tremelimumab in patients with recurrent or metastatic head and neck squamous cell carcinoma: EAGLE, a randomized, open-label phase III study. Ann Oncol. 2020 Jul;31(7):942-950. doi: 10.1016/j.annonc.2020.04.001. Epub 2020 Apr 12. PMID: 32294530.</w:t>
            </w:r>
          </w:p>
        </w:tc>
      </w:tr>
      <w:tr w:rsidR="00542C3C" w:rsidRPr="00CD407E" w14:paraId="2EA82BE7" w14:textId="77777777" w:rsidTr="009622A0">
        <w:trPr>
          <w:gridAfter w:val="1"/>
          <w:wAfter w:w="89" w:type="dxa"/>
          <w:trHeight w:val="1030"/>
        </w:trPr>
        <w:tc>
          <w:tcPr>
            <w:tcW w:w="741" w:type="dxa"/>
            <w:shd w:val="clear" w:color="auto" w:fill="auto"/>
            <w:noWrap/>
            <w:vAlign w:val="center"/>
            <w:hideMark/>
          </w:tcPr>
          <w:p w14:paraId="395A4E9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N-75</w:t>
            </w:r>
          </w:p>
        </w:tc>
        <w:tc>
          <w:tcPr>
            <w:tcW w:w="1257" w:type="dxa"/>
            <w:shd w:val="clear" w:color="auto" w:fill="auto"/>
            <w:noWrap/>
            <w:vAlign w:val="center"/>
            <w:hideMark/>
          </w:tcPr>
          <w:p w14:paraId="5884F17C"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NCT01322490</w:t>
            </w:r>
          </w:p>
        </w:tc>
        <w:tc>
          <w:tcPr>
            <w:tcW w:w="2208" w:type="dxa"/>
            <w:gridSpan w:val="2"/>
            <w:shd w:val="clear" w:color="auto" w:fill="auto"/>
            <w:vAlign w:val="center"/>
            <w:hideMark/>
          </w:tcPr>
          <w:p w14:paraId="7F31069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Rilimogene galvacirepvec plus G-CSF</w:t>
            </w:r>
          </w:p>
        </w:tc>
        <w:tc>
          <w:tcPr>
            <w:tcW w:w="2694" w:type="dxa"/>
            <w:gridSpan w:val="2"/>
            <w:shd w:val="clear" w:color="auto" w:fill="auto"/>
            <w:noWrap/>
            <w:vAlign w:val="center"/>
            <w:hideMark/>
          </w:tcPr>
          <w:p w14:paraId="16D712A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Prostate cancer</w:t>
            </w:r>
          </w:p>
        </w:tc>
        <w:tc>
          <w:tcPr>
            <w:tcW w:w="6538" w:type="dxa"/>
            <w:gridSpan w:val="2"/>
            <w:shd w:val="clear" w:color="auto" w:fill="auto"/>
            <w:vAlign w:val="center"/>
            <w:hideMark/>
          </w:tcPr>
          <w:p w14:paraId="53F30F8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Gulley JL, Borre M, Vogelzang NJ, Ng S, Agarwal N, Parker CC, Pook DW, Rathenborg P, Flaig TW, Carles J, Saad F, Shore ND, Chen L, Heery CR, Gerritsen WR, Priou F, Langkilde NC, Novikov A, Kantoff PW. Phase III Trial of PROSTVAC in Asymptomatic or Minimally Symptomatic Metastatic Castration-Resistant Prostate Cancer. J Clin Oncol. 2019 May 1;37(13):1051-1061. doi: 10.1200/JCO.18.02031. Epub 2019 Feb 28. PMID: 30817251; PMCID: PMC6494360.</w:t>
            </w:r>
          </w:p>
        </w:tc>
      </w:tr>
      <w:tr w:rsidR="00542C3C" w:rsidRPr="00CD407E" w14:paraId="796FFF6B" w14:textId="77777777" w:rsidTr="009622A0">
        <w:trPr>
          <w:gridAfter w:val="1"/>
          <w:wAfter w:w="89" w:type="dxa"/>
          <w:trHeight w:val="1030"/>
        </w:trPr>
        <w:tc>
          <w:tcPr>
            <w:tcW w:w="741" w:type="dxa"/>
            <w:shd w:val="clear" w:color="auto" w:fill="auto"/>
            <w:noWrap/>
            <w:vAlign w:val="center"/>
            <w:hideMark/>
          </w:tcPr>
          <w:p w14:paraId="04A8FFA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N-76</w:t>
            </w:r>
          </w:p>
        </w:tc>
        <w:tc>
          <w:tcPr>
            <w:tcW w:w="1257" w:type="dxa"/>
            <w:shd w:val="clear" w:color="auto" w:fill="auto"/>
            <w:noWrap/>
            <w:vAlign w:val="center"/>
            <w:hideMark/>
          </w:tcPr>
          <w:p w14:paraId="626589F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NCT01322490</w:t>
            </w:r>
          </w:p>
        </w:tc>
        <w:tc>
          <w:tcPr>
            <w:tcW w:w="2208" w:type="dxa"/>
            <w:gridSpan w:val="2"/>
            <w:shd w:val="clear" w:color="auto" w:fill="auto"/>
            <w:vAlign w:val="center"/>
            <w:hideMark/>
          </w:tcPr>
          <w:p w14:paraId="6C6B3ED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Rilimogene galvacirepvec</w:t>
            </w:r>
          </w:p>
        </w:tc>
        <w:tc>
          <w:tcPr>
            <w:tcW w:w="2694" w:type="dxa"/>
            <w:gridSpan w:val="2"/>
            <w:shd w:val="clear" w:color="auto" w:fill="auto"/>
            <w:noWrap/>
            <w:vAlign w:val="center"/>
            <w:hideMark/>
          </w:tcPr>
          <w:p w14:paraId="6957BEE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Prostate cancer</w:t>
            </w:r>
          </w:p>
        </w:tc>
        <w:tc>
          <w:tcPr>
            <w:tcW w:w="6538" w:type="dxa"/>
            <w:gridSpan w:val="2"/>
            <w:shd w:val="clear" w:color="auto" w:fill="auto"/>
            <w:vAlign w:val="center"/>
            <w:hideMark/>
          </w:tcPr>
          <w:p w14:paraId="6644D36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Gulley JL, Borre M, Vogelzang NJ, Ng S, Agarwal N, Parker CC, Pook DW, Rathenborg P, Flaig TW, Carles J, Saad F, Shore ND, Chen L, Heery CR, Gerritsen WR, Priou F, Langkilde NC, Novikov A, Kantoff PW. Phase III Trial of PROSTVAC in Asymptomatic or Minimally Symptomatic Metastatic Castration-Resistant Prostate Cancer. J Clin Oncol. 2019 May 1;37(13):1051-1061. doi: 10.1200/JCO.18.02031. Epub 2019 Feb 28. PMID: 30817251; PMCID: PMC6494360.</w:t>
            </w:r>
          </w:p>
        </w:tc>
      </w:tr>
      <w:tr w:rsidR="00542C3C" w:rsidRPr="00CD407E" w14:paraId="1221650B" w14:textId="77777777" w:rsidTr="009622A0">
        <w:trPr>
          <w:gridAfter w:val="1"/>
          <w:wAfter w:w="89" w:type="dxa"/>
          <w:trHeight w:val="1230"/>
        </w:trPr>
        <w:tc>
          <w:tcPr>
            <w:tcW w:w="741" w:type="dxa"/>
            <w:shd w:val="clear" w:color="auto" w:fill="auto"/>
            <w:noWrap/>
            <w:vAlign w:val="center"/>
            <w:hideMark/>
          </w:tcPr>
          <w:p w14:paraId="58A6B19E" w14:textId="77777777" w:rsidR="00542C3C" w:rsidRPr="00CD407E" w:rsidRDefault="00542C3C" w:rsidP="009622A0">
            <w:pPr>
              <w:spacing w:after="0" w:line="240" w:lineRule="auto"/>
              <w:rPr>
                <w:rFonts w:ascii="Calibri" w:eastAsia="Times New Roman" w:hAnsi="Calibri" w:cs="Calibri"/>
                <w:noProof w:val="0"/>
                <w:color w:val="000000"/>
              </w:rPr>
            </w:pPr>
            <w:r w:rsidRPr="00CD407E">
              <w:rPr>
                <w:rFonts w:ascii="Calibri" w:eastAsia="Times New Roman" w:hAnsi="Calibri" w:cs="Calibri"/>
                <w:noProof w:val="0"/>
                <w:color w:val="000000"/>
              </w:rPr>
              <w:t>N-77</w:t>
            </w:r>
          </w:p>
        </w:tc>
        <w:tc>
          <w:tcPr>
            <w:tcW w:w="1257" w:type="dxa"/>
            <w:shd w:val="clear" w:color="auto" w:fill="auto"/>
            <w:noWrap/>
            <w:vAlign w:val="center"/>
            <w:hideMark/>
          </w:tcPr>
          <w:p w14:paraId="0DF8DD1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NCT02785952</w:t>
            </w:r>
          </w:p>
        </w:tc>
        <w:tc>
          <w:tcPr>
            <w:tcW w:w="2208" w:type="dxa"/>
            <w:gridSpan w:val="2"/>
            <w:shd w:val="clear" w:color="auto" w:fill="auto"/>
            <w:vAlign w:val="center"/>
            <w:hideMark/>
          </w:tcPr>
          <w:p w14:paraId="1F462A9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Nivolumab plus ipilimumab</w:t>
            </w:r>
          </w:p>
        </w:tc>
        <w:tc>
          <w:tcPr>
            <w:tcW w:w="2694" w:type="dxa"/>
            <w:gridSpan w:val="2"/>
            <w:shd w:val="clear" w:color="auto" w:fill="auto"/>
            <w:noWrap/>
            <w:vAlign w:val="center"/>
            <w:hideMark/>
          </w:tcPr>
          <w:p w14:paraId="61DC08DD"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Non-small cell lung cancer</w:t>
            </w:r>
          </w:p>
        </w:tc>
        <w:tc>
          <w:tcPr>
            <w:tcW w:w="6538" w:type="dxa"/>
            <w:gridSpan w:val="2"/>
            <w:shd w:val="clear" w:color="auto" w:fill="auto"/>
            <w:vAlign w:val="center"/>
            <w:hideMark/>
          </w:tcPr>
          <w:p w14:paraId="514D00B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Gettinger SN, Redman MW, Bazhenova L, Hirsch FR, Mack PC, Schwartz LH, Bradley JD, Stinchcombe TE, Leighl NB, Ramalingam SS, Tavernier SS, Yu H, Unger JM, Minichiello K, Highleyman L, Papadimitrakopoulou VA, Kelly K, Gandara DR, Herbst RS. Nivolumab Plus Ipilimumab vs Nivolumab for Previously Treated Patients With Stage IV Squamous Cell Lung Cancer: The Lung-MAP S1400I Phase 3 Randomized Clinical Trial. JAMA Oncol. 2021 Sep 1;7(9):1368-1377. doi: 10.1001/jamaoncol.2021.2209. PMID: 34264316; PMCID: PMC8283667.</w:t>
            </w:r>
          </w:p>
        </w:tc>
      </w:tr>
      <w:tr w:rsidR="00542C3C" w:rsidRPr="00CD407E" w14:paraId="7A0B4594" w14:textId="77777777" w:rsidTr="009622A0">
        <w:trPr>
          <w:gridAfter w:val="1"/>
          <w:wAfter w:w="89" w:type="dxa"/>
          <w:trHeight w:val="1230"/>
        </w:trPr>
        <w:tc>
          <w:tcPr>
            <w:tcW w:w="741" w:type="dxa"/>
            <w:shd w:val="clear" w:color="auto" w:fill="auto"/>
            <w:noWrap/>
            <w:vAlign w:val="center"/>
            <w:hideMark/>
          </w:tcPr>
          <w:p w14:paraId="262E1470"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N-78</w:t>
            </w:r>
          </w:p>
        </w:tc>
        <w:tc>
          <w:tcPr>
            <w:tcW w:w="1257" w:type="dxa"/>
            <w:shd w:val="clear" w:color="auto" w:fill="auto"/>
            <w:noWrap/>
            <w:vAlign w:val="center"/>
            <w:hideMark/>
          </w:tcPr>
          <w:p w14:paraId="50D2E46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NCT00460265</w:t>
            </w:r>
          </w:p>
        </w:tc>
        <w:tc>
          <w:tcPr>
            <w:tcW w:w="2208" w:type="dxa"/>
            <w:gridSpan w:val="2"/>
            <w:shd w:val="clear" w:color="auto" w:fill="auto"/>
            <w:vAlign w:val="center"/>
            <w:hideMark/>
          </w:tcPr>
          <w:p w14:paraId="45921E5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Panitumumab plus cisplatin and fluorouracil</w:t>
            </w:r>
          </w:p>
        </w:tc>
        <w:tc>
          <w:tcPr>
            <w:tcW w:w="2694" w:type="dxa"/>
            <w:gridSpan w:val="2"/>
            <w:shd w:val="clear" w:color="auto" w:fill="auto"/>
            <w:noWrap/>
            <w:vAlign w:val="center"/>
            <w:hideMark/>
          </w:tcPr>
          <w:p w14:paraId="11A2A2E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Head and neck cancer</w:t>
            </w:r>
          </w:p>
        </w:tc>
        <w:tc>
          <w:tcPr>
            <w:tcW w:w="6538" w:type="dxa"/>
            <w:gridSpan w:val="2"/>
            <w:shd w:val="clear" w:color="auto" w:fill="auto"/>
            <w:vAlign w:val="center"/>
            <w:hideMark/>
          </w:tcPr>
          <w:p w14:paraId="27516E9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Vermorken JB, Stöhlmacher-Williams J, Davidenko I, Licitra L, Winquist E, Villanueva C, Foa P, Rottey S, Skladowski K, Tahara M, Pai VR, Faivre S, Blajman CR, Forastiere AA, Stein BN, Oliner KS, Pan Z, Bach BA; SPECTRUM investigators. Cisplatin and fluorouracil with or without panitumumab in patients with recurrent or metastatic squamous-cell carcinoma of the head and neck (SPECTRUM): an open-label phase 3 randomised trial. Lancet Oncol. 2013 Jul;14(8):697-710. doi: 10.1016/S1470-2045(13)70181-5. Epub 2013 Jun 6. PMID: 23746666.</w:t>
            </w:r>
          </w:p>
        </w:tc>
      </w:tr>
      <w:tr w:rsidR="00542C3C" w:rsidRPr="00CD407E" w14:paraId="58C1EFC6" w14:textId="77777777" w:rsidTr="009622A0">
        <w:trPr>
          <w:gridAfter w:val="1"/>
          <w:wAfter w:w="89" w:type="dxa"/>
          <w:trHeight w:val="1030"/>
        </w:trPr>
        <w:tc>
          <w:tcPr>
            <w:tcW w:w="741" w:type="dxa"/>
            <w:shd w:val="clear" w:color="auto" w:fill="auto"/>
            <w:noWrap/>
            <w:vAlign w:val="center"/>
            <w:hideMark/>
          </w:tcPr>
          <w:p w14:paraId="1D79329B"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N-79</w:t>
            </w:r>
          </w:p>
        </w:tc>
        <w:tc>
          <w:tcPr>
            <w:tcW w:w="1257" w:type="dxa"/>
            <w:shd w:val="clear" w:color="auto" w:fill="auto"/>
            <w:noWrap/>
            <w:vAlign w:val="center"/>
            <w:hideMark/>
          </w:tcPr>
          <w:p w14:paraId="4D97374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NCT01641939</w:t>
            </w:r>
          </w:p>
        </w:tc>
        <w:tc>
          <w:tcPr>
            <w:tcW w:w="2208" w:type="dxa"/>
            <w:gridSpan w:val="2"/>
            <w:shd w:val="clear" w:color="auto" w:fill="auto"/>
            <w:vAlign w:val="center"/>
            <w:hideMark/>
          </w:tcPr>
          <w:p w14:paraId="3D2F956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T-DM1 (Trastuzumab emtansine)</w:t>
            </w:r>
          </w:p>
        </w:tc>
        <w:tc>
          <w:tcPr>
            <w:tcW w:w="2694" w:type="dxa"/>
            <w:gridSpan w:val="2"/>
            <w:shd w:val="clear" w:color="auto" w:fill="auto"/>
            <w:noWrap/>
            <w:vAlign w:val="center"/>
            <w:hideMark/>
          </w:tcPr>
          <w:p w14:paraId="658258C4"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Gastric cancer</w:t>
            </w:r>
          </w:p>
        </w:tc>
        <w:tc>
          <w:tcPr>
            <w:tcW w:w="6538" w:type="dxa"/>
            <w:gridSpan w:val="2"/>
            <w:shd w:val="clear" w:color="auto" w:fill="auto"/>
            <w:vAlign w:val="center"/>
            <w:hideMark/>
          </w:tcPr>
          <w:p w14:paraId="54944FB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Thuss-Patience PC, Shah MA, Ohtsu A, Van Cutsem E, Ajani JA, Castro H, Mansoor W, Chung HC, Bodoky G, Shitara K, Phillips GDL, van der Horst T, Harle-Yge ML, Althaus BL, Kang YK. Trastuzumab emtansine versus taxane use for previously treated HER2-positive locally advanced or metastatic gastric or gastro-oesophageal junction adenocarcinoma (GATSBY): an international randomised, open-label, adaptive, phase 2/3 study. Lancet Oncol. 2017 May;18(5):640-653. doi: 10.1016/S1470-2045(17)30111-0. Epub 2017 Mar 23. PMID: 28343975.</w:t>
            </w:r>
          </w:p>
        </w:tc>
      </w:tr>
      <w:tr w:rsidR="00542C3C" w:rsidRPr="00CD407E" w14:paraId="39C5DDDC" w14:textId="77777777" w:rsidTr="009622A0">
        <w:trPr>
          <w:gridAfter w:val="1"/>
          <w:wAfter w:w="89" w:type="dxa"/>
          <w:trHeight w:val="1230"/>
        </w:trPr>
        <w:tc>
          <w:tcPr>
            <w:tcW w:w="741" w:type="dxa"/>
            <w:shd w:val="clear" w:color="auto" w:fill="auto"/>
            <w:noWrap/>
            <w:vAlign w:val="center"/>
            <w:hideMark/>
          </w:tcPr>
          <w:p w14:paraId="23185ACB"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N-80</w:t>
            </w:r>
          </w:p>
        </w:tc>
        <w:tc>
          <w:tcPr>
            <w:tcW w:w="1257" w:type="dxa"/>
            <w:shd w:val="clear" w:color="auto" w:fill="auto"/>
            <w:noWrap/>
            <w:vAlign w:val="center"/>
            <w:hideMark/>
          </w:tcPr>
          <w:p w14:paraId="785FEBB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NCT01265901</w:t>
            </w:r>
          </w:p>
        </w:tc>
        <w:tc>
          <w:tcPr>
            <w:tcW w:w="2208" w:type="dxa"/>
            <w:gridSpan w:val="2"/>
            <w:shd w:val="clear" w:color="auto" w:fill="auto"/>
            <w:vAlign w:val="center"/>
            <w:hideMark/>
          </w:tcPr>
          <w:p w14:paraId="12E3DB9A"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IMA901 plus sunitinib</w:t>
            </w:r>
          </w:p>
        </w:tc>
        <w:tc>
          <w:tcPr>
            <w:tcW w:w="2694" w:type="dxa"/>
            <w:gridSpan w:val="2"/>
            <w:shd w:val="clear" w:color="auto" w:fill="auto"/>
            <w:noWrap/>
            <w:vAlign w:val="center"/>
            <w:hideMark/>
          </w:tcPr>
          <w:p w14:paraId="4A6C54EC"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Renal cell carcinoma</w:t>
            </w:r>
          </w:p>
        </w:tc>
        <w:tc>
          <w:tcPr>
            <w:tcW w:w="6538" w:type="dxa"/>
            <w:gridSpan w:val="2"/>
            <w:shd w:val="clear" w:color="auto" w:fill="auto"/>
            <w:vAlign w:val="center"/>
            <w:hideMark/>
          </w:tcPr>
          <w:p w14:paraId="3902C17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Rini BI, Stenzl A, Zdrojowy R, Kogan M, Shkolnik M, Oudard S, Weikert S, Bracarda S, Crabb SJ, Bedke J, Ludwig J, Maurer D, Mendrzyk R, Wagner C, Mahr A, Fritsche J, Weinschenk T, Walter S, Kirner A, Singh-Jasuja H, Reinhardt C, Eisen T. IMA901, a multipeptide cancer vaccine, plus sunitinib versus sunitinib alone, as first-line therapy for advanced or metastatic renal cell carcinoma (IMPRINT): a multicentre, open-label, randomised, controlled, phase 3 trial. Lancet Oncol. 2016 Nov;17(11):1599-1611. doi: 10.1016/S1470-2045(16)30408-9. Epub 2016 Oct 3. PMID: 27720136.</w:t>
            </w:r>
          </w:p>
        </w:tc>
      </w:tr>
      <w:tr w:rsidR="00542C3C" w:rsidRPr="00CD407E" w14:paraId="60AE9A97" w14:textId="77777777" w:rsidTr="009622A0">
        <w:trPr>
          <w:gridAfter w:val="1"/>
          <w:wAfter w:w="89" w:type="dxa"/>
          <w:trHeight w:val="1030"/>
        </w:trPr>
        <w:tc>
          <w:tcPr>
            <w:tcW w:w="741" w:type="dxa"/>
            <w:shd w:val="clear" w:color="auto" w:fill="auto"/>
            <w:noWrap/>
            <w:vAlign w:val="center"/>
            <w:hideMark/>
          </w:tcPr>
          <w:p w14:paraId="76DD07A7"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lastRenderedPageBreak/>
              <w:t>N-81</w:t>
            </w:r>
          </w:p>
        </w:tc>
        <w:tc>
          <w:tcPr>
            <w:tcW w:w="1257" w:type="dxa"/>
            <w:shd w:val="clear" w:color="auto" w:fill="auto"/>
            <w:noWrap/>
            <w:vAlign w:val="center"/>
            <w:hideMark/>
          </w:tcPr>
          <w:p w14:paraId="187B7D7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NCT00337103</w:t>
            </w:r>
          </w:p>
        </w:tc>
        <w:tc>
          <w:tcPr>
            <w:tcW w:w="2208" w:type="dxa"/>
            <w:gridSpan w:val="2"/>
            <w:shd w:val="clear" w:color="auto" w:fill="auto"/>
            <w:vAlign w:val="center"/>
            <w:hideMark/>
          </w:tcPr>
          <w:p w14:paraId="548A0CE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Eribulin mesylate</w:t>
            </w:r>
          </w:p>
        </w:tc>
        <w:tc>
          <w:tcPr>
            <w:tcW w:w="2694" w:type="dxa"/>
            <w:gridSpan w:val="2"/>
            <w:shd w:val="clear" w:color="auto" w:fill="auto"/>
            <w:noWrap/>
            <w:vAlign w:val="center"/>
            <w:hideMark/>
          </w:tcPr>
          <w:p w14:paraId="4F1F159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Breast cancer</w:t>
            </w:r>
          </w:p>
        </w:tc>
        <w:tc>
          <w:tcPr>
            <w:tcW w:w="6538" w:type="dxa"/>
            <w:gridSpan w:val="2"/>
            <w:shd w:val="clear" w:color="auto" w:fill="auto"/>
            <w:vAlign w:val="center"/>
            <w:hideMark/>
          </w:tcPr>
          <w:p w14:paraId="768B7FB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Kaufman PA, Awada A, Twelves C, Yelle L, Perez EA, Velikova G, Olivo MS, He Y, Dutcus CE, Cortes J. Phase III open-label randomized study of eribulin mesylate versus capecitabine in patients with locally advanced or metastatic breast cancer previously treated with an anthracycline and a taxane. J Clin Oncol. 2015 Feb 20;33(6):594-601. doi: 10.1200/JCO.2013.52.4892. Epub 2015 Jan 20. PMID: 25605862; PMCID: PMC4463422.</w:t>
            </w:r>
          </w:p>
        </w:tc>
      </w:tr>
      <w:tr w:rsidR="00542C3C" w:rsidRPr="00CD407E" w14:paraId="23C47100" w14:textId="77777777" w:rsidTr="009622A0">
        <w:trPr>
          <w:gridAfter w:val="1"/>
          <w:wAfter w:w="89" w:type="dxa"/>
          <w:trHeight w:val="830"/>
        </w:trPr>
        <w:tc>
          <w:tcPr>
            <w:tcW w:w="741" w:type="dxa"/>
            <w:shd w:val="clear" w:color="auto" w:fill="auto"/>
            <w:noWrap/>
            <w:vAlign w:val="center"/>
            <w:hideMark/>
          </w:tcPr>
          <w:p w14:paraId="256D8546"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N-82</w:t>
            </w:r>
          </w:p>
        </w:tc>
        <w:tc>
          <w:tcPr>
            <w:tcW w:w="1257" w:type="dxa"/>
            <w:shd w:val="clear" w:color="auto" w:fill="auto"/>
            <w:noWrap/>
            <w:vAlign w:val="center"/>
            <w:hideMark/>
          </w:tcPr>
          <w:p w14:paraId="759E8FEA"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NCT00574275</w:t>
            </w:r>
          </w:p>
        </w:tc>
        <w:tc>
          <w:tcPr>
            <w:tcW w:w="2208" w:type="dxa"/>
            <w:gridSpan w:val="2"/>
            <w:shd w:val="clear" w:color="auto" w:fill="auto"/>
            <w:vAlign w:val="center"/>
            <w:hideMark/>
          </w:tcPr>
          <w:p w14:paraId="5F03FAC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Aflibercept plus gemcitabine</w:t>
            </w:r>
          </w:p>
        </w:tc>
        <w:tc>
          <w:tcPr>
            <w:tcW w:w="2694" w:type="dxa"/>
            <w:gridSpan w:val="2"/>
            <w:shd w:val="clear" w:color="auto" w:fill="auto"/>
            <w:noWrap/>
            <w:vAlign w:val="center"/>
            <w:hideMark/>
          </w:tcPr>
          <w:p w14:paraId="36B82DA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Pancreatic cancer</w:t>
            </w:r>
          </w:p>
        </w:tc>
        <w:tc>
          <w:tcPr>
            <w:tcW w:w="6538" w:type="dxa"/>
            <w:gridSpan w:val="2"/>
            <w:shd w:val="clear" w:color="auto" w:fill="auto"/>
            <w:vAlign w:val="center"/>
            <w:hideMark/>
          </w:tcPr>
          <w:p w14:paraId="52BC7AE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Rougier P, Riess H, Manges R, Karasek P, Humblet Y, Barone C, Santoro A, Assadourian S, Hatteville L, Philip PA. Randomised, placebo-controlled, double-blind, parallel-group phase III study evaluating aflibercept in patients receiving first-line treatment with gemcitabine for metastatic pancreatic cancer. Eur J Cancer. 2013 Aug;49(12):2633-42. doi: 10.1016/j.ejca.2013.04.002. Epub 2013 Apr 30. PMID: 23642329.</w:t>
            </w:r>
          </w:p>
        </w:tc>
      </w:tr>
      <w:tr w:rsidR="00542C3C" w:rsidRPr="00CD407E" w14:paraId="4494B4F0" w14:textId="77777777" w:rsidTr="009622A0">
        <w:trPr>
          <w:gridAfter w:val="1"/>
          <w:wAfter w:w="89" w:type="dxa"/>
          <w:trHeight w:val="1030"/>
        </w:trPr>
        <w:tc>
          <w:tcPr>
            <w:tcW w:w="741" w:type="dxa"/>
            <w:shd w:val="clear" w:color="auto" w:fill="auto"/>
            <w:noWrap/>
            <w:vAlign w:val="center"/>
            <w:hideMark/>
          </w:tcPr>
          <w:p w14:paraId="422FC87E"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N-83</w:t>
            </w:r>
          </w:p>
        </w:tc>
        <w:tc>
          <w:tcPr>
            <w:tcW w:w="1257" w:type="dxa"/>
            <w:shd w:val="clear" w:color="auto" w:fill="auto"/>
            <w:noWrap/>
            <w:vAlign w:val="center"/>
            <w:hideMark/>
          </w:tcPr>
          <w:p w14:paraId="3E2B6C2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NCT00617669</w:t>
            </w:r>
          </w:p>
        </w:tc>
        <w:tc>
          <w:tcPr>
            <w:tcW w:w="2208" w:type="dxa"/>
            <w:gridSpan w:val="2"/>
            <w:shd w:val="clear" w:color="auto" w:fill="auto"/>
            <w:vAlign w:val="center"/>
            <w:hideMark/>
          </w:tcPr>
          <w:p w14:paraId="22E100F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Zibotentan plus docetaxel</w:t>
            </w:r>
          </w:p>
        </w:tc>
        <w:tc>
          <w:tcPr>
            <w:tcW w:w="2694" w:type="dxa"/>
            <w:gridSpan w:val="2"/>
            <w:shd w:val="clear" w:color="auto" w:fill="auto"/>
            <w:noWrap/>
            <w:vAlign w:val="center"/>
            <w:hideMark/>
          </w:tcPr>
          <w:p w14:paraId="2CEED3A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Prostate cancer</w:t>
            </w:r>
          </w:p>
        </w:tc>
        <w:tc>
          <w:tcPr>
            <w:tcW w:w="6538" w:type="dxa"/>
            <w:gridSpan w:val="2"/>
            <w:shd w:val="clear" w:color="auto" w:fill="auto"/>
            <w:vAlign w:val="center"/>
            <w:hideMark/>
          </w:tcPr>
          <w:p w14:paraId="613B8CC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Fizazi K, Higano CS, Nelson JB, Gleave M, Miller K, Morris T, Nathan FE, McIntosh S, Pemberton K, Moul JW. Phase III, randomized, placebo-controlled study of docetaxel in combination with zibotentan in patients with metastatic castration-resistant prostate cancer. J Clin Oncol. 2013 May 10;31(14):1740-7. doi: 10.1200/JCO.2012.46.4149. Epub 2013 Apr 8. Erratum in: J Clin Oncol. 2014 Oct 20;32(30):3461. Fizazi, Karim S [Corrected to Fizazi, Karim]. PMID: 23569308.</w:t>
            </w:r>
          </w:p>
        </w:tc>
      </w:tr>
      <w:tr w:rsidR="00542C3C" w:rsidRPr="00CD407E" w14:paraId="6112CFEE" w14:textId="77777777" w:rsidTr="009622A0">
        <w:trPr>
          <w:gridAfter w:val="1"/>
          <w:wAfter w:w="89" w:type="dxa"/>
          <w:trHeight w:val="1230"/>
        </w:trPr>
        <w:tc>
          <w:tcPr>
            <w:tcW w:w="741" w:type="dxa"/>
            <w:shd w:val="clear" w:color="auto" w:fill="auto"/>
            <w:noWrap/>
            <w:vAlign w:val="center"/>
            <w:hideMark/>
          </w:tcPr>
          <w:p w14:paraId="17EE44B0"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N-84</w:t>
            </w:r>
          </w:p>
        </w:tc>
        <w:tc>
          <w:tcPr>
            <w:tcW w:w="1257" w:type="dxa"/>
            <w:shd w:val="clear" w:color="auto" w:fill="auto"/>
            <w:noWrap/>
            <w:vAlign w:val="center"/>
            <w:hideMark/>
          </w:tcPr>
          <w:p w14:paraId="2ACDE43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NCT01456325</w:t>
            </w:r>
          </w:p>
        </w:tc>
        <w:tc>
          <w:tcPr>
            <w:tcW w:w="2208" w:type="dxa"/>
            <w:gridSpan w:val="2"/>
            <w:shd w:val="clear" w:color="auto" w:fill="auto"/>
            <w:vAlign w:val="center"/>
            <w:hideMark/>
          </w:tcPr>
          <w:p w14:paraId="37B7CD8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Onartuzumab plus erlotinib</w:t>
            </w:r>
          </w:p>
        </w:tc>
        <w:tc>
          <w:tcPr>
            <w:tcW w:w="2694" w:type="dxa"/>
            <w:gridSpan w:val="2"/>
            <w:shd w:val="clear" w:color="auto" w:fill="auto"/>
            <w:noWrap/>
            <w:vAlign w:val="center"/>
            <w:hideMark/>
          </w:tcPr>
          <w:p w14:paraId="2154371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Non-small cell lung cancer</w:t>
            </w:r>
          </w:p>
        </w:tc>
        <w:tc>
          <w:tcPr>
            <w:tcW w:w="6538" w:type="dxa"/>
            <w:gridSpan w:val="2"/>
            <w:shd w:val="clear" w:color="auto" w:fill="auto"/>
            <w:vAlign w:val="center"/>
            <w:hideMark/>
          </w:tcPr>
          <w:p w14:paraId="36D33E8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Koeppen H, Yu W, Zha J, Pandita A, Penuel E, Rangell L, Raja R, Mohan S, Patel R, Desai R, Fu L, Do A, Parab V, Xia X, Januario T, Louie SG, Filvaroff E, Shames DS, Wistuba I, Lipkind M, Huang J, Lazarov M, Ramakrishnan V, Amler L, Phan SC, Patel P, Peterson A, Yauch RL. Biomarker analyses from a placebo-controlled phase II study evaluating erlotinib±onartuzumab in advanced non-small cell lung cancer: MET expression levels are predictive of patient benefit. Clin Cancer Res. 2014 Sep 1;20(17):4488-98. doi: 10.1158/1078-0432.CCR-13-1836. Epub 2014 Mar 31. PMID: 24687921; PMCID: PMC4504679.</w:t>
            </w:r>
          </w:p>
        </w:tc>
      </w:tr>
      <w:tr w:rsidR="00542C3C" w:rsidRPr="00CD407E" w14:paraId="394935AC" w14:textId="77777777" w:rsidTr="009622A0">
        <w:trPr>
          <w:gridAfter w:val="1"/>
          <w:wAfter w:w="89" w:type="dxa"/>
          <w:trHeight w:val="1030"/>
        </w:trPr>
        <w:tc>
          <w:tcPr>
            <w:tcW w:w="741" w:type="dxa"/>
            <w:shd w:val="clear" w:color="auto" w:fill="auto"/>
            <w:noWrap/>
            <w:vAlign w:val="center"/>
            <w:hideMark/>
          </w:tcPr>
          <w:p w14:paraId="29BFC636"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N-85</w:t>
            </w:r>
          </w:p>
        </w:tc>
        <w:tc>
          <w:tcPr>
            <w:tcW w:w="1257" w:type="dxa"/>
            <w:shd w:val="clear" w:color="auto" w:fill="auto"/>
            <w:noWrap/>
            <w:vAlign w:val="center"/>
            <w:hideMark/>
          </w:tcPr>
          <w:p w14:paraId="3D23DCE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NCT01098266</w:t>
            </w:r>
          </w:p>
        </w:tc>
        <w:tc>
          <w:tcPr>
            <w:tcW w:w="2208" w:type="dxa"/>
            <w:gridSpan w:val="2"/>
            <w:shd w:val="clear" w:color="auto" w:fill="auto"/>
            <w:vAlign w:val="center"/>
            <w:hideMark/>
          </w:tcPr>
          <w:p w14:paraId="23DEA19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NGR-hTNF plus chemotherapy or BSC</w:t>
            </w:r>
          </w:p>
        </w:tc>
        <w:tc>
          <w:tcPr>
            <w:tcW w:w="2694" w:type="dxa"/>
            <w:gridSpan w:val="2"/>
            <w:shd w:val="clear" w:color="auto" w:fill="auto"/>
            <w:noWrap/>
            <w:vAlign w:val="center"/>
            <w:hideMark/>
          </w:tcPr>
          <w:p w14:paraId="2EE9507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Mesothelioma</w:t>
            </w:r>
          </w:p>
        </w:tc>
        <w:tc>
          <w:tcPr>
            <w:tcW w:w="6538" w:type="dxa"/>
            <w:gridSpan w:val="2"/>
            <w:shd w:val="clear" w:color="auto" w:fill="auto"/>
            <w:vAlign w:val="center"/>
            <w:hideMark/>
          </w:tcPr>
          <w:p w14:paraId="47C059F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Gregorc V, Gaafar RM, Favaretto A, Grossi F, Jassem J, Polychronis A, Bidoli P, Tiseo M, Shah R, Taylor P, Novello S, Muzio A, Bearz A, Greillier L, Fontana F, Salini G, Lambiase A, O'Brien M. NGR-hTNF in combination with best investigator choice in previously treated malignant pleural mesothelioma (NGR015): a randomised, double-blind, placebo-controlled phase 3 trial. Lancet Oncol. 2018 Jun;19(6):799-811. doi: 10.1016/S1470-2045(18)30193-1. Epub 2018 May 9. PMID: 29753703.</w:t>
            </w:r>
          </w:p>
        </w:tc>
      </w:tr>
      <w:tr w:rsidR="00542C3C" w:rsidRPr="00CD407E" w14:paraId="191F0E7D" w14:textId="77777777" w:rsidTr="009622A0">
        <w:trPr>
          <w:gridAfter w:val="1"/>
          <w:wAfter w:w="89" w:type="dxa"/>
          <w:trHeight w:val="1030"/>
        </w:trPr>
        <w:tc>
          <w:tcPr>
            <w:tcW w:w="741" w:type="dxa"/>
            <w:shd w:val="clear" w:color="auto" w:fill="auto"/>
            <w:noWrap/>
            <w:vAlign w:val="center"/>
            <w:hideMark/>
          </w:tcPr>
          <w:p w14:paraId="489CDD80"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N-86</w:t>
            </w:r>
          </w:p>
        </w:tc>
        <w:tc>
          <w:tcPr>
            <w:tcW w:w="1257" w:type="dxa"/>
            <w:shd w:val="clear" w:color="auto" w:fill="auto"/>
            <w:noWrap/>
            <w:vAlign w:val="center"/>
            <w:hideMark/>
          </w:tcPr>
          <w:p w14:paraId="44EA656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NCT02625623</w:t>
            </w:r>
          </w:p>
        </w:tc>
        <w:tc>
          <w:tcPr>
            <w:tcW w:w="2208" w:type="dxa"/>
            <w:gridSpan w:val="2"/>
            <w:shd w:val="clear" w:color="auto" w:fill="auto"/>
            <w:vAlign w:val="center"/>
            <w:hideMark/>
          </w:tcPr>
          <w:p w14:paraId="6F41A59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Avelumab</w:t>
            </w:r>
          </w:p>
        </w:tc>
        <w:tc>
          <w:tcPr>
            <w:tcW w:w="2694" w:type="dxa"/>
            <w:gridSpan w:val="2"/>
            <w:shd w:val="clear" w:color="auto" w:fill="auto"/>
            <w:noWrap/>
            <w:vAlign w:val="center"/>
            <w:hideMark/>
          </w:tcPr>
          <w:p w14:paraId="447B7FE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Gastric cancer</w:t>
            </w:r>
          </w:p>
        </w:tc>
        <w:tc>
          <w:tcPr>
            <w:tcW w:w="6538" w:type="dxa"/>
            <w:gridSpan w:val="2"/>
            <w:shd w:val="clear" w:color="auto" w:fill="auto"/>
            <w:vAlign w:val="center"/>
            <w:hideMark/>
          </w:tcPr>
          <w:p w14:paraId="50E5C0B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Bang YJ, Ruiz EY, Van Cutsem E, Lee KW, Wyrwicz L, Schenker M, Alsina M, Ryu MH, Chung HC, Evesque L, Al-Batran SE, Park SH, Lichinitser M, Boku N, Moehler MH, Hong J, Xiong H, Hallwachs R, Conti I, Taieb J. Phase III, randomised trial of avelumab versus physician's choice of chemotherapy as third-line treatment of patients with advanced gastric or gastro-oesophageal junction cancer: primary analysis of JAVELIN Gastric 300. Ann Oncol. 2018 Oct 1;29(10):2052-2060. doi: 10.1093/annonc/mdy264. PMID: 30052729; PMCID: PMC6225815.</w:t>
            </w:r>
          </w:p>
        </w:tc>
      </w:tr>
      <w:tr w:rsidR="00542C3C" w:rsidRPr="00CD407E" w14:paraId="5D6D1716" w14:textId="77777777" w:rsidTr="009622A0">
        <w:trPr>
          <w:gridAfter w:val="1"/>
          <w:wAfter w:w="89" w:type="dxa"/>
          <w:trHeight w:val="1230"/>
        </w:trPr>
        <w:tc>
          <w:tcPr>
            <w:tcW w:w="741" w:type="dxa"/>
            <w:shd w:val="clear" w:color="auto" w:fill="auto"/>
            <w:noWrap/>
            <w:vAlign w:val="center"/>
            <w:hideMark/>
          </w:tcPr>
          <w:p w14:paraId="577B9B5D"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N-87</w:t>
            </w:r>
          </w:p>
        </w:tc>
        <w:tc>
          <w:tcPr>
            <w:tcW w:w="1257" w:type="dxa"/>
            <w:shd w:val="clear" w:color="auto" w:fill="auto"/>
            <w:noWrap/>
            <w:vAlign w:val="center"/>
            <w:hideMark/>
          </w:tcPr>
          <w:p w14:paraId="3C04235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NCT02302807</w:t>
            </w:r>
          </w:p>
        </w:tc>
        <w:tc>
          <w:tcPr>
            <w:tcW w:w="2208" w:type="dxa"/>
            <w:gridSpan w:val="2"/>
            <w:shd w:val="clear" w:color="auto" w:fill="auto"/>
            <w:vAlign w:val="center"/>
            <w:hideMark/>
          </w:tcPr>
          <w:p w14:paraId="05CC914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Atezolizumab</w:t>
            </w:r>
          </w:p>
        </w:tc>
        <w:tc>
          <w:tcPr>
            <w:tcW w:w="2694" w:type="dxa"/>
            <w:gridSpan w:val="2"/>
            <w:shd w:val="clear" w:color="auto" w:fill="auto"/>
            <w:noWrap/>
            <w:vAlign w:val="center"/>
            <w:hideMark/>
          </w:tcPr>
          <w:p w14:paraId="13EF28D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Urothelial carcinoma</w:t>
            </w:r>
          </w:p>
        </w:tc>
        <w:tc>
          <w:tcPr>
            <w:tcW w:w="6538" w:type="dxa"/>
            <w:gridSpan w:val="2"/>
            <w:shd w:val="clear" w:color="auto" w:fill="auto"/>
            <w:vAlign w:val="center"/>
            <w:hideMark/>
          </w:tcPr>
          <w:p w14:paraId="58FF83B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Powles T, Durán I, van der Heijden MS, Loriot Y, Vogelzang NJ, De Giorgi U, Oudard S, Retz MM, Castellano D, Bamias A, Fléchon A, Gravis G, Hussain S, Takano T, Leng N, Kadel EE 3rd, Banchereau R, Hegde PS, Mariathasan S, Cui N, Shen X, Derleth CL, Green MC, Ravaud A. Atezolizumab versus chemotherapy in patients with platinum-treated locally advanced or metastatic urothelial carcinoma (IMvigor211): a multicentre, open-label, phase 3 randomised controlled trial. Lancet. 2018 Feb 24;391(10122):748-757. doi: 10.1016/S0140-6736(17)33297-X. Epub 2017 Dec 18. Erratum in: Lancet. 2018 Oct 20;392(10156):1402. PMID: 29268948.</w:t>
            </w:r>
          </w:p>
        </w:tc>
      </w:tr>
      <w:tr w:rsidR="00542C3C" w:rsidRPr="00CD407E" w14:paraId="425FFC57" w14:textId="77777777" w:rsidTr="009622A0">
        <w:trPr>
          <w:gridAfter w:val="1"/>
          <w:wAfter w:w="89" w:type="dxa"/>
          <w:trHeight w:val="830"/>
        </w:trPr>
        <w:tc>
          <w:tcPr>
            <w:tcW w:w="741" w:type="dxa"/>
            <w:shd w:val="clear" w:color="auto" w:fill="auto"/>
            <w:noWrap/>
            <w:vAlign w:val="center"/>
            <w:hideMark/>
          </w:tcPr>
          <w:p w14:paraId="3D1BA0C0"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N-88</w:t>
            </w:r>
          </w:p>
        </w:tc>
        <w:tc>
          <w:tcPr>
            <w:tcW w:w="1257" w:type="dxa"/>
            <w:shd w:val="clear" w:color="auto" w:fill="auto"/>
            <w:noWrap/>
            <w:vAlign w:val="center"/>
            <w:hideMark/>
          </w:tcPr>
          <w:p w14:paraId="67F2C5F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NCT00626548</w:t>
            </w:r>
          </w:p>
        </w:tc>
        <w:tc>
          <w:tcPr>
            <w:tcW w:w="2208" w:type="dxa"/>
            <w:gridSpan w:val="2"/>
            <w:shd w:val="clear" w:color="auto" w:fill="auto"/>
            <w:vAlign w:val="center"/>
            <w:hideMark/>
          </w:tcPr>
          <w:p w14:paraId="67A12A8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Zibotentan</w:t>
            </w:r>
          </w:p>
        </w:tc>
        <w:tc>
          <w:tcPr>
            <w:tcW w:w="2694" w:type="dxa"/>
            <w:gridSpan w:val="2"/>
            <w:shd w:val="clear" w:color="auto" w:fill="auto"/>
            <w:noWrap/>
            <w:vAlign w:val="center"/>
            <w:hideMark/>
          </w:tcPr>
          <w:p w14:paraId="2CE99E24"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Prostate cancer</w:t>
            </w:r>
          </w:p>
        </w:tc>
        <w:tc>
          <w:tcPr>
            <w:tcW w:w="6538" w:type="dxa"/>
            <w:gridSpan w:val="2"/>
            <w:shd w:val="clear" w:color="auto" w:fill="auto"/>
            <w:vAlign w:val="center"/>
            <w:hideMark/>
          </w:tcPr>
          <w:p w14:paraId="196492CA"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Yu EY, Miller K, Nelson J, Gleave M, Fizazi K, Moul JW, Nathan FE, Higano CS. Detection of previously unidentified metastatic disease as a leading cause of screening failure in a phase III trial of zibotentan versus placebo in patients with nonmetastatic, castration resistant prostate cancer. J Urol. 2012 Jul;188(1):103-9. doi: 10.1016/j.juro.2012.03.008. Epub 2012 May 12. PMID: 22583636; PMCID: PMC3473078.</w:t>
            </w:r>
          </w:p>
        </w:tc>
      </w:tr>
      <w:tr w:rsidR="00542C3C" w:rsidRPr="00CD407E" w14:paraId="285D62B3" w14:textId="77777777" w:rsidTr="009622A0">
        <w:trPr>
          <w:gridAfter w:val="1"/>
          <w:wAfter w:w="89" w:type="dxa"/>
          <w:trHeight w:val="1030"/>
        </w:trPr>
        <w:tc>
          <w:tcPr>
            <w:tcW w:w="741" w:type="dxa"/>
            <w:shd w:val="clear" w:color="auto" w:fill="auto"/>
            <w:noWrap/>
            <w:vAlign w:val="center"/>
            <w:hideMark/>
          </w:tcPr>
          <w:p w14:paraId="77606ED8"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lastRenderedPageBreak/>
              <w:t>N-89</w:t>
            </w:r>
          </w:p>
        </w:tc>
        <w:tc>
          <w:tcPr>
            <w:tcW w:w="1257" w:type="dxa"/>
            <w:shd w:val="clear" w:color="auto" w:fill="auto"/>
            <w:noWrap/>
            <w:vAlign w:val="center"/>
            <w:hideMark/>
          </w:tcPr>
          <w:p w14:paraId="49893B1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NCT02395172</w:t>
            </w:r>
          </w:p>
        </w:tc>
        <w:tc>
          <w:tcPr>
            <w:tcW w:w="2208" w:type="dxa"/>
            <w:gridSpan w:val="2"/>
            <w:shd w:val="clear" w:color="auto" w:fill="auto"/>
            <w:vAlign w:val="center"/>
            <w:hideMark/>
          </w:tcPr>
          <w:p w14:paraId="30ADE86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Avelumab</w:t>
            </w:r>
          </w:p>
        </w:tc>
        <w:tc>
          <w:tcPr>
            <w:tcW w:w="2694" w:type="dxa"/>
            <w:gridSpan w:val="2"/>
            <w:shd w:val="clear" w:color="auto" w:fill="auto"/>
            <w:noWrap/>
            <w:vAlign w:val="center"/>
            <w:hideMark/>
          </w:tcPr>
          <w:p w14:paraId="1AB9B6F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Non-small cell lung cancer</w:t>
            </w:r>
          </w:p>
        </w:tc>
        <w:tc>
          <w:tcPr>
            <w:tcW w:w="6538" w:type="dxa"/>
            <w:gridSpan w:val="2"/>
            <w:shd w:val="clear" w:color="auto" w:fill="auto"/>
            <w:vAlign w:val="center"/>
            <w:hideMark/>
          </w:tcPr>
          <w:p w14:paraId="61AC419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Barlesi F, Vansteenkiste J, Spigel D, Ishii H, Garassino M, de Marinis F, Özgüroğlu M, Szczesna A, Polychronis A, Uslu R, Krzakowski M, Lee JS, Calabrò L, Arén Frontera O, Ellers-Lenz B, Bajars M, Ruisi M, Park K. Avelumab versus docetaxel in patients with platinum-treated advanced non-small-cell lung cancer (JAVELIN Lung 200): an open-label, randomised, phase 3 study. Lancet Oncol. 2018 Nov;19(11):1468-1479. doi: 10.1016/S1470-2045(18)30673-9. Epub 2018 Sep 24. Erratum in: Lancet Oncol. 2018 Nov;19(11):e581. PMID: 30262187.</w:t>
            </w:r>
          </w:p>
        </w:tc>
      </w:tr>
      <w:tr w:rsidR="00542C3C" w:rsidRPr="00CD407E" w14:paraId="2BC85351" w14:textId="77777777" w:rsidTr="009622A0">
        <w:trPr>
          <w:gridAfter w:val="1"/>
          <w:wAfter w:w="89" w:type="dxa"/>
          <w:trHeight w:val="1030"/>
        </w:trPr>
        <w:tc>
          <w:tcPr>
            <w:tcW w:w="741" w:type="dxa"/>
            <w:shd w:val="clear" w:color="auto" w:fill="auto"/>
            <w:noWrap/>
            <w:vAlign w:val="center"/>
            <w:hideMark/>
          </w:tcPr>
          <w:p w14:paraId="21A037E2"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N-90</w:t>
            </w:r>
          </w:p>
        </w:tc>
        <w:tc>
          <w:tcPr>
            <w:tcW w:w="1257" w:type="dxa"/>
            <w:shd w:val="clear" w:color="auto" w:fill="auto"/>
            <w:noWrap/>
            <w:vAlign w:val="center"/>
            <w:hideMark/>
          </w:tcPr>
          <w:p w14:paraId="1A8C9E3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NCT01285557</w:t>
            </w:r>
          </w:p>
        </w:tc>
        <w:tc>
          <w:tcPr>
            <w:tcW w:w="2208" w:type="dxa"/>
            <w:gridSpan w:val="2"/>
            <w:shd w:val="clear" w:color="auto" w:fill="auto"/>
            <w:vAlign w:val="center"/>
            <w:hideMark/>
          </w:tcPr>
          <w:p w14:paraId="1F9D5D0C"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TS-1(Tegafur/gimeracil/oteracil) plus cisplatin</w:t>
            </w:r>
          </w:p>
        </w:tc>
        <w:tc>
          <w:tcPr>
            <w:tcW w:w="2694" w:type="dxa"/>
            <w:gridSpan w:val="2"/>
            <w:shd w:val="clear" w:color="auto" w:fill="auto"/>
            <w:noWrap/>
            <w:vAlign w:val="center"/>
            <w:hideMark/>
          </w:tcPr>
          <w:p w14:paraId="7307656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Gastric cancer</w:t>
            </w:r>
          </w:p>
        </w:tc>
        <w:tc>
          <w:tcPr>
            <w:tcW w:w="6538" w:type="dxa"/>
            <w:gridSpan w:val="2"/>
            <w:shd w:val="clear" w:color="auto" w:fill="auto"/>
            <w:vAlign w:val="center"/>
            <w:hideMark/>
          </w:tcPr>
          <w:p w14:paraId="7DC93A2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Ajani JA, Abramov M, Bondarenko I, Shparyk Y, Gorbunova V, Hontsa A, Otchenash N, Alsina M, Lazarev S, Feliu J, Elme A, Esko V, Abdalla K, Verma U, Benedetti F, Aoyama T, Mizuguchi H, Makris L, Rosati G; DIGEST Study Group. A phase III trial comparing oral S-1/cisplatin and intravenous 5-fluorouracil/cisplatin in patients with untreated diffuse gastric cancer. Ann Oncol. 2017 Sep 1;28(9):2142-2148. doi: 10.1093/annonc/mdx275. PMID: 28911091.</w:t>
            </w:r>
          </w:p>
        </w:tc>
      </w:tr>
      <w:tr w:rsidR="00542C3C" w:rsidRPr="00CD407E" w14:paraId="2D37270C" w14:textId="77777777" w:rsidTr="009622A0">
        <w:trPr>
          <w:gridAfter w:val="1"/>
          <w:wAfter w:w="89" w:type="dxa"/>
          <w:trHeight w:val="1030"/>
        </w:trPr>
        <w:tc>
          <w:tcPr>
            <w:tcW w:w="741" w:type="dxa"/>
            <w:shd w:val="clear" w:color="auto" w:fill="auto"/>
            <w:noWrap/>
            <w:vAlign w:val="center"/>
            <w:hideMark/>
          </w:tcPr>
          <w:p w14:paraId="3F3114FB"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N-91</w:t>
            </w:r>
          </w:p>
        </w:tc>
        <w:tc>
          <w:tcPr>
            <w:tcW w:w="1257" w:type="dxa"/>
            <w:shd w:val="clear" w:color="auto" w:fill="auto"/>
            <w:noWrap/>
            <w:vAlign w:val="center"/>
            <w:hideMark/>
          </w:tcPr>
          <w:p w14:paraId="58FEB0C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NCT02149108</w:t>
            </w:r>
          </w:p>
        </w:tc>
        <w:tc>
          <w:tcPr>
            <w:tcW w:w="2208" w:type="dxa"/>
            <w:gridSpan w:val="2"/>
            <w:shd w:val="clear" w:color="auto" w:fill="auto"/>
            <w:vAlign w:val="center"/>
            <w:hideMark/>
          </w:tcPr>
          <w:p w14:paraId="3DCFD89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Nintedanib</w:t>
            </w:r>
          </w:p>
        </w:tc>
        <w:tc>
          <w:tcPr>
            <w:tcW w:w="2694" w:type="dxa"/>
            <w:gridSpan w:val="2"/>
            <w:shd w:val="clear" w:color="auto" w:fill="auto"/>
            <w:noWrap/>
            <w:vAlign w:val="center"/>
            <w:hideMark/>
          </w:tcPr>
          <w:p w14:paraId="69B4279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Colorectal cancer</w:t>
            </w:r>
          </w:p>
        </w:tc>
        <w:tc>
          <w:tcPr>
            <w:tcW w:w="6538" w:type="dxa"/>
            <w:gridSpan w:val="2"/>
            <w:shd w:val="clear" w:color="auto" w:fill="auto"/>
            <w:vAlign w:val="center"/>
            <w:hideMark/>
          </w:tcPr>
          <w:p w14:paraId="3F5EA6F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Van Cutsem E, Yoshino T, Lenz HJ, Lonardi S, Falcone A, Limón ML, Saunders M, Sobrero A, Park YS, Ferreiro R, Hong YS, Tomasek J, Taniguchi H, Ciardiello F, Stoehr J, Oum'Hamed Z, Vlassak S, Studeny M, Argiles G. Nintedanib for the treatment of patients with refractory metastatic colorectal cancer (LUME-Colon 1): a phase III, international, randomized, placebo-controlled study. Ann Oncol. 2018 Sep 1;29(9):1955-1963. doi: 10.1093/annonc/mdy241. PMID: 30010751; PMCID: PMC6158765.</w:t>
            </w:r>
          </w:p>
        </w:tc>
      </w:tr>
      <w:tr w:rsidR="00542C3C" w:rsidRPr="00CD407E" w14:paraId="03BA1076" w14:textId="77777777" w:rsidTr="009622A0">
        <w:trPr>
          <w:gridAfter w:val="1"/>
          <w:wAfter w:w="89" w:type="dxa"/>
          <w:trHeight w:val="1230"/>
        </w:trPr>
        <w:tc>
          <w:tcPr>
            <w:tcW w:w="741" w:type="dxa"/>
            <w:shd w:val="clear" w:color="auto" w:fill="auto"/>
            <w:noWrap/>
            <w:vAlign w:val="center"/>
            <w:hideMark/>
          </w:tcPr>
          <w:p w14:paraId="37E1B361"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N-92</w:t>
            </w:r>
          </w:p>
        </w:tc>
        <w:tc>
          <w:tcPr>
            <w:tcW w:w="1257" w:type="dxa"/>
            <w:shd w:val="clear" w:color="auto" w:fill="auto"/>
            <w:noWrap/>
            <w:vAlign w:val="center"/>
            <w:hideMark/>
          </w:tcPr>
          <w:p w14:paraId="68AB56A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NCT01140347</w:t>
            </w:r>
          </w:p>
        </w:tc>
        <w:tc>
          <w:tcPr>
            <w:tcW w:w="2208" w:type="dxa"/>
            <w:gridSpan w:val="2"/>
            <w:shd w:val="clear" w:color="auto" w:fill="auto"/>
            <w:vAlign w:val="center"/>
            <w:hideMark/>
          </w:tcPr>
          <w:p w14:paraId="1028D47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Ramucirumab</w:t>
            </w:r>
          </w:p>
        </w:tc>
        <w:tc>
          <w:tcPr>
            <w:tcW w:w="2694" w:type="dxa"/>
            <w:gridSpan w:val="2"/>
            <w:shd w:val="clear" w:color="auto" w:fill="auto"/>
            <w:noWrap/>
            <w:vAlign w:val="center"/>
            <w:hideMark/>
          </w:tcPr>
          <w:p w14:paraId="096A78E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Hepatocellular carcinoma</w:t>
            </w:r>
          </w:p>
        </w:tc>
        <w:tc>
          <w:tcPr>
            <w:tcW w:w="6538" w:type="dxa"/>
            <w:gridSpan w:val="2"/>
            <w:shd w:val="clear" w:color="auto" w:fill="auto"/>
            <w:vAlign w:val="center"/>
            <w:hideMark/>
          </w:tcPr>
          <w:p w14:paraId="54ACC97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Zhu AX, Kang YK, Yen CJ, Finn RS, Galle PR, Llovet JM, Assenat E, Brandi G, Pracht M, Lim HY, Rau KM, Motomura K, Ohno I, Merle P, Daniele B, Shin DB, Gerken G, Borg C, Hiriart JB, Okusaka T, Morimoto M, Hsu Y, Abada PB, Kudo M; REACH-2 study investigators. Ramucirumab after sorafenib in patients with advanced hepatocellular carcinoma and increased α-fetoprotein concentrations (REACH-2): a randomised, double-blind, placebo-controlled, phase 3 trial. Lancet Oncol. 2019 Feb;20(2):282-296. doi: 10.1016/S1470-2045(18)30937-9. Epub 2019 Jan 18. PMID: 30665869.</w:t>
            </w:r>
          </w:p>
        </w:tc>
      </w:tr>
      <w:tr w:rsidR="00542C3C" w:rsidRPr="00CD407E" w14:paraId="1F8FBC74" w14:textId="77777777" w:rsidTr="009622A0">
        <w:trPr>
          <w:gridAfter w:val="1"/>
          <w:wAfter w:w="89" w:type="dxa"/>
          <w:trHeight w:val="830"/>
        </w:trPr>
        <w:tc>
          <w:tcPr>
            <w:tcW w:w="741" w:type="dxa"/>
            <w:shd w:val="clear" w:color="auto" w:fill="auto"/>
            <w:noWrap/>
            <w:vAlign w:val="center"/>
            <w:hideMark/>
          </w:tcPr>
          <w:p w14:paraId="141628C1"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N-93</w:t>
            </w:r>
          </w:p>
        </w:tc>
        <w:tc>
          <w:tcPr>
            <w:tcW w:w="1257" w:type="dxa"/>
            <w:shd w:val="clear" w:color="auto" w:fill="auto"/>
            <w:noWrap/>
            <w:vAlign w:val="center"/>
            <w:hideMark/>
          </w:tcPr>
          <w:p w14:paraId="31263C3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NCT01006252</w:t>
            </w:r>
          </w:p>
        </w:tc>
        <w:tc>
          <w:tcPr>
            <w:tcW w:w="2208" w:type="dxa"/>
            <w:gridSpan w:val="2"/>
            <w:shd w:val="clear" w:color="auto" w:fill="auto"/>
            <w:vAlign w:val="center"/>
            <w:hideMark/>
          </w:tcPr>
          <w:p w14:paraId="22E019F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Tasisulam</w:t>
            </w:r>
          </w:p>
        </w:tc>
        <w:tc>
          <w:tcPr>
            <w:tcW w:w="2694" w:type="dxa"/>
            <w:gridSpan w:val="2"/>
            <w:shd w:val="clear" w:color="auto" w:fill="auto"/>
            <w:noWrap/>
            <w:vAlign w:val="center"/>
            <w:hideMark/>
          </w:tcPr>
          <w:p w14:paraId="0A50DD5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Melanoma</w:t>
            </w:r>
          </w:p>
        </w:tc>
        <w:tc>
          <w:tcPr>
            <w:tcW w:w="6538" w:type="dxa"/>
            <w:gridSpan w:val="2"/>
            <w:shd w:val="clear" w:color="auto" w:fill="auto"/>
            <w:vAlign w:val="center"/>
            <w:hideMark/>
          </w:tcPr>
          <w:p w14:paraId="5B49214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Hamid O, Ilaria R Jr, Garbe C, Wolter P, Maio M, Hutson TE, Arance A, Lorigan P, Lee J, Hauschild A, Mohr P, Hahka-Kemppinen M, Kaiser C, Turner PK, Conti I, Grob JJ. A randomized, open-label clinical trial of tasisulam sodium versus paclitaxel as second-line treatment in patients with metastatic melanoma. Cancer. 2014 Jul 1;120(13):2016-24. doi: 10.1002/cncr.28635. Epub 2014 Mar 26. PMID: 24676877.</w:t>
            </w:r>
          </w:p>
        </w:tc>
      </w:tr>
      <w:tr w:rsidR="00542C3C" w:rsidRPr="00CD407E" w14:paraId="4BAE7975" w14:textId="77777777" w:rsidTr="009622A0">
        <w:trPr>
          <w:gridAfter w:val="1"/>
          <w:wAfter w:w="89" w:type="dxa"/>
          <w:trHeight w:val="830"/>
        </w:trPr>
        <w:tc>
          <w:tcPr>
            <w:tcW w:w="741" w:type="dxa"/>
            <w:shd w:val="clear" w:color="auto" w:fill="auto"/>
            <w:noWrap/>
            <w:vAlign w:val="center"/>
            <w:hideMark/>
          </w:tcPr>
          <w:p w14:paraId="683D5F11"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N-94</w:t>
            </w:r>
          </w:p>
        </w:tc>
        <w:tc>
          <w:tcPr>
            <w:tcW w:w="1257" w:type="dxa"/>
            <w:shd w:val="clear" w:color="auto" w:fill="auto"/>
            <w:noWrap/>
            <w:vAlign w:val="center"/>
            <w:hideMark/>
          </w:tcPr>
          <w:p w14:paraId="1575007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NCT00471146</w:t>
            </w:r>
          </w:p>
        </w:tc>
        <w:tc>
          <w:tcPr>
            <w:tcW w:w="2208" w:type="dxa"/>
            <w:gridSpan w:val="2"/>
            <w:shd w:val="clear" w:color="auto" w:fill="auto"/>
            <w:vAlign w:val="center"/>
            <w:hideMark/>
          </w:tcPr>
          <w:p w14:paraId="449FC7A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Axitinib plus gemcitabine</w:t>
            </w:r>
          </w:p>
        </w:tc>
        <w:tc>
          <w:tcPr>
            <w:tcW w:w="2694" w:type="dxa"/>
            <w:gridSpan w:val="2"/>
            <w:shd w:val="clear" w:color="auto" w:fill="auto"/>
            <w:noWrap/>
            <w:vAlign w:val="center"/>
            <w:hideMark/>
          </w:tcPr>
          <w:p w14:paraId="40BAECC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Pancreatic cancer</w:t>
            </w:r>
          </w:p>
        </w:tc>
        <w:tc>
          <w:tcPr>
            <w:tcW w:w="6538" w:type="dxa"/>
            <w:gridSpan w:val="2"/>
            <w:shd w:val="clear" w:color="auto" w:fill="auto"/>
            <w:vAlign w:val="center"/>
            <w:hideMark/>
          </w:tcPr>
          <w:p w14:paraId="5E1AF82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Kindler HL, Ioka T, Richel DJ, Bennouna J, Létourneau R, Okusaka T, Funakoshi A, Furuse J, Park YS, Ohkawa S, Springett GM, Wasan HS, Trask PC, Bycott P, Ricart AD, Kim S, Van Cutsem E. Axitinib plus gemcitabine versus placebo plus gemcitabine in patients with advanced pancreatic adenocarcinoma: a double-blind randomised phase 3 study. Lancet Oncol. 2011 Mar;12(3):256-62. doi: 10.1016/S1470-2045(11)70004-3. PMID: 21306953.</w:t>
            </w:r>
          </w:p>
        </w:tc>
      </w:tr>
      <w:tr w:rsidR="00542C3C" w:rsidRPr="00CD407E" w14:paraId="3BCC86B2" w14:textId="77777777" w:rsidTr="009622A0">
        <w:trPr>
          <w:gridAfter w:val="1"/>
          <w:wAfter w:w="89" w:type="dxa"/>
          <w:trHeight w:val="1230"/>
        </w:trPr>
        <w:tc>
          <w:tcPr>
            <w:tcW w:w="741" w:type="dxa"/>
            <w:shd w:val="clear" w:color="auto" w:fill="auto"/>
            <w:noWrap/>
            <w:vAlign w:val="center"/>
            <w:hideMark/>
          </w:tcPr>
          <w:p w14:paraId="7F766B6C"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N-95</w:t>
            </w:r>
          </w:p>
        </w:tc>
        <w:tc>
          <w:tcPr>
            <w:tcW w:w="1257" w:type="dxa"/>
            <w:shd w:val="clear" w:color="auto" w:fill="auto"/>
            <w:noWrap/>
            <w:vAlign w:val="center"/>
            <w:hideMark/>
          </w:tcPr>
          <w:p w14:paraId="7D03F9FA"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NCT00982111</w:t>
            </w:r>
          </w:p>
        </w:tc>
        <w:tc>
          <w:tcPr>
            <w:tcW w:w="2208" w:type="dxa"/>
            <w:gridSpan w:val="2"/>
            <w:shd w:val="clear" w:color="auto" w:fill="auto"/>
            <w:vAlign w:val="center"/>
            <w:hideMark/>
          </w:tcPr>
          <w:p w14:paraId="1C99F3D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Necitumumab plus pemetrexed and cisplatin</w:t>
            </w:r>
          </w:p>
        </w:tc>
        <w:tc>
          <w:tcPr>
            <w:tcW w:w="2694" w:type="dxa"/>
            <w:gridSpan w:val="2"/>
            <w:shd w:val="clear" w:color="auto" w:fill="auto"/>
            <w:noWrap/>
            <w:vAlign w:val="center"/>
            <w:hideMark/>
          </w:tcPr>
          <w:p w14:paraId="592B667A"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Non-small cell lung cancer</w:t>
            </w:r>
          </w:p>
        </w:tc>
        <w:tc>
          <w:tcPr>
            <w:tcW w:w="6538" w:type="dxa"/>
            <w:gridSpan w:val="2"/>
            <w:shd w:val="clear" w:color="auto" w:fill="auto"/>
            <w:vAlign w:val="center"/>
            <w:hideMark/>
          </w:tcPr>
          <w:p w14:paraId="7107301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Paz-Ares L, Mezger J, Ciuleanu TE, Fischer JR, von Pawel J, Provencio M, Kazarnowicz A, Losonczy G, de Castro G Jr, Szczesna A, Crino L, Reck M, Ramlau R, Ulsperger E, Schumann C, Miziara JE, Lessa ÁE, Dediu M, Bálint B, Depenbrock H, Soldatenkova V, Kurek R, Hirsch FR, Thatcher N, Socinski MA; INSPIRE investigators. Necitumumab plus pemetrexed and cisplatin as first-line therapy in patients with stage IV non-squamous non-small-cell lung cancer (INSPIRE): an open-label, randomised, controlled phase 3 study. Lancet Oncol. 2015 Mar;16(3):328-37. doi: 10.1016/S1470-2045(15)70046-X. Epub 2015 Feb 18. PMID: 25701171.</w:t>
            </w:r>
          </w:p>
        </w:tc>
      </w:tr>
      <w:tr w:rsidR="00542C3C" w:rsidRPr="00CD407E" w14:paraId="7A3A5DC0" w14:textId="77777777" w:rsidTr="009622A0">
        <w:trPr>
          <w:gridAfter w:val="1"/>
          <w:wAfter w:w="89" w:type="dxa"/>
          <w:trHeight w:val="1230"/>
        </w:trPr>
        <w:tc>
          <w:tcPr>
            <w:tcW w:w="741" w:type="dxa"/>
            <w:shd w:val="clear" w:color="auto" w:fill="auto"/>
            <w:noWrap/>
            <w:vAlign w:val="center"/>
            <w:hideMark/>
          </w:tcPr>
          <w:p w14:paraId="3058384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N-96</w:t>
            </w:r>
          </w:p>
        </w:tc>
        <w:tc>
          <w:tcPr>
            <w:tcW w:w="1257" w:type="dxa"/>
            <w:shd w:val="clear" w:color="auto" w:fill="auto"/>
            <w:noWrap/>
            <w:vAlign w:val="center"/>
            <w:hideMark/>
          </w:tcPr>
          <w:p w14:paraId="4372C41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NCT01844505</w:t>
            </w:r>
          </w:p>
        </w:tc>
        <w:tc>
          <w:tcPr>
            <w:tcW w:w="2208" w:type="dxa"/>
            <w:gridSpan w:val="2"/>
            <w:shd w:val="clear" w:color="auto" w:fill="auto"/>
            <w:vAlign w:val="center"/>
            <w:hideMark/>
          </w:tcPr>
          <w:p w14:paraId="24D8B1B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Nivolumab plus ipilimumab</w:t>
            </w:r>
          </w:p>
        </w:tc>
        <w:tc>
          <w:tcPr>
            <w:tcW w:w="2694" w:type="dxa"/>
            <w:gridSpan w:val="2"/>
            <w:shd w:val="clear" w:color="auto" w:fill="auto"/>
            <w:noWrap/>
            <w:vAlign w:val="center"/>
            <w:hideMark/>
          </w:tcPr>
          <w:p w14:paraId="2825B44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Melanoma</w:t>
            </w:r>
          </w:p>
        </w:tc>
        <w:tc>
          <w:tcPr>
            <w:tcW w:w="6538" w:type="dxa"/>
            <w:gridSpan w:val="2"/>
            <w:shd w:val="clear" w:color="auto" w:fill="auto"/>
            <w:vAlign w:val="center"/>
            <w:hideMark/>
          </w:tcPr>
          <w:p w14:paraId="4981237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Larkin J, Chiarion-Sileni V, Gonzalez R, Grob JJ, Rutkowski P, Lao CD, Cowey CL, Schadendorf D, Wagstaff J, Dummer R, Ferrucci PF, Smylie M, Hogg D, Hill A, Márquez-Rodas I, Haanen J, Guidoboni M, Maio M, Schöffski P, Carlino MS, Lebbé C, McArthur G, Ascierto PA, Daniels GA, Long GV, Bastholt L, Rizzo JI, Balogh A, Moshyk A, Hodi FS, Wolchok JD. Five-Year Survival with Combined Nivolumab and Ipilimumab in Advanced Melanoma. N Engl J Med. 2019 Oct 17;381(16):1535-1546. doi: 10.1056/NEJMoa1910836. Epub 2019 Sep 28. PMID: 31562797.</w:t>
            </w:r>
          </w:p>
        </w:tc>
      </w:tr>
      <w:tr w:rsidR="00542C3C" w:rsidRPr="00CD407E" w14:paraId="1671263B" w14:textId="77777777" w:rsidTr="009622A0">
        <w:trPr>
          <w:gridAfter w:val="1"/>
          <w:wAfter w:w="89" w:type="dxa"/>
          <w:trHeight w:val="1030"/>
        </w:trPr>
        <w:tc>
          <w:tcPr>
            <w:tcW w:w="741" w:type="dxa"/>
            <w:shd w:val="clear" w:color="auto" w:fill="auto"/>
            <w:noWrap/>
            <w:vAlign w:val="center"/>
            <w:hideMark/>
          </w:tcPr>
          <w:p w14:paraId="2C2B8091"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lastRenderedPageBreak/>
              <w:t>N-97</w:t>
            </w:r>
          </w:p>
        </w:tc>
        <w:tc>
          <w:tcPr>
            <w:tcW w:w="1257" w:type="dxa"/>
            <w:shd w:val="clear" w:color="auto" w:fill="auto"/>
            <w:noWrap/>
            <w:vAlign w:val="center"/>
            <w:hideMark/>
          </w:tcPr>
          <w:p w14:paraId="1BF0113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NCT02436668</w:t>
            </w:r>
          </w:p>
        </w:tc>
        <w:tc>
          <w:tcPr>
            <w:tcW w:w="2208" w:type="dxa"/>
            <w:gridSpan w:val="2"/>
            <w:shd w:val="clear" w:color="auto" w:fill="auto"/>
            <w:vAlign w:val="center"/>
            <w:hideMark/>
          </w:tcPr>
          <w:p w14:paraId="63D1635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Ibrutinib plus nab-paclitaxel and gemcitabine</w:t>
            </w:r>
          </w:p>
        </w:tc>
        <w:tc>
          <w:tcPr>
            <w:tcW w:w="2694" w:type="dxa"/>
            <w:gridSpan w:val="2"/>
            <w:shd w:val="clear" w:color="auto" w:fill="auto"/>
            <w:noWrap/>
            <w:vAlign w:val="center"/>
            <w:hideMark/>
          </w:tcPr>
          <w:p w14:paraId="72DBE95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Pancreatic cancer</w:t>
            </w:r>
          </w:p>
        </w:tc>
        <w:tc>
          <w:tcPr>
            <w:tcW w:w="6538" w:type="dxa"/>
            <w:gridSpan w:val="2"/>
            <w:shd w:val="clear" w:color="auto" w:fill="auto"/>
            <w:vAlign w:val="center"/>
            <w:hideMark/>
          </w:tcPr>
          <w:p w14:paraId="7992F94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Tempero M, Oh DY, Tabernero J, Reni M, Van Cutsem E, Hendifar A, Waldschmidt DT, Starling N, Bachet JB, Chang HM, Maurel J, Garcia-Carbonero R, Lonardi S, Coussens LM, Fong L, Tsao LC, Cole G Jr, James D, Macarulla T. Ibrutinib in combination with nab-paclitaxel and gemcitabine for first-line treatment of patients with metastatic pancreatic adenocarcinoma: phase III RESOLVE study. Ann Oncol. 2021 May;32(5):600-608. doi: 10.1016/j.annonc.2021.01.070. Epub 2021 Feb 1. PMID: 33539945.</w:t>
            </w:r>
          </w:p>
        </w:tc>
      </w:tr>
      <w:tr w:rsidR="00542C3C" w:rsidRPr="00CD407E" w14:paraId="4B87F79E" w14:textId="77777777" w:rsidTr="009622A0">
        <w:trPr>
          <w:gridAfter w:val="1"/>
          <w:wAfter w:w="89" w:type="dxa"/>
          <w:trHeight w:val="1230"/>
        </w:trPr>
        <w:tc>
          <w:tcPr>
            <w:tcW w:w="741" w:type="dxa"/>
            <w:shd w:val="clear" w:color="auto" w:fill="auto"/>
            <w:noWrap/>
            <w:vAlign w:val="center"/>
            <w:hideMark/>
          </w:tcPr>
          <w:p w14:paraId="0DD46367"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N-98</w:t>
            </w:r>
          </w:p>
        </w:tc>
        <w:tc>
          <w:tcPr>
            <w:tcW w:w="1257" w:type="dxa"/>
            <w:shd w:val="clear" w:color="auto" w:fill="auto"/>
            <w:noWrap/>
            <w:vAlign w:val="center"/>
            <w:hideMark/>
          </w:tcPr>
          <w:p w14:paraId="27F6223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NCT03066778</w:t>
            </w:r>
          </w:p>
        </w:tc>
        <w:tc>
          <w:tcPr>
            <w:tcW w:w="2208" w:type="dxa"/>
            <w:gridSpan w:val="2"/>
            <w:shd w:val="clear" w:color="auto" w:fill="auto"/>
            <w:vAlign w:val="center"/>
            <w:hideMark/>
          </w:tcPr>
          <w:p w14:paraId="288B498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Pembrolizumab plus etoposide and platinum based chemotherapy</w:t>
            </w:r>
          </w:p>
        </w:tc>
        <w:tc>
          <w:tcPr>
            <w:tcW w:w="2694" w:type="dxa"/>
            <w:gridSpan w:val="2"/>
            <w:shd w:val="clear" w:color="auto" w:fill="auto"/>
            <w:noWrap/>
            <w:vAlign w:val="center"/>
            <w:hideMark/>
          </w:tcPr>
          <w:p w14:paraId="028FDC8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Small cell lung cancer</w:t>
            </w:r>
          </w:p>
        </w:tc>
        <w:tc>
          <w:tcPr>
            <w:tcW w:w="6538" w:type="dxa"/>
            <w:gridSpan w:val="2"/>
            <w:shd w:val="clear" w:color="auto" w:fill="auto"/>
            <w:vAlign w:val="center"/>
            <w:hideMark/>
          </w:tcPr>
          <w:p w14:paraId="640C6B94"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Rudin CM, Awad MM, Navarro A, Gottfried M, Peters S, Csőszi T, Cheema PK, Rodriguez-Abreu D, Wollner M, Yang JC, Mazieres J, Orlandi FJ, Luft A, Gümüş M, Kato T, Kalemkerian GP, Luo Y, Ebiana V, Pietanza MC, Kim HR; KEYNOTE-604 Investigators. Pembrolizumab or Placebo Plus Etoposide and Platinum as First-Line Therapy for Extensive-Stage Small-Cell Lung Cancer: Randomized, Double-Blind, Phase III KEYNOTE-604 Study. J Clin Oncol. 2020 Jul 20;38(21):2369-2379. doi: 10.1200/JCO.20.00793. Epub 2020 May 29. PMID: 32468956; PMCID: PMC7474472.</w:t>
            </w:r>
          </w:p>
        </w:tc>
      </w:tr>
      <w:tr w:rsidR="00542C3C" w:rsidRPr="00CD407E" w14:paraId="4008FCAB" w14:textId="77777777" w:rsidTr="009622A0">
        <w:trPr>
          <w:gridAfter w:val="1"/>
          <w:wAfter w:w="89" w:type="dxa"/>
          <w:trHeight w:val="1030"/>
        </w:trPr>
        <w:tc>
          <w:tcPr>
            <w:tcW w:w="741" w:type="dxa"/>
            <w:shd w:val="clear" w:color="auto" w:fill="auto"/>
            <w:noWrap/>
            <w:vAlign w:val="center"/>
            <w:hideMark/>
          </w:tcPr>
          <w:p w14:paraId="3A3333A1" w14:textId="77777777" w:rsidR="00542C3C" w:rsidRPr="00CD407E" w:rsidRDefault="00542C3C" w:rsidP="009622A0">
            <w:pPr>
              <w:spacing w:after="0" w:line="240" w:lineRule="auto"/>
              <w:rPr>
                <w:rFonts w:ascii="Calibri" w:eastAsia="Times New Roman" w:hAnsi="Calibri" w:cs="Calibri"/>
                <w:noProof w:val="0"/>
                <w:color w:val="000000"/>
              </w:rPr>
            </w:pPr>
            <w:r w:rsidRPr="00CD407E">
              <w:rPr>
                <w:rFonts w:ascii="Calibri" w:eastAsia="Times New Roman" w:hAnsi="Calibri" w:cs="Calibri"/>
                <w:noProof w:val="0"/>
                <w:color w:val="000000"/>
              </w:rPr>
              <w:t>N-99</w:t>
            </w:r>
          </w:p>
        </w:tc>
        <w:tc>
          <w:tcPr>
            <w:tcW w:w="1257" w:type="dxa"/>
            <w:shd w:val="clear" w:color="auto" w:fill="auto"/>
            <w:noWrap/>
            <w:vAlign w:val="center"/>
            <w:hideMark/>
          </w:tcPr>
          <w:p w14:paraId="5950690D"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NCT00924989</w:t>
            </w:r>
          </w:p>
        </w:tc>
        <w:tc>
          <w:tcPr>
            <w:tcW w:w="2208" w:type="dxa"/>
            <w:gridSpan w:val="2"/>
            <w:shd w:val="clear" w:color="auto" w:fill="auto"/>
            <w:vAlign w:val="center"/>
            <w:hideMark/>
          </w:tcPr>
          <w:p w14:paraId="7CDAEF1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Linsitinib</w:t>
            </w:r>
          </w:p>
        </w:tc>
        <w:tc>
          <w:tcPr>
            <w:tcW w:w="2694" w:type="dxa"/>
            <w:gridSpan w:val="2"/>
            <w:shd w:val="clear" w:color="auto" w:fill="auto"/>
            <w:noWrap/>
            <w:vAlign w:val="center"/>
            <w:hideMark/>
          </w:tcPr>
          <w:p w14:paraId="7613174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Adrenocortical carcinoma</w:t>
            </w:r>
          </w:p>
        </w:tc>
        <w:tc>
          <w:tcPr>
            <w:tcW w:w="6538" w:type="dxa"/>
            <w:gridSpan w:val="2"/>
            <w:shd w:val="clear" w:color="auto" w:fill="auto"/>
            <w:vAlign w:val="center"/>
            <w:hideMark/>
          </w:tcPr>
          <w:p w14:paraId="556FE09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Fassnacht M, Berruti A, Baudin E, Demeure MJ, Gilbert J, Haak H, Kroiss M, Quinn DI, Hesseltine E, Ronchi CL, Terzolo M, Choueiri TK, Poondru S, Fleege T, Rorig R, Chen J, Stephens AW, Worden F, Hammer GD. Linsitinib (OSI-906) versus placebo for patients with locally advanced or metastatic adrenocortical carcinoma: a double-blind, randomised, phase 3 study. Lancet Oncol. 2015 Apr;16(4):426-35. doi: 10.1016/S1470-2045(15)70081-1. Epub 2015 Mar 18. PMID: 25795408.</w:t>
            </w:r>
          </w:p>
        </w:tc>
      </w:tr>
      <w:tr w:rsidR="00542C3C" w:rsidRPr="00CD407E" w14:paraId="6872D960" w14:textId="77777777" w:rsidTr="009622A0">
        <w:trPr>
          <w:gridAfter w:val="1"/>
          <w:wAfter w:w="89" w:type="dxa"/>
          <w:trHeight w:val="1230"/>
        </w:trPr>
        <w:tc>
          <w:tcPr>
            <w:tcW w:w="741" w:type="dxa"/>
            <w:shd w:val="clear" w:color="auto" w:fill="auto"/>
            <w:noWrap/>
            <w:vAlign w:val="center"/>
            <w:hideMark/>
          </w:tcPr>
          <w:p w14:paraId="33D1FBD9"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N-100</w:t>
            </w:r>
          </w:p>
        </w:tc>
        <w:tc>
          <w:tcPr>
            <w:tcW w:w="1257" w:type="dxa"/>
            <w:shd w:val="clear" w:color="auto" w:fill="auto"/>
            <w:noWrap/>
            <w:vAlign w:val="center"/>
            <w:hideMark/>
          </w:tcPr>
          <w:p w14:paraId="19B7718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NCT01231347</w:t>
            </w:r>
          </w:p>
        </w:tc>
        <w:tc>
          <w:tcPr>
            <w:tcW w:w="2208" w:type="dxa"/>
            <w:gridSpan w:val="2"/>
            <w:shd w:val="clear" w:color="auto" w:fill="auto"/>
            <w:vAlign w:val="center"/>
            <w:hideMark/>
          </w:tcPr>
          <w:p w14:paraId="2D8A01C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 xml:space="preserve">Ganitumab 20 mg/kg plus gemcitabine </w:t>
            </w:r>
          </w:p>
        </w:tc>
        <w:tc>
          <w:tcPr>
            <w:tcW w:w="2694" w:type="dxa"/>
            <w:gridSpan w:val="2"/>
            <w:shd w:val="clear" w:color="auto" w:fill="auto"/>
            <w:noWrap/>
            <w:vAlign w:val="center"/>
            <w:hideMark/>
          </w:tcPr>
          <w:p w14:paraId="22733E0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Pancreatic cancer</w:t>
            </w:r>
          </w:p>
        </w:tc>
        <w:tc>
          <w:tcPr>
            <w:tcW w:w="6538" w:type="dxa"/>
            <w:gridSpan w:val="2"/>
            <w:shd w:val="clear" w:color="auto" w:fill="auto"/>
            <w:vAlign w:val="center"/>
            <w:hideMark/>
          </w:tcPr>
          <w:p w14:paraId="3A1F93B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Fuchs CS, Azevedo S, Okusaka T, Van Laethem JL, Lipton LR, Riess H, Szczylik C, Moore MJ, Peeters M, Bodoky G, Ikeda M, Melichar B, Nemecek R, Ohkawa S, Świeboda-Sadlej A, Tjulandin SA, Van Cutsem E, Loberg R, Haddad V, Gansert JL, Bach BA, Carrato A. A phase 3 randomized, double-blind, placebo-controlled trial of ganitumab or placebo in combination with gemcitabine as first-line therapy for metastatic adenocarcinoma of the pancreas: the GAMMA trial. Ann Oncol. 2015 May;26(5):921-927. doi: 10.1093/annonc/mdv027. Epub 2015 Jan 21. PMID: 25609246; PMCID: PMC4804122.</w:t>
            </w:r>
          </w:p>
        </w:tc>
      </w:tr>
      <w:tr w:rsidR="00542C3C" w:rsidRPr="00CD407E" w14:paraId="231BF014" w14:textId="77777777" w:rsidTr="009622A0">
        <w:trPr>
          <w:gridAfter w:val="1"/>
          <w:wAfter w:w="89" w:type="dxa"/>
          <w:trHeight w:val="1230"/>
        </w:trPr>
        <w:tc>
          <w:tcPr>
            <w:tcW w:w="741" w:type="dxa"/>
            <w:shd w:val="clear" w:color="auto" w:fill="auto"/>
            <w:noWrap/>
            <w:vAlign w:val="center"/>
            <w:hideMark/>
          </w:tcPr>
          <w:p w14:paraId="190A286C"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N-101</w:t>
            </w:r>
          </w:p>
        </w:tc>
        <w:tc>
          <w:tcPr>
            <w:tcW w:w="1257" w:type="dxa"/>
            <w:shd w:val="clear" w:color="auto" w:fill="auto"/>
            <w:noWrap/>
            <w:vAlign w:val="center"/>
            <w:hideMark/>
          </w:tcPr>
          <w:p w14:paraId="35BD63F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NCT01231347</w:t>
            </w:r>
          </w:p>
        </w:tc>
        <w:tc>
          <w:tcPr>
            <w:tcW w:w="2208" w:type="dxa"/>
            <w:gridSpan w:val="2"/>
            <w:shd w:val="clear" w:color="auto" w:fill="auto"/>
            <w:vAlign w:val="center"/>
            <w:hideMark/>
          </w:tcPr>
          <w:p w14:paraId="3DB0E56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 xml:space="preserve">Ganitumab 12 mg/kg plus gemcitabine </w:t>
            </w:r>
          </w:p>
        </w:tc>
        <w:tc>
          <w:tcPr>
            <w:tcW w:w="2694" w:type="dxa"/>
            <w:gridSpan w:val="2"/>
            <w:shd w:val="clear" w:color="auto" w:fill="auto"/>
            <w:noWrap/>
            <w:vAlign w:val="center"/>
            <w:hideMark/>
          </w:tcPr>
          <w:p w14:paraId="465E799D"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Pancreatic cancer</w:t>
            </w:r>
          </w:p>
        </w:tc>
        <w:tc>
          <w:tcPr>
            <w:tcW w:w="6538" w:type="dxa"/>
            <w:gridSpan w:val="2"/>
            <w:shd w:val="clear" w:color="auto" w:fill="auto"/>
            <w:vAlign w:val="center"/>
            <w:hideMark/>
          </w:tcPr>
          <w:p w14:paraId="316C4EE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Fuchs CS, Azevedo S, Okusaka T, Van Laethem JL, Lipton LR, Riess H, Szczylik C, Moore MJ, Peeters M, Bodoky G, Ikeda M, Melichar B, Nemecek R, Ohkawa S, Świeboda-Sadlej A, Tjulandin SA, Van Cutsem E, Loberg R, Haddad V, Gansert JL, Bach BA, Carrato A. A phase 3 randomized, double-blind, placebo-controlled trial of ganitumab or placebo in combination with gemcitabine as first-line therapy for metastatic adenocarcinoma of the pancreas: the GAMMA trial. Ann Oncol. 2015 May;26(5):921-927. doi: 10.1093/annonc/mdv027. Epub 2015 Jan 21. PMID: 25609246; PMCID: PMC4804122.</w:t>
            </w:r>
          </w:p>
        </w:tc>
      </w:tr>
      <w:tr w:rsidR="00542C3C" w:rsidRPr="00CD407E" w14:paraId="1248A22E" w14:textId="77777777" w:rsidTr="009622A0">
        <w:trPr>
          <w:gridAfter w:val="1"/>
          <w:wAfter w:w="89" w:type="dxa"/>
          <w:trHeight w:val="1030"/>
        </w:trPr>
        <w:tc>
          <w:tcPr>
            <w:tcW w:w="741" w:type="dxa"/>
            <w:shd w:val="clear" w:color="auto" w:fill="auto"/>
            <w:noWrap/>
            <w:vAlign w:val="center"/>
            <w:hideMark/>
          </w:tcPr>
          <w:p w14:paraId="01D5E1EC" w14:textId="77777777" w:rsidR="00542C3C" w:rsidRPr="00CD407E" w:rsidRDefault="00542C3C" w:rsidP="009622A0">
            <w:pPr>
              <w:spacing w:after="0" w:line="240" w:lineRule="auto"/>
              <w:rPr>
                <w:rFonts w:ascii="Calibri" w:eastAsia="Times New Roman" w:hAnsi="Calibri" w:cs="Calibri"/>
                <w:noProof w:val="0"/>
                <w:color w:val="000000"/>
              </w:rPr>
            </w:pPr>
            <w:r w:rsidRPr="00CD407E">
              <w:rPr>
                <w:rFonts w:ascii="Calibri" w:eastAsia="Times New Roman" w:hAnsi="Calibri" w:cs="Calibri"/>
                <w:noProof w:val="0"/>
                <w:color w:val="000000"/>
              </w:rPr>
              <w:t>N-102</w:t>
            </w:r>
          </w:p>
        </w:tc>
        <w:tc>
          <w:tcPr>
            <w:tcW w:w="1257" w:type="dxa"/>
            <w:shd w:val="clear" w:color="auto" w:fill="auto"/>
            <w:noWrap/>
            <w:vAlign w:val="center"/>
            <w:hideMark/>
          </w:tcPr>
          <w:p w14:paraId="0548C61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NCT01147939</w:t>
            </w:r>
          </w:p>
        </w:tc>
        <w:tc>
          <w:tcPr>
            <w:tcW w:w="2208" w:type="dxa"/>
            <w:gridSpan w:val="2"/>
            <w:shd w:val="clear" w:color="auto" w:fill="auto"/>
            <w:vAlign w:val="center"/>
            <w:hideMark/>
          </w:tcPr>
          <w:p w14:paraId="53E54D4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Elacytarabine</w:t>
            </w:r>
          </w:p>
        </w:tc>
        <w:tc>
          <w:tcPr>
            <w:tcW w:w="2694" w:type="dxa"/>
            <w:gridSpan w:val="2"/>
            <w:shd w:val="clear" w:color="auto" w:fill="auto"/>
            <w:noWrap/>
            <w:vAlign w:val="center"/>
            <w:hideMark/>
          </w:tcPr>
          <w:p w14:paraId="1ED1BE14"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Acute myeloid leukemia</w:t>
            </w:r>
          </w:p>
        </w:tc>
        <w:tc>
          <w:tcPr>
            <w:tcW w:w="6538" w:type="dxa"/>
            <w:gridSpan w:val="2"/>
            <w:shd w:val="clear" w:color="auto" w:fill="auto"/>
            <w:vAlign w:val="center"/>
            <w:hideMark/>
          </w:tcPr>
          <w:p w14:paraId="6F75B90A"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Roboz GJ, Rosenblat T, Arellano M, Gobbi M, Altman JK, Montesinos P, O'Connell C, Solomon SR, Pigneux A, Vey N, Hills R, Jacobsen TF, Gianella-Borradori A, Foss Ø, Vetrhusand S, Giles FJ. International randomized phase III study of elacytarabine versus investigator choice in patients with relapsed/refractory acute myeloid leukemia. J Clin Oncol. 2014 Jun 20;32(18):1919-26. doi: 10.1200/JCO.2013.52.8562. Epub 2014 May 19. PMID: 24841975.</w:t>
            </w:r>
          </w:p>
        </w:tc>
      </w:tr>
      <w:tr w:rsidR="00542C3C" w:rsidRPr="00CD407E" w14:paraId="5CA63092" w14:textId="77777777" w:rsidTr="009622A0">
        <w:trPr>
          <w:gridAfter w:val="1"/>
          <w:wAfter w:w="89" w:type="dxa"/>
          <w:trHeight w:val="1030"/>
        </w:trPr>
        <w:tc>
          <w:tcPr>
            <w:tcW w:w="741" w:type="dxa"/>
            <w:shd w:val="clear" w:color="auto" w:fill="auto"/>
            <w:noWrap/>
            <w:vAlign w:val="center"/>
            <w:hideMark/>
          </w:tcPr>
          <w:p w14:paraId="078287C5" w14:textId="77777777" w:rsidR="00542C3C" w:rsidRPr="00CD407E" w:rsidRDefault="00542C3C" w:rsidP="009622A0">
            <w:pPr>
              <w:spacing w:after="0" w:line="240" w:lineRule="auto"/>
              <w:rPr>
                <w:rFonts w:ascii="Calibri" w:eastAsia="Times New Roman" w:hAnsi="Calibri" w:cs="Calibri"/>
                <w:noProof w:val="0"/>
                <w:color w:val="000000"/>
              </w:rPr>
            </w:pPr>
            <w:r w:rsidRPr="00CD407E">
              <w:rPr>
                <w:rFonts w:ascii="Calibri" w:eastAsia="Times New Roman" w:hAnsi="Calibri" w:cs="Calibri"/>
                <w:noProof w:val="0"/>
                <w:color w:val="000000"/>
              </w:rPr>
              <w:t>N-103</w:t>
            </w:r>
          </w:p>
        </w:tc>
        <w:tc>
          <w:tcPr>
            <w:tcW w:w="1257" w:type="dxa"/>
            <w:shd w:val="clear" w:color="auto" w:fill="auto"/>
            <w:noWrap/>
            <w:vAlign w:val="center"/>
            <w:hideMark/>
          </w:tcPr>
          <w:p w14:paraId="359F47DD"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NCT01009593</w:t>
            </w:r>
          </w:p>
        </w:tc>
        <w:tc>
          <w:tcPr>
            <w:tcW w:w="2208" w:type="dxa"/>
            <w:gridSpan w:val="2"/>
            <w:shd w:val="clear" w:color="auto" w:fill="auto"/>
            <w:vAlign w:val="center"/>
            <w:hideMark/>
          </w:tcPr>
          <w:p w14:paraId="3A94C51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Linifanib</w:t>
            </w:r>
          </w:p>
        </w:tc>
        <w:tc>
          <w:tcPr>
            <w:tcW w:w="2694" w:type="dxa"/>
            <w:gridSpan w:val="2"/>
            <w:shd w:val="clear" w:color="auto" w:fill="auto"/>
            <w:noWrap/>
            <w:vAlign w:val="center"/>
            <w:hideMark/>
          </w:tcPr>
          <w:p w14:paraId="785930E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Hepatocellular carcinoma</w:t>
            </w:r>
          </w:p>
        </w:tc>
        <w:tc>
          <w:tcPr>
            <w:tcW w:w="6538" w:type="dxa"/>
            <w:gridSpan w:val="2"/>
            <w:shd w:val="clear" w:color="auto" w:fill="auto"/>
            <w:vAlign w:val="center"/>
            <w:hideMark/>
          </w:tcPr>
          <w:p w14:paraId="10B7222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Cainap C, Qin S, Huang WT, Chung IJ, Pan H, Cheng Y, Kudo M, Kang YK, Chen PJ, Toh HC, Gorbunova V, Eskens FA, Qian J, McKee MD, Ricker JL, Carlson DM, El-Nowiem S. Linifanib versus Sorafenib in patients with advanced hepatocellular carcinoma: results of a randomized phase III trial. J Clin Oncol. 2015 Jan 10;33(2):172-9. doi: 10.1200/JCO.2013.54.3298. Epub 2014 Dec 8. Erratum in: J Clin Oncol. 2017 Aug 1;35(22):2590. PMID: 25488963; PMCID: PMC4279237.</w:t>
            </w:r>
          </w:p>
        </w:tc>
      </w:tr>
      <w:tr w:rsidR="00542C3C" w:rsidRPr="00CD407E" w14:paraId="19B07005" w14:textId="77777777" w:rsidTr="009622A0">
        <w:trPr>
          <w:gridAfter w:val="1"/>
          <w:wAfter w:w="89" w:type="dxa"/>
          <w:trHeight w:val="1030"/>
        </w:trPr>
        <w:tc>
          <w:tcPr>
            <w:tcW w:w="741" w:type="dxa"/>
            <w:shd w:val="clear" w:color="auto" w:fill="auto"/>
            <w:noWrap/>
            <w:vAlign w:val="center"/>
            <w:hideMark/>
          </w:tcPr>
          <w:p w14:paraId="6EA23B49" w14:textId="77777777" w:rsidR="00542C3C" w:rsidRPr="00CD407E" w:rsidRDefault="00542C3C" w:rsidP="009622A0">
            <w:pPr>
              <w:spacing w:after="0" w:line="240" w:lineRule="auto"/>
              <w:rPr>
                <w:rFonts w:ascii="Calibri" w:eastAsia="Times New Roman" w:hAnsi="Calibri" w:cs="Calibri"/>
                <w:noProof w:val="0"/>
                <w:color w:val="000000"/>
              </w:rPr>
            </w:pPr>
            <w:r w:rsidRPr="00CD407E">
              <w:rPr>
                <w:rFonts w:ascii="Calibri" w:eastAsia="Times New Roman" w:hAnsi="Calibri" w:cs="Calibri"/>
                <w:noProof w:val="0"/>
                <w:color w:val="000000"/>
              </w:rPr>
              <w:t>N-104</w:t>
            </w:r>
          </w:p>
        </w:tc>
        <w:tc>
          <w:tcPr>
            <w:tcW w:w="1257" w:type="dxa"/>
            <w:shd w:val="clear" w:color="auto" w:fill="auto"/>
            <w:noWrap/>
            <w:vAlign w:val="center"/>
            <w:hideMark/>
          </w:tcPr>
          <w:p w14:paraId="60C94F1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NCT00075686</w:t>
            </w:r>
          </w:p>
        </w:tc>
        <w:tc>
          <w:tcPr>
            <w:tcW w:w="2208" w:type="dxa"/>
            <w:gridSpan w:val="2"/>
            <w:shd w:val="clear" w:color="auto" w:fill="auto"/>
            <w:vAlign w:val="center"/>
            <w:hideMark/>
          </w:tcPr>
          <w:p w14:paraId="25EBEAA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Cetuximab plus gemcitabine</w:t>
            </w:r>
          </w:p>
        </w:tc>
        <w:tc>
          <w:tcPr>
            <w:tcW w:w="2694" w:type="dxa"/>
            <w:gridSpan w:val="2"/>
            <w:shd w:val="clear" w:color="auto" w:fill="auto"/>
            <w:noWrap/>
            <w:vAlign w:val="center"/>
            <w:hideMark/>
          </w:tcPr>
          <w:p w14:paraId="6696564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Pancreatic cancer</w:t>
            </w:r>
          </w:p>
        </w:tc>
        <w:tc>
          <w:tcPr>
            <w:tcW w:w="6538" w:type="dxa"/>
            <w:gridSpan w:val="2"/>
            <w:shd w:val="clear" w:color="auto" w:fill="auto"/>
            <w:vAlign w:val="center"/>
            <w:hideMark/>
          </w:tcPr>
          <w:p w14:paraId="30787F1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Philip PA, Benedetti J, Corless CL, Wong R, O'Reilly EM, Flynn PJ, Rowland KM, Atkins JN, Mirtsching BC, Rivkin SE, Khorana AA, Goldman B, Fenoglio-Preiser CM, Abbruzzese JL, Blanke CD. Phase III study comparing gemcitabine plus cetuximab versus gemcitabine in patients with advanced pancreatic adenocarcinoma: Southwest Oncology Group-directed intergroup trial S0205. J Clin Oncol. 2010 Aug 1;28(22):3605-10. doi: 10.1200/JCO.2009.25.7550. Epub 2010 Jul 6. PMID: 20606093; PMCID: PMC2917315.</w:t>
            </w:r>
          </w:p>
        </w:tc>
      </w:tr>
      <w:tr w:rsidR="00542C3C" w:rsidRPr="00CD407E" w14:paraId="5D8B2FB7" w14:textId="77777777" w:rsidTr="009622A0">
        <w:trPr>
          <w:gridAfter w:val="1"/>
          <w:wAfter w:w="89" w:type="dxa"/>
          <w:trHeight w:val="830"/>
        </w:trPr>
        <w:tc>
          <w:tcPr>
            <w:tcW w:w="741" w:type="dxa"/>
            <w:shd w:val="clear" w:color="auto" w:fill="auto"/>
            <w:noWrap/>
            <w:vAlign w:val="center"/>
            <w:hideMark/>
          </w:tcPr>
          <w:p w14:paraId="20C6416A"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lastRenderedPageBreak/>
              <w:t>N-105</w:t>
            </w:r>
          </w:p>
        </w:tc>
        <w:tc>
          <w:tcPr>
            <w:tcW w:w="1257" w:type="dxa"/>
            <w:shd w:val="clear" w:color="auto" w:fill="auto"/>
            <w:noWrap/>
            <w:vAlign w:val="center"/>
            <w:hideMark/>
          </w:tcPr>
          <w:p w14:paraId="70C851ED"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NCT01035229</w:t>
            </w:r>
          </w:p>
        </w:tc>
        <w:tc>
          <w:tcPr>
            <w:tcW w:w="2208" w:type="dxa"/>
            <w:gridSpan w:val="2"/>
            <w:shd w:val="clear" w:color="auto" w:fill="auto"/>
            <w:vAlign w:val="center"/>
            <w:hideMark/>
          </w:tcPr>
          <w:p w14:paraId="4FFBE9C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Everolimus plus BSC</w:t>
            </w:r>
          </w:p>
        </w:tc>
        <w:tc>
          <w:tcPr>
            <w:tcW w:w="2694" w:type="dxa"/>
            <w:gridSpan w:val="2"/>
            <w:shd w:val="clear" w:color="auto" w:fill="auto"/>
            <w:noWrap/>
            <w:vAlign w:val="center"/>
            <w:hideMark/>
          </w:tcPr>
          <w:p w14:paraId="0E4575A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Hepatocellular carcinoma</w:t>
            </w:r>
          </w:p>
        </w:tc>
        <w:tc>
          <w:tcPr>
            <w:tcW w:w="6538" w:type="dxa"/>
            <w:gridSpan w:val="2"/>
            <w:shd w:val="clear" w:color="auto" w:fill="auto"/>
            <w:vAlign w:val="center"/>
            <w:hideMark/>
          </w:tcPr>
          <w:p w14:paraId="19BF5E2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Zhu AX, Kudo M, Assenat E, Cattan S, Kang YK, Lim HY, Poon RT, Blanc JF, Vogel A, Chen CL, Dorval E, Peck-Radosavljevic M, Santoro A, Daniele B, Furuse J, Jappe A, Perraud K, Anak O, Sellami DB, Chen LT. Effect of everolimus on survival in advanced hepatocellular carcinoma after failure of sorafenib: the EVOLVE-1 randomized clinical trial. JAMA. 2014 Jul 2;312(1):57-67. doi: 10.1001/jama.2014.7189. PMID: 25058218.</w:t>
            </w:r>
          </w:p>
        </w:tc>
      </w:tr>
      <w:tr w:rsidR="00542C3C" w:rsidRPr="00CD407E" w14:paraId="66F8E587" w14:textId="77777777" w:rsidTr="009622A0">
        <w:trPr>
          <w:gridAfter w:val="1"/>
          <w:wAfter w:w="89" w:type="dxa"/>
          <w:trHeight w:val="1030"/>
        </w:trPr>
        <w:tc>
          <w:tcPr>
            <w:tcW w:w="741" w:type="dxa"/>
            <w:shd w:val="clear" w:color="auto" w:fill="auto"/>
            <w:noWrap/>
            <w:vAlign w:val="center"/>
            <w:hideMark/>
          </w:tcPr>
          <w:p w14:paraId="3FB278DD"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N-106</w:t>
            </w:r>
          </w:p>
        </w:tc>
        <w:tc>
          <w:tcPr>
            <w:tcW w:w="1257" w:type="dxa"/>
            <w:shd w:val="clear" w:color="auto" w:fill="auto"/>
            <w:noWrap/>
            <w:vAlign w:val="center"/>
            <w:hideMark/>
          </w:tcPr>
          <w:p w14:paraId="3CD39A04"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NCT02367794</w:t>
            </w:r>
          </w:p>
        </w:tc>
        <w:tc>
          <w:tcPr>
            <w:tcW w:w="2208" w:type="dxa"/>
            <w:gridSpan w:val="2"/>
            <w:shd w:val="clear" w:color="auto" w:fill="auto"/>
            <w:vAlign w:val="center"/>
            <w:hideMark/>
          </w:tcPr>
          <w:p w14:paraId="1CC85C3A"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Atezolizumab plus carboplatin and nab-paclitaxel</w:t>
            </w:r>
          </w:p>
        </w:tc>
        <w:tc>
          <w:tcPr>
            <w:tcW w:w="2694" w:type="dxa"/>
            <w:gridSpan w:val="2"/>
            <w:shd w:val="clear" w:color="auto" w:fill="auto"/>
            <w:noWrap/>
            <w:vAlign w:val="center"/>
            <w:hideMark/>
          </w:tcPr>
          <w:p w14:paraId="4D86EF9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Non-small cell lung cancer</w:t>
            </w:r>
          </w:p>
        </w:tc>
        <w:tc>
          <w:tcPr>
            <w:tcW w:w="6538" w:type="dxa"/>
            <w:gridSpan w:val="2"/>
            <w:shd w:val="clear" w:color="auto" w:fill="auto"/>
            <w:vAlign w:val="center"/>
            <w:hideMark/>
          </w:tcPr>
          <w:p w14:paraId="4CA166FD"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Jotte R, Cappuzzo F, Vynnychenko I, Stroyakovskiy D, Rodríguez-Abreu D, Hussein M, Soo R, Conter HJ, Kozuki T, Huang KC, Graupner V, Sun SW, Hoang T, Jessop H, McCleland M, Ballinger M, Sandler A, Socinski MA. Atezolizumab in Combination With Carboplatin and Nab-Paclitaxel in Advanced Squamous NSCLC (IMpower131): Results From a Randomized Phase III Trial. J Thorac Oncol. 2020 Aug;15(8):1351-1360. doi: 10.1016/j.jtho.2020.03.028. Epub 2020 Apr 14. PMID: 32302702.</w:t>
            </w:r>
          </w:p>
        </w:tc>
      </w:tr>
      <w:tr w:rsidR="00542C3C" w:rsidRPr="00CD407E" w14:paraId="4DFDFCF9" w14:textId="77777777" w:rsidTr="009622A0">
        <w:trPr>
          <w:gridAfter w:val="1"/>
          <w:wAfter w:w="89" w:type="dxa"/>
          <w:trHeight w:val="1230"/>
        </w:trPr>
        <w:tc>
          <w:tcPr>
            <w:tcW w:w="741" w:type="dxa"/>
            <w:shd w:val="clear" w:color="auto" w:fill="auto"/>
            <w:noWrap/>
            <w:vAlign w:val="center"/>
            <w:hideMark/>
          </w:tcPr>
          <w:p w14:paraId="758A6247"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N-107</w:t>
            </w:r>
          </w:p>
        </w:tc>
        <w:tc>
          <w:tcPr>
            <w:tcW w:w="1257" w:type="dxa"/>
            <w:shd w:val="clear" w:color="auto" w:fill="auto"/>
            <w:noWrap/>
            <w:vAlign w:val="center"/>
            <w:hideMark/>
          </w:tcPr>
          <w:p w14:paraId="58E92FC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NCT02370498</w:t>
            </w:r>
          </w:p>
        </w:tc>
        <w:tc>
          <w:tcPr>
            <w:tcW w:w="2208" w:type="dxa"/>
            <w:gridSpan w:val="2"/>
            <w:shd w:val="clear" w:color="auto" w:fill="auto"/>
            <w:vAlign w:val="center"/>
            <w:hideMark/>
          </w:tcPr>
          <w:p w14:paraId="04DA09F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 xml:space="preserve">Pembrolizumab </w:t>
            </w:r>
          </w:p>
        </w:tc>
        <w:tc>
          <w:tcPr>
            <w:tcW w:w="2694" w:type="dxa"/>
            <w:gridSpan w:val="2"/>
            <w:shd w:val="clear" w:color="auto" w:fill="auto"/>
            <w:noWrap/>
            <w:vAlign w:val="center"/>
            <w:hideMark/>
          </w:tcPr>
          <w:p w14:paraId="3BBCC5BC"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Gastric cancer</w:t>
            </w:r>
          </w:p>
        </w:tc>
        <w:tc>
          <w:tcPr>
            <w:tcW w:w="6538" w:type="dxa"/>
            <w:gridSpan w:val="2"/>
            <w:shd w:val="clear" w:color="auto" w:fill="auto"/>
            <w:vAlign w:val="center"/>
            <w:hideMark/>
          </w:tcPr>
          <w:p w14:paraId="53FA8CF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Shitara K, Özgüroğlu M, Bang YJ, Di Bartolomeo M, Mandalà M, Ryu MH, Fornaro L, Olesiński T, Caglevic C, Chung HC, Muro K, Goekkurt E, Mansoor W, McDermott RS, Shacham-Shmueli E, Chen X, Mayo C, Kang SP, Ohtsu A, Fuchs CS; KEYNOTE-061 investigators. Pembrolizumab versus paclitaxel for previously treated, advanced gastric or gastro-oesophageal junction cancer (KEYNOTE-061): a randomised, open-label, controlled, phase 3 trial. Lancet. 2018 Jul 14;392(10142):123-133. doi: 10.1016/S0140-6736(18)31257-1. Epub 2018 Jun 4. PMID: 29880231.</w:t>
            </w:r>
          </w:p>
        </w:tc>
      </w:tr>
      <w:tr w:rsidR="00542C3C" w:rsidRPr="00CD407E" w14:paraId="5E4E82BC" w14:textId="77777777" w:rsidTr="009622A0">
        <w:trPr>
          <w:gridAfter w:val="1"/>
          <w:wAfter w:w="89" w:type="dxa"/>
          <w:trHeight w:val="1230"/>
        </w:trPr>
        <w:tc>
          <w:tcPr>
            <w:tcW w:w="741" w:type="dxa"/>
            <w:shd w:val="clear" w:color="auto" w:fill="auto"/>
            <w:noWrap/>
            <w:vAlign w:val="center"/>
            <w:hideMark/>
          </w:tcPr>
          <w:p w14:paraId="23DECD3A"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N-108</w:t>
            </w:r>
          </w:p>
        </w:tc>
        <w:tc>
          <w:tcPr>
            <w:tcW w:w="1257" w:type="dxa"/>
            <w:shd w:val="clear" w:color="auto" w:fill="auto"/>
            <w:noWrap/>
            <w:vAlign w:val="center"/>
            <w:hideMark/>
          </w:tcPr>
          <w:p w14:paraId="3573EBB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NCT00946712</w:t>
            </w:r>
          </w:p>
        </w:tc>
        <w:tc>
          <w:tcPr>
            <w:tcW w:w="2208" w:type="dxa"/>
            <w:gridSpan w:val="2"/>
            <w:shd w:val="clear" w:color="auto" w:fill="auto"/>
            <w:vAlign w:val="center"/>
            <w:hideMark/>
          </w:tcPr>
          <w:p w14:paraId="3B265D1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Cetuximab plus carboplatin, paclitaxel with/without bevacizumab</w:t>
            </w:r>
          </w:p>
        </w:tc>
        <w:tc>
          <w:tcPr>
            <w:tcW w:w="2694" w:type="dxa"/>
            <w:gridSpan w:val="2"/>
            <w:shd w:val="clear" w:color="auto" w:fill="auto"/>
            <w:noWrap/>
            <w:vAlign w:val="center"/>
            <w:hideMark/>
          </w:tcPr>
          <w:p w14:paraId="49CE092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Non-small cell lung cancer</w:t>
            </w:r>
          </w:p>
        </w:tc>
        <w:tc>
          <w:tcPr>
            <w:tcW w:w="6538" w:type="dxa"/>
            <w:gridSpan w:val="2"/>
            <w:shd w:val="clear" w:color="auto" w:fill="auto"/>
            <w:vAlign w:val="center"/>
            <w:hideMark/>
          </w:tcPr>
          <w:p w14:paraId="004125A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Herbst RS, Redman MW, Kim ES, Semrad TJ, Bazhenova L, Masters G, Oettel K, Guaglianone P, Reynolds C, Karnad A, Arnold SM, Varella-Garcia M, Moon J, Mack PC, Blanke CD, Hirsch FR, Kelly K, Gandara DR. Cetuximab plus carboplatin and paclitaxel with or without bevacizumab versus carboplatin and paclitaxel with or without bevacizumab in advanced NSCLC (SWOG S0819): a randomised, phase 3 study. Lancet Oncol. 2018 Jan;19(1):101-114. doi: 10.1016/S1470-2045(17)30694-0. Epub 2017 Nov 20. PMID: 29169877; PMCID: PMC5847342.</w:t>
            </w:r>
          </w:p>
        </w:tc>
      </w:tr>
      <w:tr w:rsidR="00542C3C" w:rsidRPr="00CD407E" w14:paraId="4D1F4A57" w14:textId="77777777" w:rsidTr="009622A0">
        <w:trPr>
          <w:gridAfter w:val="1"/>
          <w:wAfter w:w="89" w:type="dxa"/>
          <w:trHeight w:val="1230"/>
        </w:trPr>
        <w:tc>
          <w:tcPr>
            <w:tcW w:w="741" w:type="dxa"/>
            <w:shd w:val="clear" w:color="auto" w:fill="auto"/>
            <w:noWrap/>
            <w:vAlign w:val="center"/>
            <w:hideMark/>
          </w:tcPr>
          <w:p w14:paraId="04FA44F0"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N-109</w:t>
            </w:r>
          </w:p>
        </w:tc>
        <w:tc>
          <w:tcPr>
            <w:tcW w:w="1257" w:type="dxa"/>
            <w:shd w:val="clear" w:color="auto" w:fill="auto"/>
            <w:noWrap/>
            <w:vAlign w:val="center"/>
            <w:hideMark/>
          </w:tcPr>
          <w:p w14:paraId="1033568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NCT03302234</w:t>
            </w:r>
          </w:p>
        </w:tc>
        <w:tc>
          <w:tcPr>
            <w:tcW w:w="2208" w:type="dxa"/>
            <w:gridSpan w:val="2"/>
            <w:shd w:val="clear" w:color="auto" w:fill="auto"/>
            <w:vAlign w:val="center"/>
            <w:hideMark/>
          </w:tcPr>
          <w:p w14:paraId="1C8A1F8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Ipilimumab plus pembrolizumab</w:t>
            </w:r>
          </w:p>
        </w:tc>
        <w:tc>
          <w:tcPr>
            <w:tcW w:w="2694" w:type="dxa"/>
            <w:gridSpan w:val="2"/>
            <w:shd w:val="clear" w:color="auto" w:fill="auto"/>
            <w:noWrap/>
            <w:vAlign w:val="center"/>
            <w:hideMark/>
          </w:tcPr>
          <w:p w14:paraId="79E84C44"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Non-small cell lung cancer</w:t>
            </w:r>
          </w:p>
        </w:tc>
        <w:tc>
          <w:tcPr>
            <w:tcW w:w="6538" w:type="dxa"/>
            <w:gridSpan w:val="2"/>
            <w:shd w:val="clear" w:color="auto" w:fill="auto"/>
            <w:vAlign w:val="center"/>
            <w:hideMark/>
          </w:tcPr>
          <w:p w14:paraId="5FC2BED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Boyer M, Şendur MAN, Rodríguez-Abreu D, Park K, Lee DH, Çiçin I, Yumuk PF, Orlandi FJ, Leal TA, Molinier O, Soparattanapaisarn N, Langleben A, Califano R, Medgyasszay B, Hsia TC, Otterson GA, Xu L, Piperdi B, Samkari A, Reck M; KEYNOTE-598 Investigators. Pembrolizumab Plus Ipilimumab or Placebo for Metastatic Non-Small-Cell Lung Cancer With PD-L1 Tumor Proportion Score ≥ 50%: Randomized, Double-Blind Phase III KEYNOTE-598 Study. J Clin Oncol. 2021 Jul 20;39(21):2327-2338. doi: 10.1200/JCO.20.03579. Epub 2021 Jan 29. PMID: 33513313.</w:t>
            </w:r>
          </w:p>
        </w:tc>
      </w:tr>
      <w:tr w:rsidR="00542C3C" w:rsidRPr="00CD407E" w14:paraId="49B8570C" w14:textId="77777777" w:rsidTr="009622A0">
        <w:trPr>
          <w:gridAfter w:val="1"/>
          <w:wAfter w:w="89" w:type="dxa"/>
          <w:trHeight w:val="1430"/>
        </w:trPr>
        <w:tc>
          <w:tcPr>
            <w:tcW w:w="741" w:type="dxa"/>
            <w:shd w:val="clear" w:color="auto" w:fill="auto"/>
            <w:noWrap/>
            <w:vAlign w:val="center"/>
            <w:hideMark/>
          </w:tcPr>
          <w:p w14:paraId="4473D375"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N-110</w:t>
            </w:r>
          </w:p>
        </w:tc>
        <w:tc>
          <w:tcPr>
            <w:tcW w:w="1257" w:type="dxa"/>
            <w:shd w:val="clear" w:color="auto" w:fill="auto"/>
            <w:noWrap/>
            <w:vAlign w:val="center"/>
            <w:hideMark/>
          </w:tcPr>
          <w:p w14:paraId="2A83FFE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NCT02453282</w:t>
            </w:r>
          </w:p>
        </w:tc>
        <w:tc>
          <w:tcPr>
            <w:tcW w:w="2208" w:type="dxa"/>
            <w:gridSpan w:val="2"/>
            <w:shd w:val="clear" w:color="auto" w:fill="auto"/>
            <w:vAlign w:val="center"/>
            <w:hideMark/>
          </w:tcPr>
          <w:p w14:paraId="24FD16F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Durvalumab plus tremelimumab</w:t>
            </w:r>
          </w:p>
        </w:tc>
        <w:tc>
          <w:tcPr>
            <w:tcW w:w="2694" w:type="dxa"/>
            <w:gridSpan w:val="2"/>
            <w:shd w:val="clear" w:color="auto" w:fill="auto"/>
            <w:noWrap/>
            <w:vAlign w:val="center"/>
            <w:hideMark/>
          </w:tcPr>
          <w:p w14:paraId="1C65BCB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Non-small cell lung cancer</w:t>
            </w:r>
          </w:p>
        </w:tc>
        <w:tc>
          <w:tcPr>
            <w:tcW w:w="6538" w:type="dxa"/>
            <w:gridSpan w:val="2"/>
            <w:shd w:val="clear" w:color="auto" w:fill="auto"/>
            <w:vAlign w:val="center"/>
            <w:hideMark/>
          </w:tcPr>
          <w:p w14:paraId="0606B0C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Rizvi NA, Cho BC, Reinmuth N, Lee KH, Luft A, Ahn MJ, van den Heuvel MM, Cobo M, Vicente D, Smolin A, Moiseyenko V, Antonia SJ, Le Moulec S, Robinet G, Natale R, Schneider J, Shepherd FA, Geater SL, Garon EB, Kim ES, Goldberg SB, Nakagawa K, Raja R, Higgs BW, Boothman AM, Zhao L, Scheuring U, Stockman PK, Chand VK, Peters S; MYSTIC Investigators. Durvalumab With or Without Tremelimumab vs Standard Chemotherapy in First-line Treatment of Metastatic Non-Small Cell Lung Cancer: The MYSTIC Phase 3 Randomized Clinical Trial. JAMA Oncol. 2020 May 1;6(5):661-674. doi: 10.1001/jamaoncol.2020.0237. Erratum in: JAMA Oncol. 2020 Nov 1;6(11):1815. PMID: 32271377; PMCID: PMC7146551.</w:t>
            </w:r>
          </w:p>
        </w:tc>
      </w:tr>
      <w:tr w:rsidR="00542C3C" w:rsidRPr="00CD407E" w14:paraId="4C5BA572" w14:textId="77777777" w:rsidTr="009622A0">
        <w:trPr>
          <w:gridAfter w:val="1"/>
          <w:wAfter w:w="89" w:type="dxa"/>
          <w:trHeight w:val="1430"/>
        </w:trPr>
        <w:tc>
          <w:tcPr>
            <w:tcW w:w="741" w:type="dxa"/>
            <w:shd w:val="clear" w:color="auto" w:fill="auto"/>
            <w:noWrap/>
            <w:vAlign w:val="center"/>
            <w:hideMark/>
          </w:tcPr>
          <w:p w14:paraId="3FF04D4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N-111</w:t>
            </w:r>
          </w:p>
        </w:tc>
        <w:tc>
          <w:tcPr>
            <w:tcW w:w="1257" w:type="dxa"/>
            <w:shd w:val="clear" w:color="auto" w:fill="auto"/>
            <w:noWrap/>
            <w:vAlign w:val="center"/>
            <w:hideMark/>
          </w:tcPr>
          <w:p w14:paraId="00D0DE6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NCT02453282</w:t>
            </w:r>
          </w:p>
        </w:tc>
        <w:tc>
          <w:tcPr>
            <w:tcW w:w="2208" w:type="dxa"/>
            <w:gridSpan w:val="2"/>
            <w:shd w:val="clear" w:color="auto" w:fill="auto"/>
            <w:vAlign w:val="center"/>
            <w:hideMark/>
          </w:tcPr>
          <w:p w14:paraId="67EFFD5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Durvalumab</w:t>
            </w:r>
          </w:p>
        </w:tc>
        <w:tc>
          <w:tcPr>
            <w:tcW w:w="2694" w:type="dxa"/>
            <w:gridSpan w:val="2"/>
            <w:shd w:val="clear" w:color="auto" w:fill="auto"/>
            <w:noWrap/>
            <w:vAlign w:val="center"/>
            <w:hideMark/>
          </w:tcPr>
          <w:p w14:paraId="7CD5CA3D"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Non-small cell lung cancer</w:t>
            </w:r>
          </w:p>
        </w:tc>
        <w:tc>
          <w:tcPr>
            <w:tcW w:w="6538" w:type="dxa"/>
            <w:gridSpan w:val="2"/>
            <w:shd w:val="clear" w:color="auto" w:fill="auto"/>
            <w:vAlign w:val="center"/>
            <w:hideMark/>
          </w:tcPr>
          <w:p w14:paraId="30BC8C3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Rizvi NA, Cho BC, Reinmuth N, Lee KH, Luft A, Ahn MJ, van den Heuvel MM, Cobo M, Vicente D, Smolin A, Moiseyenko V, Antonia SJ, Le Moulec S, Robinet G, Natale R, Schneider J, Shepherd FA, Geater SL, Garon EB, Kim ES, Goldberg SB, Nakagawa K, Raja R, Higgs BW, Boothman AM, Zhao L, Scheuring U, Stockman PK, Chand VK, Peters S; MYSTIC Investigators. Durvalumab With or Without Tremelimumab vs Standard Chemotherapy in First-line Treatment of Metastatic Non-Small Cell Lung Cancer: The MYSTIC Phase 3 Randomized Clinical Trial. JAMA Oncol. 2020 May 1;6(5):661-674. doi: 10.1001/jamaoncol.2020.0237. Erratum in: JAMA Oncol. 2020 Nov 1;6(11):1815. PMID: 32271377; PMCID: PMC7146551.</w:t>
            </w:r>
          </w:p>
        </w:tc>
      </w:tr>
      <w:tr w:rsidR="00542C3C" w:rsidRPr="00CD407E" w14:paraId="778B6635" w14:textId="77777777" w:rsidTr="009622A0">
        <w:trPr>
          <w:gridAfter w:val="1"/>
          <w:wAfter w:w="89" w:type="dxa"/>
          <w:trHeight w:val="1230"/>
        </w:trPr>
        <w:tc>
          <w:tcPr>
            <w:tcW w:w="741" w:type="dxa"/>
            <w:shd w:val="clear" w:color="auto" w:fill="auto"/>
            <w:noWrap/>
            <w:vAlign w:val="center"/>
            <w:hideMark/>
          </w:tcPr>
          <w:p w14:paraId="72E6D83C" w14:textId="77777777" w:rsidR="00542C3C" w:rsidRPr="00CD407E" w:rsidRDefault="00542C3C" w:rsidP="009622A0">
            <w:pPr>
              <w:spacing w:after="0" w:line="240" w:lineRule="auto"/>
              <w:rPr>
                <w:rFonts w:ascii="Calibri" w:eastAsia="Times New Roman" w:hAnsi="Calibri" w:cs="Calibri"/>
                <w:noProof w:val="0"/>
                <w:color w:val="000000"/>
              </w:rPr>
            </w:pPr>
            <w:r w:rsidRPr="00CD407E">
              <w:rPr>
                <w:rFonts w:ascii="Calibri" w:eastAsia="Times New Roman" w:hAnsi="Calibri" w:cs="Calibri"/>
                <w:noProof w:val="0"/>
                <w:color w:val="000000"/>
              </w:rPr>
              <w:lastRenderedPageBreak/>
              <w:t>N-112</w:t>
            </w:r>
          </w:p>
        </w:tc>
        <w:tc>
          <w:tcPr>
            <w:tcW w:w="1257" w:type="dxa"/>
            <w:shd w:val="clear" w:color="auto" w:fill="auto"/>
            <w:noWrap/>
            <w:vAlign w:val="center"/>
            <w:hideMark/>
          </w:tcPr>
          <w:p w14:paraId="1D025D2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NCT02853305</w:t>
            </w:r>
          </w:p>
        </w:tc>
        <w:tc>
          <w:tcPr>
            <w:tcW w:w="2208" w:type="dxa"/>
            <w:gridSpan w:val="2"/>
            <w:shd w:val="clear" w:color="auto" w:fill="auto"/>
            <w:vAlign w:val="center"/>
            <w:hideMark/>
          </w:tcPr>
          <w:p w14:paraId="7EBB5AA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Pembrolizumab plus chemotherapy</w:t>
            </w:r>
          </w:p>
        </w:tc>
        <w:tc>
          <w:tcPr>
            <w:tcW w:w="2694" w:type="dxa"/>
            <w:gridSpan w:val="2"/>
            <w:shd w:val="clear" w:color="auto" w:fill="auto"/>
            <w:noWrap/>
            <w:vAlign w:val="center"/>
            <w:hideMark/>
          </w:tcPr>
          <w:p w14:paraId="7492BF0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Urothelial carcinoma</w:t>
            </w:r>
          </w:p>
        </w:tc>
        <w:tc>
          <w:tcPr>
            <w:tcW w:w="6538" w:type="dxa"/>
            <w:gridSpan w:val="2"/>
            <w:shd w:val="clear" w:color="auto" w:fill="auto"/>
            <w:vAlign w:val="center"/>
            <w:hideMark/>
          </w:tcPr>
          <w:p w14:paraId="3CB7F05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Powles T, Csőszi T, Özgüroğlu M, Matsubara N, Géczi L, Cheng SY, Fradet Y, Oudard S, Vulsteke C, Morales Barrera R, Fléchon A, Gunduz S, Loriot Y, Rodriguez-Vida A, Mamtani R, Yu EY, Nam K, Imai K, Homet Moreno B, Alva A; KEYNOTE-361 Investigators. Pembrolizumab alone or combined with chemotherapy versus chemotherapy as first-line therapy for advanced urothelial carcinoma (KEYNOTE-361): a randomised, open-label, phase 3 trial. Lancet Oncol. 2021 Jul;22(7):931-945. doi: 10.1016/S1470-2045(21)00152-2. Epub 2021 May 26. PMID: 34051178.</w:t>
            </w:r>
          </w:p>
        </w:tc>
      </w:tr>
      <w:tr w:rsidR="00542C3C" w:rsidRPr="00CD407E" w14:paraId="70EEABF1" w14:textId="77777777" w:rsidTr="009622A0">
        <w:trPr>
          <w:gridAfter w:val="1"/>
          <w:wAfter w:w="89" w:type="dxa"/>
          <w:trHeight w:val="1230"/>
        </w:trPr>
        <w:tc>
          <w:tcPr>
            <w:tcW w:w="741" w:type="dxa"/>
            <w:shd w:val="clear" w:color="auto" w:fill="auto"/>
            <w:noWrap/>
            <w:vAlign w:val="center"/>
            <w:hideMark/>
          </w:tcPr>
          <w:p w14:paraId="39DCF917"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N-113</w:t>
            </w:r>
          </w:p>
        </w:tc>
        <w:tc>
          <w:tcPr>
            <w:tcW w:w="1257" w:type="dxa"/>
            <w:shd w:val="clear" w:color="auto" w:fill="auto"/>
            <w:noWrap/>
            <w:vAlign w:val="center"/>
            <w:hideMark/>
          </w:tcPr>
          <w:p w14:paraId="6D4CA85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NCT02853305</w:t>
            </w:r>
          </w:p>
        </w:tc>
        <w:tc>
          <w:tcPr>
            <w:tcW w:w="2208" w:type="dxa"/>
            <w:gridSpan w:val="2"/>
            <w:shd w:val="clear" w:color="auto" w:fill="auto"/>
            <w:vAlign w:val="center"/>
            <w:hideMark/>
          </w:tcPr>
          <w:p w14:paraId="30E217C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Pembrolizumab</w:t>
            </w:r>
          </w:p>
        </w:tc>
        <w:tc>
          <w:tcPr>
            <w:tcW w:w="2694" w:type="dxa"/>
            <w:gridSpan w:val="2"/>
            <w:shd w:val="clear" w:color="auto" w:fill="auto"/>
            <w:noWrap/>
            <w:vAlign w:val="center"/>
            <w:hideMark/>
          </w:tcPr>
          <w:p w14:paraId="6CB6D394"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Urothelial carcinoma</w:t>
            </w:r>
          </w:p>
        </w:tc>
        <w:tc>
          <w:tcPr>
            <w:tcW w:w="6538" w:type="dxa"/>
            <w:gridSpan w:val="2"/>
            <w:shd w:val="clear" w:color="auto" w:fill="auto"/>
            <w:vAlign w:val="center"/>
            <w:hideMark/>
          </w:tcPr>
          <w:p w14:paraId="3CDFCE0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Powles T, Csőszi T, Özgüroğlu M, Matsubara N, Géczi L, Cheng SY, Fradet Y, Oudard S, Vulsteke C, Morales Barrera R, Fléchon A, Gunduz S, Loriot Y, Rodriguez-Vida A, Mamtani R, Yu EY, Nam K, Imai K, Homet Moreno B, Alva A; KEYNOTE-361 Investigators. Pembrolizumab alone or combined with chemotherapy versus chemotherapy as first-line therapy for advanced urothelial carcinoma (KEYNOTE-361): a randomised, open-label, phase 3 trial. Lancet Oncol. 2021 Jul;22(7):931-945. doi: 10.1016/S1470-2045(21)00152-2. Epub 2021 May 26. PMID: 34051178.</w:t>
            </w:r>
          </w:p>
        </w:tc>
      </w:tr>
      <w:tr w:rsidR="00542C3C" w:rsidRPr="00CD407E" w14:paraId="5DBE8AF2" w14:textId="77777777" w:rsidTr="009622A0">
        <w:trPr>
          <w:gridAfter w:val="1"/>
          <w:wAfter w:w="89" w:type="dxa"/>
          <w:trHeight w:val="1030"/>
        </w:trPr>
        <w:tc>
          <w:tcPr>
            <w:tcW w:w="741" w:type="dxa"/>
            <w:shd w:val="clear" w:color="auto" w:fill="auto"/>
            <w:noWrap/>
            <w:vAlign w:val="center"/>
            <w:hideMark/>
          </w:tcPr>
          <w:p w14:paraId="0F472381" w14:textId="77777777" w:rsidR="00542C3C" w:rsidRPr="00CD407E" w:rsidRDefault="00542C3C" w:rsidP="009622A0">
            <w:pPr>
              <w:spacing w:after="0" w:line="240" w:lineRule="auto"/>
              <w:rPr>
                <w:rFonts w:ascii="Calibri" w:eastAsia="Times New Roman" w:hAnsi="Calibri" w:cs="Calibri"/>
                <w:noProof w:val="0"/>
                <w:color w:val="000000"/>
              </w:rPr>
            </w:pPr>
            <w:r w:rsidRPr="00CD407E">
              <w:rPr>
                <w:rFonts w:ascii="Calibri" w:eastAsia="Times New Roman" w:hAnsi="Calibri" w:cs="Calibri"/>
                <w:noProof w:val="0"/>
                <w:color w:val="000000"/>
              </w:rPr>
              <w:t>N-114</w:t>
            </w:r>
          </w:p>
        </w:tc>
        <w:tc>
          <w:tcPr>
            <w:tcW w:w="1257" w:type="dxa"/>
            <w:shd w:val="clear" w:color="auto" w:fill="auto"/>
            <w:noWrap/>
            <w:vAlign w:val="center"/>
            <w:hideMark/>
          </w:tcPr>
          <w:p w14:paraId="3729D58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NCT00676507</w:t>
            </w:r>
          </w:p>
        </w:tc>
        <w:tc>
          <w:tcPr>
            <w:tcW w:w="2208" w:type="dxa"/>
            <w:gridSpan w:val="2"/>
            <w:shd w:val="clear" w:color="auto" w:fill="auto"/>
            <w:vAlign w:val="center"/>
            <w:hideMark/>
          </w:tcPr>
          <w:p w14:paraId="5AF117F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Belagenpumatucel-L</w:t>
            </w:r>
          </w:p>
        </w:tc>
        <w:tc>
          <w:tcPr>
            <w:tcW w:w="2694" w:type="dxa"/>
            <w:gridSpan w:val="2"/>
            <w:shd w:val="clear" w:color="auto" w:fill="auto"/>
            <w:noWrap/>
            <w:vAlign w:val="center"/>
            <w:hideMark/>
          </w:tcPr>
          <w:p w14:paraId="6E3272D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Non-small cell lung cancer</w:t>
            </w:r>
          </w:p>
        </w:tc>
        <w:tc>
          <w:tcPr>
            <w:tcW w:w="6538" w:type="dxa"/>
            <w:gridSpan w:val="2"/>
            <w:shd w:val="clear" w:color="auto" w:fill="auto"/>
            <w:vAlign w:val="center"/>
            <w:hideMark/>
          </w:tcPr>
          <w:p w14:paraId="206BAC5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Giaccone G, Bazhenova LA, Nemunaitis J, Tan M, Juhász E, Ramlau R, van den Heuvel MM, Lal R, Kloecker GH, Eaton KD, Chu Q, Dunlop DJ, Jain M, Garon EB, Davis CS, Carrier E, Moses SC, Shawler DL, Fakhrai H. A phase III study of belagenpumatucel-L, an allogeneic tumour cell vaccine, as maintenance therapy for non-small cell lung cancer. Eur J Cancer. 2015 Nov;51(16):2321-9. doi: 10.1016/j.ejca.2015.07.035. Epub 2015 Aug 14. PMID: 26283035.</w:t>
            </w:r>
          </w:p>
        </w:tc>
      </w:tr>
      <w:tr w:rsidR="00542C3C" w:rsidRPr="00CD407E" w14:paraId="40B5948B" w14:textId="77777777" w:rsidTr="009622A0">
        <w:trPr>
          <w:gridAfter w:val="1"/>
          <w:wAfter w:w="89" w:type="dxa"/>
          <w:trHeight w:val="1030"/>
        </w:trPr>
        <w:tc>
          <w:tcPr>
            <w:tcW w:w="741" w:type="dxa"/>
            <w:shd w:val="clear" w:color="auto" w:fill="auto"/>
            <w:noWrap/>
            <w:vAlign w:val="center"/>
            <w:hideMark/>
          </w:tcPr>
          <w:p w14:paraId="71E558DA"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N-115</w:t>
            </w:r>
          </w:p>
        </w:tc>
        <w:tc>
          <w:tcPr>
            <w:tcW w:w="1257" w:type="dxa"/>
            <w:shd w:val="clear" w:color="auto" w:fill="auto"/>
            <w:noWrap/>
            <w:vAlign w:val="center"/>
            <w:hideMark/>
          </w:tcPr>
          <w:p w14:paraId="068E957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NCT00134056</w:t>
            </w:r>
          </w:p>
        </w:tc>
        <w:tc>
          <w:tcPr>
            <w:tcW w:w="2208" w:type="dxa"/>
            <w:gridSpan w:val="2"/>
            <w:shd w:val="clear" w:color="auto" w:fill="auto"/>
            <w:vAlign w:val="center"/>
            <w:hideMark/>
          </w:tcPr>
          <w:p w14:paraId="2708A9DC"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Atrasentan plus docetaxel</w:t>
            </w:r>
          </w:p>
        </w:tc>
        <w:tc>
          <w:tcPr>
            <w:tcW w:w="2694" w:type="dxa"/>
            <w:gridSpan w:val="2"/>
            <w:shd w:val="clear" w:color="auto" w:fill="auto"/>
            <w:noWrap/>
            <w:vAlign w:val="center"/>
            <w:hideMark/>
          </w:tcPr>
          <w:p w14:paraId="1269162C"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Prostate cancer</w:t>
            </w:r>
          </w:p>
        </w:tc>
        <w:tc>
          <w:tcPr>
            <w:tcW w:w="6538" w:type="dxa"/>
            <w:gridSpan w:val="2"/>
            <w:shd w:val="clear" w:color="auto" w:fill="auto"/>
            <w:vAlign w:val="center"/>
            <w:hideMark/>
          </w:tcPr>
          <w:p w14:paraId="648440C4"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Quinn DI, Tangen CM, Hussain M, Lara PN Jr, Goldkorn A, Moinpour CM, Garzotto MG, Mack PC, Carducci MA, Monk JP, Twardowski PW, Van Veldhuizen PJ, Agarwal N, Higano CS, Vogelzang NJ, Thompson IM Jr. Docetaxel and atrasentan versus docetaxel and placebo for men with advanced castration-resistant prostate cancer (SWOG S0421): a randomised phase 3 trial. Lancet Oncol. 2013 Aug;14(9):893-900. doi: 10.1016/S1470-2045(13)70294-8. Epub 2013 Jul 17. PMID: 23871417; PMCID: PMC4277263.</w:t>
            </w:r>
          </w:p>
        </w:tc>
      </w:tr>
      <w:tr w:rsidR="00542C3C" w:rsidRPr="00CD407E" w14:paraId="095B4302" w14:textId="77777777" w:rsidTr="009622A0">
        <w:trPr>
          <w:gridAfter w:val="1"/>
          <w:wAfter w:w="89" w:type="dxa"/>
          <w:trHeight w:val="1030"/>
        </w:trPr>
        <w:tc>
          <w:tcPr>
            <w:tcW w:w="741" w:type="dxa"/>
            <w:shd w:val="clear" w:color="auto" w:fill="auto"/>
            <w:noWrap/>
            <w:vAlign w:val="center"/>
            <w:hideMark/>
          </w:tcPr>
          <w:p w14:paraId="11105D35" w14:textId="77777777" w:rsidR="00542C3C" w:rsidRPr="00CD407E" w:rsidRDefault="00542C3C" w:rsidP="009622A0">
            <w:pPr>
              <w:spacing w:after="0" w:line="240" w:lineRule="auto"/>
              <w:rPr>
                <w:rFonts w:ascii="Calibri" w:eastAsia="Times New Roman" w:hAnsi="Calibri" w:cs="Calibri"/>
                <w:noProof w:val="0"/>
                <w:color w:val="000000"/>
              </w:rPr>
            </w:pPr>
            <w:r w:rsidRPr="00CD407E">
              <w:rPr>
                <w:rFonts w:ascii="Calibri" w:eastAsia="Times New Roman" w:hAnsi="Calibri" w:cs="Calibri"/>
                <w:noProof w:val="0"/>
                <w:color w:val="000000"/>
              </w:rPr>
              <w:t>N-116</w:t>
            </w:r>
          </w:p>
        </w:tc>
        <w:tc>
          <w:tcPr>
            <w:tcW w:w="1257" w:type="dxa"/>
            <w:shd w:val="clear" w:color="auto" w:fill="auto"/>
            <w:noWrap/>
            <w:vAlign w:val="center"/>
            <w:hideMark/>
          </w:tcPr>
          <w:p w14:paraId="3BD4836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NCT00262990</w:t>
            </w:r>
          </w:p>
        </w:tc>
        <w:tc>
          <w:tcPr>
            <w:tcW w:w="2208" w:type="dxa"/>
            <w:gridSpan w:val="2"/>
            <w:shd w:val="clear" w:color="auto" w:fill="auto"/>
            <w:vAlign w:val="center"/>
            <w:hideMark/>
          </w:tcPr>
          <w:p w14:paraId="62C12B3A"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Patupilone</w:t>
            </w:r>
          </w:p>
        </w:tc>
        <w:tc>
          <w:tcPr>
            <w:tcW w:w="2694" w:type="dxa"/>
            <w:gridSpan w:val="2"/>
            <w:shd w:val="clear" w:color="auto" w:fill="auto"/>
            <w:noWrap/>
            <w:vAlign w:val="center"/>
            <w:hideMark/>
          </w:tcPr>
          <w:p w14:paraId="27A44E1A"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Ovarian cancer</w:t>
            </w:r>
          </w:p>
        </w:tc>
        <w:tc>
          <w:tcPr>
            <w:tcW w:w="6538" w:type="dxa"/>
            <w:gridSpan w:val="2"/>
            <w:shd w:val="clear" w:color="auto" w:fill="auto"/>
            <w:vAlign w:val="center"/>
            <w:hideMark/>
          </w:tcPr>
          <w:p w14:paraId="655502DA"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Colombo N, Kutarska E, Dimopoulos M, Bae DS, Rzepka-Gorska I, Bidzinski M, Scambia G, Engelholm SA, Joly F, Weber D, El-Hashimy M, Li J, Souami F, Wing P, Engelholm S, Bamias A, Schwartz P. Randomized, open-label, phase III study comparing patupilone (EPO906) with pegylated liposomal doxorubicin in platinum-refractory or -resistant patients with recurrent epithelial ovarian, primary fallopian tube, or primary peritoneal cancer. J Clin Oncol. 2012 Nov 1;30(31):3841-7. doi: 10.1200/JCO.2011.38.8082. Epub 2012 Sep 17. PMID: 22987083.</w:t>
            </w:r>
          </w:p>
        </w:tc>
      </w:tr>
      <w:tr w:rsidR="00542C3C" w:rsidRPr="00CD407E" w14:paraId="1FEC4850" w14:textId="77777777" w:rsidTr="009622A0">
        <w:trPr>
          <w:gridAfter w:val="1"/>
          <w:wAfter w:w="89" w:type="dxa"/>
          <w:trHeight w:val="1430"/>
        </w:trPr>
        <w:tc>
          <w:tcPr>
            <w:tcW w:w="741" w:type="dxa"/>
            <w:shd w:val="clear" w:color="auto" w:fill="auto"/>
            <w:noWrap/>
            <w:vAlign w:val="center"/>
            <w:hideMark/>
          </w:tcPr>
          <w:p w14:paraId="0D266717"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N-117</w:t>
            </w:r>
          </w:p>
        </w:tc>
        <w:tc>
          <w:tcPr>
            <w:tcW w:w="1257" w:type="dxa"/>
            <w:shd w:val="clear" w:color="auto" w:fill="auto"/>
            <w:noWrap/>
            <w:vAlign w:val="center"/>
            <w:hideMark/>
          </w:tcPr>
          <w:p w14:paraId="154D9C2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NCT03043872</w:t>
            </w:r>
          </w:p>
        </w:tc>
        <w:tc>
          <w:tcPr>
            <w:tcW w:w="2208" w:type="dxa"/>
            <w:gridSpan w:val="2"/>
            <w:shd w:val="clear" w:color="auto" w:fill="auto"/>
            <w:vAlign w:val="center"/>
            <w:hideMark/>
          </w:tcPr>
          <w:p w14:paraId="5D6C198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Durvalumab plus tremelimumab and platinum-etoposide</w:t>
            </w:r>
          </w:p>
        </w:tc>
        <w:tc>
          <w:tcPr>
            <w:tcW w:w="2694" w:type="dxa"/>
            <w:gridSpan w:val="2"/>
            <w:shd w:val="clear" w:color="auto" w:fill="auto"/>
            <w:noWrap/>
            <w:vAlign w:val="center"/>
            <w:hideMark/>
          </w:tcPr>
          <w:p w14:paraId="171BFA9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Small cell lung cancer</w:t>
            </w:r>
          </w:p>
        </w:tc>
        <w:tc>
          <w:tcPr>
            <w:tcW w:w="6538" w:type="dxa"/>
            <w:gridSpan w:val="2"/>
            <w:shd w:val="clear" w:color="auto" w:fill="auto"/>
            <w:vAlign w:val="center"/>
            <w:hideMark/>
          </w:tcPr>
          <w:p w14:paraId="2769C66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Goldman JW, Dvorkin M, Chen Y, Reinmuth N, Hotta K, Trukhin D, Statsenko G, Hochmair MJ, Özgüroğlu M, Ji JH, Garassino MC, Voitko O, Poltoratskiy A, Ponce S, Verderame F, Havel L, Bondarenko I, Każarnowicz A, Losonczy G, Conev NV, Armstrong J, Byrne N, Thiyagarajah P, Jiang H, Paz-Ares L; CASPIAN investigators. Durvalumab, with or without tremelimumab, plus platinum-etoposide versus platinum-etoposide alone in first-line treatment of extensive-stage small-cell lung cancer (CASPIAN): updated results from a randomised, controlled, open-label, phase 3 trial. Lancet Oncol. 2021 Jan;22(1):51-65. doi: 10.1016/S1470-2045(20)30539-8. Epub 2020 Dec 4. PMID: 33285097.</w:t>
            </w:r>
          </w:p>
        </w:tc>
      </w:tr>
      <w:tr w:rsidR="00542C3C" w:rsidRPr="00CD407E" w14:paraId="1AAF6121" w14:textId="77777777" w:rsidTr="009622A0">
        <w:trPr>
          <w:gridAfter w:val="1"/>
          <w:wAfter w:w="89" w:type="dxa"/>
          <w:trHeight w:val="1030"/>
        </w:trPr>
        <w:tc>
          <w:tcPr>
            <w:tcW w:w="741" w:type="dxa"/>
            <w:shd w:val="clear" w:color="auto" w:fill="auto"/>
            <w:noWrap/>
            <w:vAlign w:val="center"/>
            <w:hideMark/>
          </w:tcPr>
          <w:p w14:paraId="469EED12"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N-118</w:t>
            </w:r>
          </w:p>
        </w:tc>
        <w:tc>
          <w:tcPr>
            <w:tcW w:w="1257" w:type="dxa"/>
            <w:shd w:val="clear" w:color="auto" w:fill="auto"/>
            <w:noWrap/>
            <w:vAlign w:val="center"/>
            <w:hideMark/>
          </w:tcPr>
          <w:p w14:paraId="59F9945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NCT01188187</w:t>
            </w:r>
          </w:p>
        </w:tc>
        <w:tc>
          <w:tcPr>
            <w:tcW w:w="2208" w:type="dxa"/>
            <w:gridSpan w:val="2"/>
            <w:shd w:val="clear" w:color="auto" w:fill="auto"/>
            <w:vAlign w:val="center"/>
            <w:hideMark/>
          </w:tcPr>
          <w:p w14:paraId="56BDC944"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Custirsen plus docetaxel and prednisone</w:t>
            </w:r>
          </w:p>
        </w:tc>
        <w:tc>
          <w:tcPr>
            <w:tcW w:w="2694" w:type="dxa"/>
            <w:gridSpan w:val="2"/>
            <w:shd w:val="clear" w:color="auto" w:fill="auto"/>
            <w:noWrap/>
            <w:vAlign w:val="center"/>
            <w:hideMark/>
          </w:tcPr>
          <w:p w14:paraId="49DF1DDA"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Prostate cancer</w:t>
            </w:r>
          </w:p>
        </w:tc>
        <w:tc>
          <w:tcPr>
            <w:tcW w:w="6538" w:type="dxa"/>
            <w:gridSpan w:val="2"/>
            <w:shd w:val="clear" w:color="auto" w:fill="auto"/>
            <w:vAlign w:val="center"/>
            <w:hideMark/>
          </w:tcPr>
          <w:p w14:paraId="0F89207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Chi KN, Higano CS, Blumenstein B, Ferrero JM, Reeves J, Feyerabend S, Gravis G, Merseburger AS, Stenzl A, Bergman AM, Mukherjee SD, Zalewski P, Saad F, Jacobs C, Gleave M, de Bono JS. Custirsen in combination with docetaxel and prednisone for patients with metastatic castration-resistant prostate cancer (SYNERGY trial): a phase 3, multicentre, open-label, randomised trial. Lancet Oncol. 2017 Apr;18(4):473-485. doi: 10.1016/S1470-2045(17)30168-7. Epub 2017 Mar 8. PMID: 28283282.</w:t>
            </w:r>
          </w:p>
        </w:tc>
      </w:tr>
      <w:tr w:rsidR="00542C3C" w:rsidRPr="00CD407E" w14:paraId="0213463B" w14:textId="77777777" w:rsidTr="009622A0">
        <w:trPr>
          <w:gridAfter w:val="1"/>
          <w:wAfter w:w="89" w:type="dxa"/>
          <w:trHeight w:val="1030"/>
        </w:trPr>
        <w:tc>
          <w:tcPr>
            <w:tcW w:w="741" w:type="dxa"/>
            <w:shd w:val="clear" w:color="auto" w:fill="auto"/>
            <w:noWrap/>
            <w:vAlign w:val="center"/>
            <w:hideMark/>
          </w:tcPr>
          <w:p w14:paraId="552DF80B" w14:textId="77777777" w:rsidR="00542C3C" w:rsidRPr="00CD407E" w:rsidRDefault="00542C3C" w:rsidP="009622A0">
            <w:pPr>
              <w:spacing w:after="0" w:line="240" w:lineRule="auto"/>
              <w:rPr>
                <w:rFonts w:ascii="Calibri" w:eastAsia="Times New Roman" w:hAnsi="Calibri" w:cs="Calibri"/>
                <w:noProof w:val="0"/>
                <w:color w:val="000000"/>
              </w:rPr>
            </w:pPr>
            <w:r w:rsidRPr="00CD407E">
              <w:rPr>
                <w:rFonts w:ascii="Calibri" w:eastAsia="Times New Roman" w:hAnsi="Calibri" w:cs="Calibri"/>
                <w:noProof w:val="0"/>
                <w:color w:val="000000"/>
              </w:rPr>
              <w:t>N-119</w:t>
            </w:r>
          </w:p>
        </w:tc>
        <w:tc>
          <w:tcPr>
            <w:tcW w:w="1257" w:type="dxa"/>
            <w:shd w:val="clear" w:color="auto" w:fill="auto"/>
            <w:noWrap/>
            <w:vAlign w:val="center"/>
            <w:hideMark/>
          </w:tcPr>
          <w:p w14:paraId="5F919BA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NCT00825955</w:t>
            </w:r>
          </w:p>
        </w:tc>
        <w:tc>
          <w:tcPr>
            <w:tcW w:w="2208" w:type="dxa"/>
            <w:gridSpan w:val="2"/>
            <w:shd w:val="clear" w:color="auto" w:fill="auto"/>
            <w:vAlign w:val="center"/>
            <w:hideMark/>
          </w:tcPr>
          <w:p w14:paraId="700D57D1"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Brivanib plus BSC</w:t>
            </w:r>
          </w:p>
        </w:tc>
        <w:tc>
          <w:tcPr>
            <w:tcW w:w="2694" w:type="dxa"/>
            <w:gridSpan w:val="2"/>
            <w:shd w:val="clear" w:color="auto" w:fill="auto"/>
            <w:noWrap/>
            <w:vAlign w:val="center"/>
            <w:hideMark/>
          </w:tcPr>
          <w:p w14:paraId="4AEEDA5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Hepatocellular carcinoma</w:t>
            </w:r>
          </w:p>
        </w:tc>
        <w:tc>
          <w:tcPr>
            <w:tcW w:w="6538" w:type="dxa"/>
            <w:gridSpan w:val="2"/>
            <w:shd w:val="clear" w:color="auto" w:fill="auto"/>
            <w:vAlign w:val="center"/>
            <w:hideMark/>
          </w:tcPr>
          <w:p w14:paraId="483A5D1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Llovet JM, Decaens T, Raoul JL, Boucher E, Kudo M, Chang C, Kang YK, Assenat E, Lim HY, Boige V, Mathurin P, Fartoux L, Lin DY, Bruix J, Poon RT, Sherman M, Blanc JF, Finn RS, Tak WY, Chao Y, Ezzeddine R, Liu D, Walters I, Park JW. Brivanib in patients with advanced hepatocellular carcinoma who were intolerant to sorafenib or for whom sorafenib failed: results from the randomized phase III BRISK-PS study. J Clin Oncol. 2013 Oct 1;31(28):3509-16. doi: 10.1200/JCO.2012.47.3009. Epub 2013 Aug 26. PMID: 23980090.</w:t>
            </w:r>
          </w:p>
        </w:tc>
      </w:tr>
      <w:tr w:rsidR="00542C3C" w:rsidRPr="00CD407E" w14:paraId="27499D2D" w14:textId="77777777" w:rsidTr="009622A0">
        <w:trPr>
          <w:gridAfter w:val="1"/>
          <w:wAfter w:w="89" w:type="dxa"/>
          <w:trHeight w:val="1230"/>
        </w:trPr>
        <w:tc>
          <w:tcPr>
            <w:tcW w:w="741" w:type="dxa"/>
            <w:shd w:val="clear" w:color="auto" w:fill="auto"/>
            <w:noWrap/>
            <w:vAlign w:val="center"/>
            <w:hideMark/>
          </w:tcPr>
          <w:p w14:paraId="387A025A" w14:textId="77777777" w:rsidR="00542C3C" w:rsidRPr="00CD407E" w:rsidRDefault="00542C3C" w:rsidP="009622A0">
            <w:pPr>
              <w:spacing w:after="0" w:line="240" w:lineRule="auto"/>
              <w:rPr>
                <w:rFonts w:ascii="Calibri" w:eastAsia="Times New Roman" w:hAnsi="Calibri" w:cs="Calibri"/>
                <w:noProof w:val="0"/>
                <w:color w:val="000000"/>
              </w:rPr>
            </w:pPr>
            <w:r w:rsidRPr="00CD407E">
              <w:rPr>
                <w:rFonts w:ascii="Calibri" w:eastAsia="Times New Roman" w:hAnsi="Calibri" w:cs="Calibri"/>
                <w:noProof w:val="0"/>
                <w:color w:val="000000"/>
              </w:rPr>
              <w:lastRenderedPageBreak/>
              <w:t>N-120</w:t>
            </w:r>
          </w:p>
        </w:tc>
        <w:tc>
          <w:tcPr>
            <w:tcW w:w="1257" w:type="dxa"/>
            <w:shd w:val="clear" w:color="auto" w:fill="auto"/>
            <w:noWrap/>
            <w:vAlign w:val="center"/>
            <w:hideMark/>
          </w:tcPr>
          <w:p w14:paraId="3BB9040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NCT02807636</w:t>
            </w:r>
          </w:p>
        </w:tc>
        <w:tc>
          <w:tcPr>
            <w:tcW w:w="2208" w:type="dxa"/>
            <w:gridSpan w:val="2"/>
            <w:shd w:val="clear" w:color="auto" w:fill="auto"/>
            <w:vAlign w:val="center"/>
            <w:hideMark/>
          </w:tcPr>
          <w:p w14:paraId="43DC360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Atezolizumab pluse platinum-based chemotherapy</w:t>
            </w:r>
          </w:p>
        </w:tc>
        <w:tc>
          <w:tcPr>
            <w:tcW w:w="2694" w:type="dxa"/>
            <w:gridSpan w:val="2"/>
            <w:shd w:val="clear" w:color="auto" w:fill="auto"/>
            <w:noWrap/>
            <w:vAlign w:val="center"/>
            <w:hideMark/>
          </w:tcPr>
          <w:p w14:paraId="721211F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Urothelial carcinoma</w:t>
            </w:r>
          </w:p>
        </w:tc>
        <w:tc>
          <w:tcPr>
            <w:tcW w:w="6538" w:type="dxa"/>
            <w:gridSpan w:val="2"/>
            <w:shd w:val="clear" w:color="auto" w:fill="auto"/>
            <w:vAlign w:val="center"/>
            <w:hideMark/>
          </w:tcPr>
          <w:p w14:paraId="3A4940D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Galsky MD, Arija JÁA, Bamias A, Davis ID, De Santis M, Kikuchi E, Garcia-Del-Muro X, De Giorgi U, Mencinger M, Izumi K, Panni S, Gumus M, Özgüroğlu M, Kalebasty AR, Park SH, Alekseev B, Schutz FA, Li JR, Ye D, Vogelzang NJ, Bernhard S, Tayama D, Mariathasan S, Mecke A, Thåström A, Grande E; IMvigor130 Study Group. Atezolizumab with or without chemotherapy in metastatic urothelial cancer (IMvigor130): a multicentre, randomised, placebo-controlled phase 3 trial. Lancet. 2020 May 16;395(10236):1547-1557. doi: 10.1016/S0140-6736(20)30230-0. PMID: 32416780.</w:t>
            </w:r>
          </w:p>
        </w:tc>
      </w:tr>
      <w:tr w:rsidR="00542C3C" w:rsidRPr="00CD407E" w14:paraId="34AC43F4" w14:textId="77777777" w:rsidTr="009622A0">
        <w:trPr>
          <w:gridAfter w:val="1"/>
          <w:wAfter w:w="89" w:type="dxa"/>
          <w:trHeight w:val="1230"/>
        </w:trPr>
        <w:tc>
          <w:tcPr>
            <w:tcW w:w="741" w:type="dxa"/>
            <w:shd w:val="clear" w:color="auto" w:fill="auto"/>
            <w:noWrap/>
            <w:vAlign w:val="center"/>
            <w:hideMark/>
          </w:tcPr>
          <w:p w14:paraId="4E1F80BE" w14:textId="77777777" w:rsidR="00542C3C" w:rsidRPr="00CD407E" w:rsidRDefault="00542C3C" w:rsidP="009622A0">
            <w:pPr>
              <w:spacing w:after="0" w:line="240" w:lineRule="auto"/>
              <w:rPr>
                <w:rFonts w:ascii="Calibri" w:eastAsia="Times New Roman" w:hAnsi="Calibri" w:cs="Calibri"/>
                <w:noProof w:val="0"/>
                <w:color w:val="000000"/>
              </w:rPr>
            </w:pPr>
            <w:r w:rsidRPr="00CD407E">
              <w:rPr>
                <w:rFonts w:ascii="Calibri" w:eastAsia="Times New Roman" w:hAnsi="Calibri" w:cs="Calibri"/>
                <w:noProof w:val="0"/>
                <w:color w:val="000000"/>
              </w:rPr>
              <w:t>N-121</w:t>
            </w:r>
          </w:p>
        </w:tc>
        <w:tc>
          <w:tcPr>
            <w:tcW w:w="1257" w:type="dxa"/>
            <w:shd w:val="clear" w:color="auto" w:fill="auto"/>
            <w:noWrap/>
            <w:vAlign w:val="center"/>
            <w:hideMark/>
          </w:tcPr>
          <w:p w14:paraId="299AD81C"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NCT02807636</w:t>
            </w:r>
          </w:p>
        </w:tc>
        <w:tc>
          <w:tcPr>
            <w:tcW w:w="2208" w:type="dxa"/>
            <w:gridSpan w:val="2"/>
            <w:shd w:val="clear" w:color="auto" w:fill="auto"/>
            <w:vAlign w:val="center"/>
            <w:hideMark/>
          </w:tcPr>
          <w:p w14:paraId="346170E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Atezolizumab</w:t>
            </w:r>
          </w:p>
        </w:tc>
        <w:tc>
          <w:tcPr>
            <w:tcW w:w="2694" w:type="dxa"/>
            <w:gridSpan w:val="2"/>
            <w:shd w:val="clear" w:color="auto" w:fill="auto"/>
            <w:noWrap/>
            <w:vAlign w:val="center"/>
            <w:hideMark/>
          </w:tcPr>
          <w:p w14:paraId="193539B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Urothelial carcinoma</w:t>
            </w:r>
          </w:p>
        </w:tc>
        <w:tc>
          <w:tcPr>
            <w:tcW w:w="6538" w:type="dxa"/>
            <w:gridSpan w:val="2"/>
            <w:shd w:val="clear" w:color="auto" w:fill="auto"/>
            <w:vAlign w:val="center"/>
            <w:hideMark/>
          </w:tcPr>
          <w:p w14:paraId="29F4F01D"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Galsky MD, Arija JÁA, Bamias A, Davis ID, De Santis M, Kikuchi E, Garcia-Del-Muro X, De Giorgi U, Mencinger M, Izumi K, Panni S, Gumus M, Özgüroğlu M, Kalebasty AR, Park SH, Alekseev B, Schutz FA, Li JR, Ye D, Vogelzang NJ, Bernhard S, Tayama D, Mariathasan S, Mecke A, Thåström A, Grande E; IMvigor130 Study Group. Atezolizumab with or without chemotherapy in metastatic urothelial cancer (IMvigor130): a multicentre, randomised, placebo-controlled phase 3 trial. Lancet. 2020 May 16;395(10236):1547-1557. doi: 10.1016/S0140-6736(20)30230-0. PMID: 32416780.</w:t>
            </w:r>
          </w:p>
        </w:tc>
      </w:tr>
      <w:tr w:rsidR="00542C3C" w:rsidRPr="00CD407E" w14:paraId="498DE4E9" w14:textId="77777777" w:rsidTr="009622A0">
        <w:trPr>
          <w:gridAfter w:val="1"/>
          <w:wAfter w:w="89" w:type="dxa"/>
          <w:trHeight w:val="830"/>
        </w:trPr>
        <w:tc>
          <w:tcPr>
            <w:tcW w:w="741" w:type="dxa"/>
            <w:shd w:val="clear" w:color="auto" w:fill="auto"/>
            <w:noWrap/>
            <w:vAlign w:val="center"/>
            <w:hideMark/>
          </w:tcPr>
          <w:p w14:paraId="4FB7C30D"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N-122</w:t>
            </w:r>
          </w:p>
        </w:tc>
        <w:tc>
          <w:tcPr>
            <w:tcW w:w="1257" w:type="dxa"/>
            <w:shd w:val="clear" w:color="auto" w:fill="auto"/>
            <w:noWrap/>
            <w:vAlign w:val="center"/>
            <w:hideMark/>
          </w:tcPr>
          <w:p w14:paraId="57C2BAA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NCT01662869</w:t>
            </w:r>
          </w:p>
        </w:tc>
        <w:tc>
          <w:tcPr>
            <w:tcW w:w="2208" w:type="dxa"/>
            <w:gridSpan w:val="2"/>
            <w:shd w:val="clear" w:color="auto" w:fill="auto"/>
            <w:vAlign w:val="center"/>
            <w:hideMark/>
          </w:tcPr>
          <w:p w14:paraId="647EF52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Onartuzumab plus mFOLFOX6</w:t>
            </w:r>
          </w:p>
        </w:tc>
        <w:tc>
          <w:tcPr>
            <w:tcW w:w="2694" w:type="dxa"/>
            <w:gridSpan w:val="2"/>
            <w:shd w:val="clear" w:color="auto" w:fill="auto"/>
            <w:noWrap/>
            <w:vAlign w:val="center"/>
            <w:hideMark/>
          </w:tcPr>
          <w:p w14:paraId="758FAF4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Gastric cancer</w:t>
            </w:r>
          </w:p>
        </w:tc>
        <w:tc>
          <w:tcPr>
            <w:tcW w:w="6538" w:type="dxa"/>
            <w:gridSpan w:val="2"/>
            <w:shd w:val="clear" w:color="auto" w:fill="auto"/>
            <w:vAlign w:val="center"/>
            <w:hideMark/>
          </w:tcPr>
          <w:p w14:paraId="24436BD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Shah MA, Bang YJ, Lordick F, Alsina M, Chen M, Hack SP, Bruey JM, Smith D, McCaffery I, Shames DS, Phan S, Cunningham D. Effect of Fluorouracil, Leucovorin, and Oxaliplatin With or Without Onartuzumab in HER2-Negative, MET-Positive Gastroesophageal Adenocarcinoma: The METGastric Randomized Clinical Trial. JAMA Oncol. 2017 May 1;3(5):620-627. doi: 10.1001/jamaoncol.2016.5580. PMID: 27918764; PMCID: PMC5824210.</w:t>
            </w:r>
          </w:p>
        </w:tc>
      </w:tr>
      <w:tr w:rsidR="00542C3C" w:rsidRPr="00CD407E" w14:paraId="540126F1" w14:textId="77777777" w:rsidTr="009622A0">
        <w:trPr>
          <w:gridAfter w:val="1"/>
          <w:wAfter w:w="89" w:type="dxa"/>
          <w:trHeight w:val="1030"/>
        </w:trPr>
        <w:tc>
          <w:tcPr>
            <w:tcW w:w="741" w:type="dxa"/>
            <w:shd w:val="clear" w:color="auto" w:fill="auto"/>
            <w:noWrap/>
            <w:vAlign w:val="center"/>
            <w:hideMark/>
          </w:tcPr>
          <w:p w14:paraId="6393A080" w14:textId="77777777" w:rsidR="00542C3C" w:rsidRPr="00CD407E" w:rsidRDefault="00542C3C" w:rsidP="009622A0">
            <w:pPr>
              <w:spacing w:after="0" w:line="240" w:lineRule="auto"/>
              <w:rPr>
                <w:rFonts w:ascii="Calibri" w:eastAsia="Times New Roman" w:hAnsi="Calibri" w:cs="Calibri"/>
                <w:noProof w:val="0"/>
                <w:color w:val="000000"/>
              </w:rPr>
            </w:pPr>
            <w:r w:rsidRPr="00CD407E">
              <w:rPr>
                <w:rFonts w:ascii="Calibri" w:eastAsia="Times New Roman" w:hAnsi="Calibri" w:cs="Calibri"/>
                <w:noProof w:val="0"/>
                <w:color w:val="000000"/>
              </w:rPr>
              <w:t>N-123</w:t>
            </w:r>
          </w:p>
        </w:tc>
        <w:tc>
          <w:tcPr>
            <w:tcW w:w="1257" w:type="dxa"/>
            <w:shd w:val="clear" w:color="auto" w:fill="auto"/>
            <w:noWrap/>
            <w:vAlign w:val="center"/>
            <w:hideMark/>
          </w:tcPr>
          <w:p w14:paraId="318130E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NCT00085124</w:t>
            </w:r>
          </w:p>
        </w:tc>
        <w:tc>
          <w:tcPr>
            <w:tcW w:w="2208" w:type="dxa"/>
            <w:gridSpan w:val="2"/>
            <w:shd w:val="clear" w:color="auto" w:fill="auto"/>
            <w:vAlign w:val="center"/>
            <w:hideMark/>
          </w:tcPr>
          <w:p w14:paraId="443D148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Oblimersen plus chemotherapy</w:t>
            </w:r>
          </w:p>
        </w:tc>
        <w:tc>
          <w:tcPr>
            <w:tcW w:w="2694" w:type="dxa"/>
            <w:gridSpan w:val="2"/>
            <w:shd w:val="clear" w:color="auto" w:fill="auto"/>
            <w:noWrap/>
            <w:vAlign w:val="center"/>
            <w:hideMark/>
          </w:tcPr>
          <w:p w14:paraId="76499BB7"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Acute myeloid leukemia</w:t>
            </w:r>
          </w:p>
        </w:tc>
        <w:tc>
          <w:tcPr>
            <w:tcW w:w="6538" w:type="dxa"/>
            <w:gridSpan w:val="2"/>
            <w:shd w:val="clear" w:color="auto" w:fill="auto"/>
            <w:vAlign w:val="center"/>
            <w:hideMark/>
          </w:tcPr>
          <w:p w14:paraId="00E7B46B"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Walker AR, Marcucci G, Yin J, Blum W, Stock W, Kohlschmidt J, Mrózek K, Carroll AJ, Eisfeld AK, Wang ES, Jacobson S, Kolitz JE, Thakuri M, Sutamtewagul G, Vij R, Stuart RK, Byrd JC, Bloomfield CD, Stone RM, Larson RA. Phase 3 randomized trial of chemotherapy with or without oblimersen in older AML patients: CALGB 10201 (Alliance). Blood Adv. 2021 Jul 13;5(13):2775-2787. doi: 10.1182/bloodadvances.2021004233. PMID: 34251414; PMCID: PMC8288671.</w:t>
            </w:r>
          </w:p>
        </w:tc>
      </w:tr>
      <w:tr w:rsidR="00542C3C" w:rsidRPr="00CD407E" w14:paraId="49B745FC" w14:textId="77777777" w:rsidTr="009622A0">
        <w:trPr>
          <w:gridAfter w:val="1"/>
          <w:wAfter w:w="89" w:type="dxa"/>
          <w:trHeight w:val="1230"/>
        </w:trPr>
        <w:tc>
          <w:tcPr>
            <w:tcW w:w="741" w:type="dxa"/>
            <w:shd w:val="clear" w:color="auto" w:fill="auto"/>
            <w:noWrap/>
            <w:vAlign w:val="center"/>
            <w:hideMark/>
          </w:tcPr>
          <w:p w14:paraId="4B3FBCA0"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N-124</w:t>
            </w:r>
          </w:p>
        </w:tc>
        <w:tc>
          <w:tcPr>
            <w:tcW w:w="1257" w:type="dxa"/>
            <w:shd w:val="clear" w:color="auto" w:fill="auto"/>
            <w:noWrap/>
            <w:vAlign w:val="center"/>
            <w:hideMark/>
          </w:tcPr>
          <w:p w14:paraId="67341998"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NCT00128102</w:t>
            </w:r>
          </w:p>
        </w:tc>
        <w:tc>
          <w:tcPr>
            <w:tcW w:w="2208" w:type="dxa"/>
            <w:gridSpan w:val="2"/>
            <w:shd w:val="clear" w:color="auto" w:fill="auto"/>
            <w:vAlign w:val="center"/>
            <w:hideMark/>
          </w:tcPr>
          <w:p w14:paraId="54C6C36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Vorinostat</w:t>
            </w:r>
          </w:p>
        </w:tc>
        <w:tc>
          <w:tcPr>
            <w:tcW w:w="2694" w:type="dxa"/>
            <w:gridSpan w:val="2"/>
            <w:shd w:val="clear" w:color="auto" w:fill="auto"/>
            <w:noWrap/>
            <w:vAlign w:val="center"/>
            <w:hideMark/>
          </w:tcPr>
          <w:p w14:paraId="6842D819"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Mesothelioma</w:t>
            </w:r>
          </w:p>
        </w:tc>
        <w:tc>
          <w:tcPr>
            <w:tcW w:w="6538" w:type="dxa"/>
            <w:gridSpan w:val="2"/>
            <w:shd w:val="clear" w:color="auto" w:fill="auto"/>
            <w:vAlign w:val="center"/>
            <w:hideMark/>
          </w:tcPr>
          <w:p w14:paraId="6769323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Krug LM, Kindler HL, Calvert H, Manegold C, Tsao AS, Fennell D, Öhman R, Plummer R, Eberhardt WE, Fukuoka K, Gaafar RM, Lafitte JJ, Hillerdal G, Chu Q, Buikhuisen WA, Lubiniecki GM, Sun X, Smith M, Baas P. Vorinostat in patients with advanced malignant pleural mesothelioma who have progressed on previous chemotherapy (VANTAGE-014): a phase 3, double-blind, randomised, placebo-controlled trial. Lancet Oncol. 2015 Apr;16(4):447-56. doi: 10.1016/S1470-2045(15)70056-2. Epub 2015 Mar 20. Erratum in: Lancet Oncol. 2015 May;16(5):e199. PMID: 25800891.</w:t>
            </w:r>
          </w:p>
        </w:tc>
      </w:tr>
      <w:tr w:rsidR="00542C3C" w:rsidRPr="00CD407E" w14:paraId="32F74EA0" w14:textId="77777777" w:rsidTr="009622A0">
        <w:trPr>
          <w:gridAfter w:val="1"/>
          <w:wAfter w:w="89" w:type="dxa"/>
          <w:trHeight w:val="1030"/>
        </w:trPr>
        <w:tc>
          <w:tcPr>
            <w:tcW w:w="741" w:type="dxa"/>
            <w:shd w:val="clear" w:color="auto" w:fill="auto"/>
            <w:noWrap/>
            <w:vAlign w:val="center"/>
            <w:hideMark/>
          </w:tcPr>
          <w:p w14:paraId="1704B9A1" w14:textId="77777777" w:rsidR="00542C3C" w:rsidRPr="00CD407E" w:rsidRDefault="00542C3C" w:rsidP="009622A0">
            <w:pPr>
              <w:spacing w:after="0" w:line="240" w:lineRule="auto"/>
              <w:rPr>
                <w:rFonts w:ascii="Calibri" w:eastAsia="Times New Roman" w:hAnsi="Calibri" w:cs="Calibri"/>
                <w:noProof w:val="0"/>
                <w:color w:val="000000"/>
              </w:rPr>
            </w:pPr>
            <w:r w:rsidRPr="00CD407E">
              <w:rPr>
                <w:rFonts w:ascii="Calibri" w:eastAsia="Times New Roman" w:hAnsi="Calibri" w:cs="Calibri"/>
                <w:noProof w:val="0"/>
                <w:color w:val="000000"/>
              </w:rPr>
              <w:t>N-125</w:t>
            </w:r>
          </w:p>
        </w:tc>
        <w:tc>
          <w:tcPr>
            <w:tcW w:w="1257" w:type="dxa"/>
            <w:shd w:val="clear" w:color="auto" w:fill="auto"/>
            <w:noWrap/>
            <w:vAlign w:val="center"/>
            <w:hideMark/>
          </w:tcPr>
          <w:p w14:paraId="2B520A3D"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NCT02017717</w:t>
            </w:r>
          </w:p>
        </w:tc>
        <w:tc>
          <w:tcPr>
            <w:tcW w:w="2208" w:type="dxa"/>
            <w:gridSpan w:val="2"/>
            <w:shd w:val="clear" w:color="auto" w:fill="auto"/>
            <w:vAlign w:val="center"/>
            <w:hideMark/>
          </w:tcPr>
          <w:p w14:paraId="055F9B3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Nivolumab</w:t>
            </w:r>
          </w:p>
        </w:tc>
        <w:tc>
          <w:tcPr>
            <w:tcW w:w="2694" w:type="dxa"/>
            <w:gridSpan w:val="2"/>
            <w:shd w:val="clear" w:color="auto" w:fill="auto"/>
            <w:noWrap/>
            <w:vAlign w:val="center"/>
            <w:hideMark/>
          </w:tcPr>
          <w:p w14:paraId="3FD1F9F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Glioblastoma</w:t>
            </w:r>
          </w:p>
        </w:tc>
        <w:tc>
          <w:tcPr>
            <w:tcW w:w="6538" w:type="dxa"/>
            <w:gridSpan w:val="2"/>
            <w:shd w:val="clear" w:color="auto" w:fill="auto"/>
            <w:vAlign w:val="center"/>
            <w:hideMark/>
          </w:tcPr>
          <w:p w14:paraId="756EB3D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Reardon DA, Brandes AA, Omuro A, Mulholland P, Lim M, Wick A, Baehring J, Ahluwalia MS, Roth P, Bähr O, Phuphanich S, Sepulveda JM, De Souza P, Sahebjam S, Carleton M, Tatsuoka K, Taitt C, Zwirtes R, Sampson J, Weller M. Effect of Nivolumab vs Bevacizumab in Patients With Recurrent Glioblastoma: The CheckMate 143 Phase 3 Randomized Clinical Trial. JAMA Oncol. 2020 Jul 1;6(7):1003-1010. doi: 10.1001/jamaoncol.2020.1024. PMID: 32437507; PMCID: PMC7243167.</w:t>
            </w:r>
          </w:p>
        </w:tc>
      </w:tr>
      <w:tr w:rsidR="00542C3C" w:rsidRPr="00CD407E" w14:paraId="7DDC563F" w14:textId="77777777" w:rsidTr="009622A0">
        <w:trPr>
          <w:gridAfter w:val="1"/>
          <w:wAfter w:w="89" w:type="dxa"/>
          <w:trHeight w:val="1430"/>
        </w:trPr>
        <w:tc>
          <w:tcPr>
            <w:tcW w:w="741" w:type="dxa"/>
            <w:shd w:val="clear" w:color="auto" w:fill="auto"/>
            <w:noWrap/>
            <w:vAlign w:val="center"/>
            <w:hideMark/>
          </w:tcPr>
          <w:p w14:paraId="54901715"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N-126</w:t>
            </w:r>
          </w:p>
        </w:tc>
        <w:tc>
          <w:tcPr>
            <w:tcW w:w="1257" w:type="dxa"/>
            <w:shd w:val="clear" w:color="auto" w:fill="auto"/>
            <w:noWrap/>
            <w:vAlign w:val="center"/>
            <w:hideMark/>
          </w:tcPr>
          <w:p w14:paraId="36D25AF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NCT01440088</w:t>
            </w:r>
          </w:p>
        </w:tc>
        <w:tc>
          <w:tcPr>
            <w:tcW w:w="2208" w:type="dxa"/>
            <w:gridSpan w:val="2"/>
            <w:shd w:val="clear" w:color="auto" w:fill="auto"/>
            <w:vAlign w:val="center"/>
            <w:hideMark/>
          </w:tcPr>
          <w:p w14:paraId="3EF99E5C"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Evofosfamide plus doxorubicin</w:t>
            </w:r>
          </w:p>
        </w:tc>
        <w:tc>
          <w:tcPr>
            <w:tcW w:w="2694" w:type="dxa"/>
            <w:gridSpan w:val="2"/>
            <w:shd w:val="clear" w:color="auto" w:fill="auto"/>
            <w:noWrap/>
            <w:vAlign w:val="center"/>
            <w:hideMark/>
          </w:tcPr>
          <w:p w14:paraId="093D125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Soft tissue sarcoma</w:t>
            </w:r>
          </w:p>
        </w:tc>
        <w:tc>
          <w:tcPr>
            <w:tcW w:w="6538" w:type="dxa"/>
            <w:gridSpan w:val="2"/>
            <w:shd w:val="clear" w:color="auto" w:fill="auto"/>
            <w:vAlign w:val="center"/>
            <w:hideMark/>
          </w:tcPr>
          <w:p w14:paraId="06F4F15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Tap WD, Papai Z, Van Tine BA, Attia S, Ganjoo KN, Jones RL, Schuetze S, Reed D, Chawla SP, Riedel RF, Krarup-Hansen A, Toulmonde M, Ray-Coquard I, Hohenberger P, Grignani G, Cranmer LD, Okuno S, Agulnik M, Read W, Ryan CW, Alcindor T, Del Muro XFG, Budd GT, Tawbi H, Pearce T, Kroll S, Reinke DK, Schöffski P. Doxorubicin plus evofosfamide versus doxorubicin alone in locally advanced, unresectable or metastatic soft-tissue sarcoma (TH CR-406/SARC021): an international, multicentre, open-label, randomised phase 3 trial. Lancet Oncol. 2017 Aug;18(8):1089-1103. doi: 10.1016/S1470-2045(17)30381-9. Epub 2017 Jun 23. Erratum in: Lancet Oncol. 2018 Feb;19(2):e78. PMID: 28651927; PMCID: PMC7771354.</w:t>
            </w:r>
          </w:p>
        </w:tc>
      </w:tr>
      <w:tr w:rsidR="00542C3C" w:rsidRPr="00CD407E" w14:paraId="1D12949F" w14:textId="77777777" w:rsidTr="009622A0">
        <w:trPr>
          <w:gridAfter w:val="1"/>
          <w:wAfter w:w="89" w:type="dxa"/>
          <w:trHeight w:val="1030"/>
        </w:trPr>
        <w:tc>
          <w:tcPr>
            <w:tcW w:w="741" w:type="dxa"/>
            <w:shd w:val="clear" w:color="auto" w:fill="auto"/>
            <w:noWrap/>
            <w:vAlign w:val="center"/>
            <w:hideMark/>
          </w:tcPr>
          <w:p w14:paraId="08E5AA72"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N-127</w:t>
            </w:r>
          </w:p>
        </w:tc>
        <w:tc>
          <w:tcPr>
            <w:tcW w:w="1257" w:type="dxa"/>
            <w:shd w:val="clear" w:color="auto" w:fill="auto"/>
            <w:noWrap/>
            <w:vAlign w:val="center"/>
            <w:hideMark/>
          </w:tcPr>
          <w:p w14:paraId="6DC89F1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NCT02420821</w:t>
            </w:r>
          </w:p>
        </w:tc>
        <w:tc>
          <w:tcPr>
            <w:tcW w:w="2208" w:type="dxa"/>
            <w:gridSpan w:val="2"/>
            <w:shd w:val="clear" w:color="auto" w:fill="auto"/>
            <w:vAlign w:val="center"/>
            <w:hideMark/>
          </w:tcPr>
          <w:p w14:paraId="448D3B95"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Atezolizumab plus bevacizumab</w:t>
            </w:r>
          </w:p>
        </w:tc>
        <w:tc>
          <w:tcPr>
            <w:tcW w:w="2694" w:type="dxa"/>
            <w:gridSpan w:val="2"/>
            <w:shd w:val="clear" w:color="auto" w:fill="auto"/>
            <w:noWrap/>
            <w:vAlign w:val="center"/>
            <w:hideMark/>
          </w:tcPr>
          <w:p w14:paraId="79339C5E"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Renal cell carcinoma</w:t>
            </w:r>
          </w:p>
        </w:tc>
        <w:tc>
          <w:tcPr>
            <w:tcW w:w="6538" w:type="dxa"/>
            <w:gridSpan w:val="2"/>
            <w:shd w:val="clear" w:color="auto" w:fill="auto"/>
            <w:vAlign w:val="center"/>
            <w:hideMark/>
          </w:tcPr>
          <w:p w14:paraId="4C02A8CD"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Motzer RJ, Powles T, Atkins MB, Escudier B, McDermott DF, Alekseev BY, Lee JL, Suarez C, Stroyakovskiy D, De Giorgi U, Donskov F, Mellado B, Banchereau R, Hamidi H, Khan O, Craine V, Huseni M, Flinn N, Dubey S, Rini BI. Final Overall Survival and Molecular Analysis in IMmotion151, a Phase 3 Trial Comparing Atezolizumab Plus Bevacizumab vs Sunitinib in Patients With Previously Untreated Metastatic Renal Cell Carcinoma. JAMA Oncol. 2022 Feb 1;8(2):275-280. doi: 10.1001/jamaoncol.2021.5981. PMID: 34940781; PMCID: PMC8855230.</w:t>
            </w:r>
          </w:p>
        </w:tc>
      </w:tr>
      <w:tr w:rsidR="00542C3C" w:rsidRPr="00CD407E" w14:paraId="04B85E87" w14:textId="77777777" w:rsidTr="009622A0">
        <w:trPr>
          <w:gridAfter w:val="1"/>
          <w:wAfter w:w="89" w:type="dxa"/>
          <w:trHeight w:val="1430"/>
        </w:trPr>
        <w:tc>
          <w:tcPr>
            <w:tcW w:w="741" w:type="dxa"/>
            <w:shd w:val="clear" w:color="auto" w:fill="auto"/>
            <w:noWrap/>
            <w:vAlign w:val="center"/>
            <w:hideMark/>
          </w:tcPr>
          <w:p w14:paraId="6CDC4A90" w14:textId="77777777" w:rsidR="00542C3C" w:rsidRPr="00CD407E" w:rsidRDefault="00542C3C" w:rsidP="009622A0">
            <w:pPr>
              <w:spacing w:after="0" w:line="240" w:lineRule="auto"/>
              <w:rPr>
                <w:rFonts w:ascii="Calibri" w:eastAsia="Times New Roman" w:hAnsi="Calibri" w:cs="Calibri"/>
                <w:noProof w:val="0"/>
                <w:color w:val="000000"/>
              </w:rPr>
            </w:pPr>
            <w:r w:rsidRPr="00CD407E">
              <w:rPr>
                <w:rFonts w:ascii="Calibri" w:eastAsia="Times New Roman" w:hAnsi="Calibri" w:cs="Calibri"/>
                <w:noProof w:val="0"/>
                <w:color w:val="000000"/>
              </w:rPr>
              <w:lastRenderedPageBreak/>
              <w:t>N-128</w:t>
            </w:r>
          </w:p>
        </w:tc>
        <w:tc>
          <w:tcPr>
            <w:tcW w:w="1257" w:type="dxa"/>
            <w:shd w:val="clear" w:color="auto" w:fill="auto"/>
            <w:noWrap/>
            <w:vAlign w:val="center"/>
            <w:hideMark/>
          </w:tcPr>
          <w:p w14:paraId="5A2555FF"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NCT03038100</w:t>
            </w:r>
          </w:p>
        </w:tc>
        <w:tc>
          <w:tcPr>
            <w:tcW w:w="2208" w:type="dxa"/>
            <w:gridSpan w:val="2"/>
            <w:shd w:val="clear" w:color="auto" w:fill="auto"/>
            <w:vAlign w:val="center"/>
            <w:hideMark/>
          </w:tcPr>
          <w:p w14:paraId="6560EFD3"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Atezolizumab plus bevacizumab and chemotherapy</w:t>
            </w:r>
          </w:p>
        </w:tc>
        <w:tc>
          <w:tcPr>
            <w:tcW w:w="2694" w:type="dxa"/>
            <w:gridSpan w:val="2"/>
            <w:shd w:val="clear" w:color="auto" w:fill="auto"/>
            <w:noWrap/>
            <w:vAlign w:val="center"/>
            <w:hideMark/>
          </w:tcPr>
          <w:p w14:paraId="52DD69D6"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Ovarian cancer</w:t>
            </w:r>
          </w:p>
        </w:tc>
        <w:tc>
          <w:tcPr>
            <w:tcW w:w="6538" w:type="dxa"/>
            <w:gridSpan w:val="2"/>
            <w:shd w:val="clear" w:color="auto" w:fill="auto"/>
            <w:vAlign w:val="center"/>
            <w:hideMark/>
          </w:tcPr>
          <w:p w14:paraId="13321E1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Moore KN, Bookman M, Sehouli J, Miller A, Anderson C, Scambia G, Myers T, Taskiran C, Robison K, Mäenpää J, Willmott L, Colombo N, Thomes-Pepin J, Liontos M, Gold MA, Garcia Y, Sharma SK, Darus CJ, Aghajanian C, Okamoto A, Wu X, Safin R, Wu F, Molinero L, Maiya V, Khor VK, Lin YG, Pignata S. Atezolizumab, Bevacizumab, and Chemotherapy for Newly Diagnosed Stage III or IV Ovarian Cancer: Placebo-Controlled Randomized Phase III Trial (IMagyn050/GOG 3015/ENGOT-OV39). J Clin Oncol. 2021 Jun 10;39(17):1842-1855. doi: 10.1200/JCO.21.00306. Epub 2021 Apr 23. Erratum in: J Clin Oncol. 2021 Jul 20;39(21):2420. PMID: 33891472; PMCID: PMC8189598.</w:t>
            </w:r>
          </w:p>
        </w:tc>
      </w:tr>
      <w:tr w:rsidR="00542C3C" w:rsidRPr="00CD407E" w14:paraId="4EB4DA87" w14:textId="77777777" w:rsidTr="009622A0">
        <w:trPr>
          <w:gridAfter w:val="1"/>
          <w:wAfter w:w="89" w:type="dxa"/>
          <w:trHeight w:val="1230"/>
        </w:trPr>
        <w:tc>
          <w:tcPr>
            <w:tcW w:w="741" w:type="dxa"/>
            <w:shd w:val="clear" w:color="auto" w:fill="auto"/>
            <w:noWrap/>
            <w:vAlign w:val="center"/>
            <w:hideMark/>
          </w:tcPr>
          <w:p w14:paraId="300F072F" w14:textId="77777777" w:rsidR="00542C3C" w:rsidRPr="00CD407E" w:rsidRDefault="00542C3C" w:rsidP="009622A0">
            <w:pPr>
              <w:spacing w:after="0" w:line="240" w:lineRule="auto"/>
              <w:rPr>
                <w:rFonts w:ascii="Arial" w:eastAsia="Times New Roman" w:hAnsi="Arial" w:cs="Arial"/>
                <w:noProof w:val="0"/>
              </w:rPr>
            </w:pPr>
            <w:r w:rsidRPr="00CD407E">
              <w:rPr>
                <w:rFonts w:ascii="Arial" w:eastAsia="Times New Roman" w:hAnsi="Arial" w:cs="Arial"/>
                <w:noProof w:val="0"/>
              </w:rPr>
              <w:t>N-129</w:t>
            </w:r>
          </w:p>
        </w:tc>
        <w:tc>
          <w:tcPr>
            <w:tcW w:w="1257" w:type="dxa"/>
            <w:shd w:val="clear" w:color="auto" w:fill="auto"/>
            <w:noWrap/>
            <w:vAlign w:val="center"/>
            <w:hideMark/>
          </w:tcPr>
          <w:p w14:paraId="4B935B0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NCT02928224</w:t>
            </w:r>
          </w:p>
        </w:tc>
        <w:tc>
          <w:tcPr>
            <w:tcW w:w="2208" w:type="dxa"/>
            <w:gridSpan w:val="2"/>
            <w:shd w:val="clear" w:color="auto" w:fill="auto"/>
            <w:vAlign w:val="center"/>
            <w:hideMark/>
          </w:tcPr>
          <w:p w14:paraId="6F1739C2"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Encorafenib plus binimetinib and cetuximab</w:t>
            </w:r>
          </w:p>
        </w:tc>
        <w:tc>
          <w:tcPr>
            <w:tcW w:w="2694" w:type="dxa"/>
            <w:gridSpan w:val="2"/>
            <w:shd w:val="clear" w:color="auto" w:fill="auto"/>
            <w:noWrap/>
            <w:vAlign w:val="center"/>
            <w:hideMark/>
          </w:tcPr>
          <w:p w14:paraId="690FC61A"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Colorectal cancer</w:t>
            </w:r>
          </w:p>
        </w:tc>
        <w:tc>
          <w:tcPr>
            <w:tcW w:w="6538" w:type="dxa"/>
            <w:gridSpan w:val="2"/>
            <w:shd w:val="clear" w:color="auto" w:fill="auto"/>
            <w:vAlign w:val="center"/>
            <w:hideMark/>
          </w:tcPr>
          <w:p w14:paraId="1D2FD2C0" w14:textId="77777777" w:rsidR="00542C3C" w:rsidRPr="00CD407E" w:rsidRDefault="00542C3C" w:rsidP="009622A0">
            <w:pPr>
              <w:spacing w:after="0" w:line="240" w:lineRule="auto"/>
              <w:rPr>
                <w:rFonts w:ascii="Arial" w:eastAsia="Times New Roman" w:hAnsi="Arial" w:cs="Arial"/>
                <w:noProof w:val="0"/>
                <w:color w:val="000000"/>
              </w:rPr>
            </w:pPr>
            <w:r w:rsidRPr="00CD407E">
              <w:rPr>
                <w:rFonts w:ascii="Arial" w:eastAsia="Times New Roman" w:hAnsi="Arial" w:cs="Arial"/>
                <w:noProof w:val="0"/>
                <w:color w:val="000000"/>
              </w:rPr>
              <w:t>Kopetz S, Grothey A, Yaeger R, Van Cutsem E, Desai J, Yoshino T, Wasan H, Ciardiello F, Loupakis F, Hong YS, Steeghs N, Guren TK, Arkenau HT, Garcia-Alfonso P, Pfeiffer P, Orlov S, Lonardi S, Elez E, Kim TW, Schellens JHM, Guo C, Krishnan A, Dekervel J, Morris V, Calvo Ferrandiz A, Tarpgaard LS, Braun M, Gollerkeri A, Keir C, Maharry K, Pickard M, Christy-Bittel J, Anderson L, Sandor V, Tabernero J. Encorafenib, Binimetinib, and Cetuximab in BRAF V600E-Mutated Colorectal Cancer. N Engl J Med. 2019 Oct 24;381(17):1632-1643. doi: 10.1056/NEJMoa1908075. Epub 2019 Sep 30. PMID: 31566309.</w:t>
            </w:r>
          </w:p>
        </w:tc>
      </w:tr>
    </w:tbl>
    <w:p w14:paraId="0B305186" w14:textId="77777777" w:rsidR="00542C3C" w:rsidRDefault="00542C3C" w:rsidP="00542C3C">
      <w:pPr>
        <w:rPr>
          <w:rFonts w:ascii="Arial" w:hAnsi="Arial" w:cs="Arial"/>
          <w:sz w:val="22"/>
          <w:szCs w:val="22"/>
        </w:rPr>
      </w:pPr>
    </w:p>
    <w:p w14:paraId="6CA8190A" w14:textId="2709748A" w:rsidR="00BF5BBA" w:rsidRPr="003E3653" w:rsidRDefault="00542C3C" w:rsidP="00542C3C">
      <w:pPr>
        <w:jc w:val="center"/>
        <w:rPr>
          <w:rFonts w:ascii="Arial" w:hAnsi="Arial" w:cs="Arial"/>
          <w:b/>
          <w:bCs/>
          <w:sz w:val="22"/>
          <w:szCs w:val="22"/>
        </w:rPr>
      </w:pPr>
      <w:r>
        <w:rPr>
          <w:rFonts w:ascii="Arial" w:hAnsi="Arial" w:cs="Arial"/>
          <w:sz w:val="22"/>
          <w:szCs w:val="22"/>
        </w:rPr>
        <w:br w:type="page"/>
      </w:r>
      <w:r w:rsidR="004E19A0" w:rsidRPr="004E19A0">
        <w:rPr>
          <w:rFonts w:ascii="Arial" w:hAnsi="Arial" w:cs="Arial"/>
          <w:b/>
          <w:bCs/>
          <w:sz w:val="22"/>
          <w:szCs w:val="22"/>
        </w:rPr>
        <w:lastRenderedPageBreak/>
        <w:t xml:space="preserve">Table </w:t>
      </w:r>
      <w:r w:rsidR="004E19A0" w:rsidRPr="004E19A0">
        <w:rPr>
          <w:rFonts w:ascii="Arial" w:eastAsia="MS Mincho" w:hAnsi="Arial" w:cs="Arial" w:hint="eastAsia"/>
          <w:b/>
          <w:bCs/>
          <w:sz w:val="22"/>
          <w:szCs w:val="22"/>
        </w:rPr>
        <w:t>S</w:t>
      </w:r>
      <w:r w:rsidR="004E19A0" w:rsidRPr="004E19A0">
        <w:rPr>
          <w:rFonts w:ascii="Arial" w:hAnsi="Arial" w:cs="Arial"/>
          <w:b/>
          <w:bCs/>
          <w:sz w:val="22"/>
          <w:szCs w:val="22"/>
        </w:rPr>
        <w:t>2</w:t>
      </w:r>
      <w:r w:rsidR="006D1E89" w:rsidRPr="004E19A0">
        <w:rPr>
          <w:rFonts w:ascii="Arial" w:hAnsi="Arial" w:cs="Arial"/>
          <w:b/>
          <w:bCs/>
          <w:sz w:val="22"/>
          <w:szCs w:val="22"/>
        </w:rPr>
        <w:t xml:space="preserve">  Drugs</w:t>
      </w:r>
      <w:r w:rsidR="006D1E89" w:rsidRPr="003E3653">
        <w:rPr>
          <w:rFonts w:ascii="Arial" w:hAnsi="Arial" w:cs="Arial"/>
          <w:b/>
          <w:bCs/>
          <w:sz w:val="22"/>
          <w:szCs w:val="22"/>
        </w:rPr>
        <w:t xml:space="preserve"> </w:t>
      </w:r>
      <w:r w:rsidR="006D1E89">
        <w:rPr>
          <w:rFonts w:ascii="Arial" w:hAnsi="Arial" w:cs="Arial"/>
          <w:b/>
          <w:bCs/>
          <w:sz w:val="22"/>
          <w:szCs w:val="22"/>
        </w:rPr>
        <w:t xml:space="preserve">for which FDA convened </w:t>
      </w:r>
      <w:r w:rsidR="006D1E89" w:rsidRPr="003E3653">
        <w:rPr>
          <w:rFonts w:ascii="Arial" w:hAnsi="Arial" w:cs="Arial"/>
          <w:b/>
          <w:bCs/>
          <w:sz w:val="22"/>
          <w:szCs w:val="22"/>
        </w:rPr>
        <w:t>ODAC</w:t>
      </w:r>
    </w:p>
    <w:tbl>
      <w:tblPr>
        <w:tblW w:w="13590" w:type="dxa"/>
        <w:tblLook w:val="04A0" w:firstRow="1" w:lastRow="0" w:firstColumn="1" w:lastColumn="0" w:noHBand="0" w:noVBand="1"/>
      </w:tblPr>
      <w:tblGrid>
        <w:gridCol w:w="2250"/>
        <w:gridCol w:w="1890"/>
        <w:gridCol w:w="1890"/>
        <w:gridCol w:w="1890"/>
        <w:gridCol w:w="1890"/>
        <w:gridCol w:w="1890"/>
        <w:gridCol w:w="1890"/>
      </w:tblGrid>
      <w:tr w:rsidR="00F13AC4" w14:paraId="3B0F5830" w14:textId="77777777" w:rsidTr="0070527A">
        <w:trPr>
          <w:trHeight w:val="290"/>
        </w:trPr>
        <w:tc>
          <w:tcPr>
            <w:tcW w:w="2250" w:type="dxa"/>
            <w:tcBorders>
              <w:top w:val="single" w:sz="4" w:space="0" w:color="auto"/>
              <w:left w:val="nil"/>
              <w:bottom w:val="double" w:sz="6" w:space="0" w:color="auto"/>
              <w:right w:val="nil"/>
            </w:tcBorders>
            <w:shd w:val="clear" w:color="000000" w:fill="FFFFFF"/>
            <w:vAlign w:val="center"/>
            <w:hideMark/>
          </w:tcPr>
          <w:p w14:paraId="07D5881A" w14:textId="77777777" w:rsidR="00BF5BBA" w:rsidRPr="00635922" w:rsidRDefault="006D1E89" w:rsidP="0070527A">
            <w:pPr>
              <w:spacing w:after="0" w:line="240" w:lineRule="auto"/>
              <w:rPr>
                <w:rFonts w:ascii="Arial" w:eastAsia="Times New Roman" w:hAnsi="Arial" w:cs="Arial"/>
                <w:b/>
                <w:bCs/>
                <w:noProof w:val="0"/>
                <w:color w:val="000000"/>
              </w:rPr>
            </w:pPr>
            <w:r w:rsidRPr="00635922">
              <w:rPr>
                <w:rFonts w:ascii="Arial" w:eastAsia="Times New Roman" w:hAnsi="Arial" w:cs="Arial"/>
                <w:b/>
                <w:bCs/>
                <w:noProof w:val="0"/>
                <w:color w:val="000000"/>
              </w:rPr>
              <w:t>NCT number</w:t>
            </w:r>
          </w:p>
        </w:tc>
        <w:tc>
          <w:tcPr>
            <w:tcW w:w="1890" w:type="dxa"/>
            <w:tcBorders>
              <w:top w:val="single" w:sz="4" w:space="0" w:color="auto"/>
              <w:left w:val="nil"/>
              <w:bottom w:val="double" w:sz="6" w:space="0" w:color="auto"/>
              <w:right w:val="nil"/>
            </w:tcBorders>
            <w:shd w:val="clear" w:color="000000" w:fill="FFFFFF"/>
            <w:vAlign w:val="center"/>
            <w:hideMark/>
          </w:tcPr>
          <w:p w14:paraId="25D2FD7A"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NCT02039726</w:t>
            </w:r>
          </w:p>
        </w:tc>
        <w:tc>
          <w:tcPr>
            <w:tcW w:w="1890" w:type="dxa"/>
            <w:tcBorders>
              <w:top w:val="single" w:sz="4" w:space="0" w:color="auto"/>
              <w:left w:val="nil"/>
              <w:bottom w:val="double" w:sz="6" w:space="0" w:color="auto"/>
              <w:right w:val="nil"/>
            </w:tcBorders>
            <w:shd w:val="clear" w:color="000000" w:fill="FFFFFF"/>
            <w:vAlign w:val="center"/>
            <w:hideMark/>
          </w:tcPr>
          <w:p w14:paraId="2A52F55B"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NCT00065442</w:t>
            </w:r>
          </w:p>
        </w:tc>
        <w:tc>
          <w:tcPr>
            <w:tcW w:w="1890" w:type="dxa"/>
            <w:tcBorders>
              <w:top w:val="single" w:sz="4" w:space="0" w:color="auto"/>
              <w:left w:val="nil"/>
              <w:bottom w:val="double" w:sz="6" w:space="0" w:color="auto"/>
              <w:right w:val="nil"/>
            </w:tcBorders>
            <w:shd w:val="clear" w:color="000000" w:fill="FFFFFF"/>
            <w:vAlign w:val="center"/>
            <w:hideMark/>
          </w:tcPr>
          <w:p w14:paraId="4B9B7B33"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NCT02370498</w:t>
            </w:r>
          </w:p>
        </w:tc>
        <w:tc>
          <w:tcPr>
            <w:tcW w:w="1890" w:type="dxa"/>
            <w:tcBorders>
              <w:top w:val="single" w:sz="4" w:space="0" w:color="auto"/>
              <w:left w:val="nil"/>
              <w:bottom w:val="double" w:sz="6" w:space="0" w:color="auto"/>
              <w:right w:val="nil"/>
            </w:tcBorders>
            <w:shd w:val="clear" w:color="000000" w:fill="FFFFFF"/>
            <w:vAlign w:val="center"/>
            <w:hideMark/>
          </w:tcPr>
          <w:p w14:paraId="26D236E2"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NCT02807636</w:t>
            </w:r>
          </w:p>
        </w:tc>
        <w:tc>
          <w:tcPr>
            <w:tcW w:w="1890" w:type="dxa"/>
            <w:tcBorders>
              <w:top w:val="single" w:sz="4" w:space="0" w:color="auto"/>
              <w:left w:val="nil"/>
              <w:bottom w:val="double" w:sz="6" w:space="0" w:color="auto"/>
              <w:right w:val="nil"/>
            </w:tcBorders>
            <w:shd w:val="clear" w:color="000000" w:fill="FFFFFF"/>
            <w:vAlign w:val="center"/>
            <w:hideMark/>
          </w:tcPr>
          <w:p w14:paraId="69905065"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NCT02807636</w:t>
            </w:r>
          </w:p>
        </w:tc>
        <w:tc>
          <w:tcPr>
            <w:tcW w:w="1890" w:type="dxa"/>
            <w:tcBorders>
              <w:top w:val="single" w:sz="4" w:space="0" w:color="auto"/>
              <w:left w:val="nil"/>
              <w:bottom w:val="double" w:sz="6" w:space="0" w:color="auto"/>
              <w:right w:val="nil"/>
            </w:tcBorders>
            <w:shd w:val="clear" w:color="000000" w:fill="FFFFFF"/>
            <w:vAlign w:val="center"/>
            <w:hideMark/>
          </w:tcPr>
          <w:p w14:paraId="606919CB"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NCT02425891</w:t>
            </w:r>
          </w:p>
        </w:tc>
      </w:tr>
      <w:tr w:rsidR="00F13AC4" w14:paraId="23AD731A" w14:textId="77777777" w:rsidTr="0070527A">
        <w:trPr>
          <w:trHeight w:val="440"/>
        </w:trPr>
        <w:tc>
          <w:tcPr>
            <w:tcW w:w="2250" w:type="dxa"/>
            <w:tcBorders>
              <w:top w:val="nil"/>
              <w:left w:val="nil"/>
              <w:bottom w:val="single" w:sz="4" w:space="0" w:color="auto"/>
              <w:right w:val="nil"/>
            </w:tcBorders>
            <w:shd w:val="clear" w:color="000000" w:fill="FFFFFF"/>
            <w:vAlign w:val="center"/>
            <w:hideMark/>
          </w:tcPr>
          <w:p w14:paraId="56B7024D" w14:textId="77777777" w:rsidR="00BF5BBA" w:rsidRPr="00635922" w:rsidRDefault="006D1E89" w:rsidP="0070527A">
            <w:pPr>
              <w:spacing w:after="0" w:line="240" w:lineRule="auto"/>
              <w:rPr>
                <w:rFonts w:ascii="Arial" w:eastAsia="Times New Roman" w:hAnsi="Arial" w:cs="Arial"/>
                <w:b/>
                <w:bCs/>
                <w:noProof w:val="0"/>
                <w:color w:val="000000"/>
              </w:rPr>
            </w:pPr>
            <w:r w:rsidRPr="00635922">
              <w:rPr>
                <w:rFonts w:ascii="Arial" w:eastAsia="Times New Roman" w:hAnsi="Arial" w:cs="Arial"/>
                <w:b/>
                <w:bCs/>
                <w:noProof w:val="0"/>
                <w:color w:val="000000"/>
              </w:rPr>
              <w:t>Study name</w:t>
            </w:r>
          </w:p>
        </w:tc>
        <w:tc>
          <w:tcPr>
            <w:tcW w:w="1890" w:type="dxa"/>
            <w:tcBorders>
              <w:top w:val="nil"/>
              <w:left w:val="nil"/>
              <w:bottom w:val="single" w:sz="4" w:space="0" w:color="auto"/>
              <w:right w:val="nil"/>
            </w:tcBorders>
            <w:shd w:val="clear" w:color="000000" w:fill="FFFFFF"/>
            <w:vAlign w:val="center"/>
            <w:hideMark/>
          </w:tcPr>
          <w:p w14:paraId="45E02E25"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QuANTUM-R</w:t>
            </w:r>
          </w:p>
        </w:tc>
        <w:tc>
          <w:tcPr>
            <w:tcW w:w="1890" w:type="dxa"/>
            <w:tcBorders>
              <w:top w:val="nil"/>
              <w:left w:val="nil"/>
              <w:bottom w:val="single" w:sz="4" w:space="0" w:color="auto"/>
              <w:right w:val="nil"/>
            </w:tcBorders>
            <w:shd w:val="clear" w:color="000000" w:fill="FFFFFF"/>
            <w:vAlign w:val="center"/>
            <w:hideMark/>
          </w:tcPr>
          <w:p w14:paraId="44572A0B" w14:textId="02304792"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IM</w:t>
            </w:r>
            <w:r>
              <w:rPr>
                <w:rFonts w:ascii="Arial" w:eastAsia="Times New Roman" w:hAnsi="Arial" w:cs="Arial"/>
                <w:noProof w:val="0"/>
                <w:color w:val="000000"/>
              </w:rPr>
              <w:t>P</w:t>
            </w:r>
            <w:r w:rsidRPr="00635922">
              <w:rPr>
                <w:rFonts w:ascii="Arial" w:eastAsia="Times New Roman" w:hAnsi="Arial" w:cs="Arial"/>
                <w:noProof w:val="0"/>
                <w:color w:val="000000"/>
              </w:rPr>
              <w:t>ACT</w:t>
            </w:r>
          </w:p>
        </w:tc>
        <w:tc>
          <w:tcPr>
            <w:tcW w:w="1890" w:type="dxa"/>
            <w:tcBorders>
              <w:top w:val="nil"/>
              <w:left w:val="nil"/>
              <w:bottom w:val="single" w:sz="4" w:space="0" w:color="auto"/>
              <w:right w:val="nil"/>
            </w:tcBorders>
            <w:shd w:val="clear" w:color="000000" w:fill="FFFFFF"/>
            <w:vAlign w:val="center"/>
            <w:hideMark/>
          </w:tcPr>
          <w:p w14:paraId="5EF4B159"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KEYNOTE-061</w:t>
            </w:r>
          </w:p>
        </w:tc>
        <w:tc>
          <w:tcPr>
            <w:tcW w:w="1890" w:type="dxa"/>
            <w:tcBorders>
              <w:top w:val="nil"/>
              <w:left w:val="nil"/>
              <w:bottom w:val="single" w:sz="4" w:space="0" w:color="auto"/>
              <w:right w:val="nil"/>
            </w:tcBorders>
            <w:shd w:val="clear" w:color="000000" w:fill="FFFFFF"/>
            <w:vAlign w:val="center"/>
            <w:hideMark/>
          </w:tcPr>
          <w:p w14:paraId="6C449CDD"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IMvigor130</w:t>
            </w:r>
          </w:p>
        </w:tc>
        <w:tc>
          <w:tcPr>
            <w:tcW w:w="1890" w:type="dxa"/>
            <w:tcBorders>
              <w:top w:val="nil"/>
              <w:left w:val="nil"/>
              <w:bottom w:val="single" w:sz="4" w:space="0" w:color="auto"/>
              <w:right w:val="nil"/>
            </w:tcBorders>
            <w:shd w:val="clear" w:color="000000" w:fill="FFFFFF"/>
            <w:vAlign w:val="center"/>
            <w:hideMark/>
          </w:tcPr>
          <w:p w14:paraId="1F42BBF4"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IMvigor130</w:t>
            </w:r>
          </w:p>
        </w:tc>
        <w:tc>
          <w:tcPr>
            <w:tcW w:w="1890" w:type="dxa"/>
            <w:tcBorders>
              <w:top w:val="nil"/>
              <w:left w:val="nil"/>
              <w:bottom w:val="single" w:sz="4" w:space="0" w:color="auto"/>
              <w:right w:val="nil"/>
            </w:tcBorders>
            <w:shd w:val="clear" w:color="000000" w:fill="FFFFFF"/>
            <w:vAlign w:val="center"/>
            <w:hideMark/>
          </w:tcPr>
          <w:p w14:paraId="5E31483F"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IMpassion130</w:t>
            </w:r>
          </w:p>
        </w:tc>
      </w:tr>
      <w:tr w:rsidR="00F13AC4" w14:paraId="19675865" w14:textId="77777777" w:rsidTr="0070527A">
        <w:trPr>
          <w:trHeight w:val="1120"/>
        </w:trPr>
        <w:tc>
          <w:tcPr>
            <w:tcW w:w="2250" w:type="dxa"/>
            <w:tcBorders>
              <w:top w:val="nil"/>
              <w:left w:val="nil"/>
              <w:bottom w:val="single" w:sz="4" w:space="0" w:color="auto"/>
              <w:right w:val="nil"/>
            </w:tcBorders>
            <w:shd w:val="clear" w:color="000000" w:fill="FFFFFF"/>
            <w:vAlign w:val="center"/>
            <w:hideMark/>
          </w:tcPr>
          <w:p w14:paraId="50257A98" w14:textId="77777777" w:rsidR="00BF5BBA" w:rsidRPr="00635922" w:rsidRDefault="006D1E89" w:rsidP="0070527A">
            <w:pPr>
              <w:spacing w:after="0" w:line="240" w:lineRule="auto"/>
              <w:rPr>
                <w:rFonts w:ascii="Arial" w:eastAsia="Times New Roman" w:hAnsi="Arial" w:cs="Arial"/>
                <w:b/>
                <w:bCs/>
                <w:noProof w:val="0"/>
                <w:color w:val="000000"/>
              </w:rPr>
            </w:pPr>
            <w:r w:rsidRPr="00635922">
              <w:rPr>
                <w:rFonts w:ascii="Arial" w:eastAsia="Times New Roman" w:hAnsi="Arial" w:cs="Arial"/>
                <w:b/>
                <w:bCs/>
                <w:noProof w:val="0"/>
                <w:color w:val="000000"/>
              </w:rPr>
              <w:t>Study drug</w:t>
            </w:r>
          </w:p>
        </w:tc>
        <w:tc>
          <w:tcPr>
            <w:tcW w:w="1890" w:type="dxa"/>
            <w:tcBorders>
              <w:top w:val="nil"/>
              <w:left w:val="nil"/>
              <w:bottom w:val="single" w:sz="4" w:space="0" w:color="auto"/>
              <w:right w:val="nil"/>
            </w:tcBorders>
            <w:shd w:val="clear" w:color="000000" w:fill="FFFFFF"/>
            <w:vAlign w:val="center"/>
            <w:hideMark/>
          </w:tcPr>
          <w:p w14:paraId="48DD045E"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Quizartinib</w:t>
            </w:r>
          </w:p>
        </w:tc>
        <w:tc>
          <w:tcPr>
            <w:tcW w:w="1890" w:type="dxa"/>
            <w:tcBorders>
              <w:top w:val="nil"/>
              <w:left w:val="nil"/>
              <w:bottom w:val="single" w:sz="4" w:space="0" w:color="auto"/>
              <w:right w:val="nil"/>
            </w:tcBorders>
            <w:shd w:val="clear" w:color="000000" w:fill="FFFFFF"/>
            <w:vAlign w:val="center"/>
            <w:hideMark/>
          </w:tcPr>
          <w:p w14:paraId="61FD5A3F"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Sipuleucel-T</w:t>
            </w:r>
          </w:p>
        </w:tc>
        <w:tc>
          <w:tcPr>
            <w:tcW w:w="1890" w:type="dxa"/>
            <w:tcBorders>
              <w:top w:val="nil"/>
              <w:left w:val="nil"/>
              <w:bottom w:val="single" w:sz="4" w:space="0" w:color="auto"/>
              <w:right w:val="nil"/>
            </w:tcBorders>
            <w:shd w:val="clear" w:color="000000" w:fill="FFFFFF"/>
            <w:vAlign w:val="center"/>
            <w:hideMark/>
          </w:tcPr>
          <w:p w14:paraId="4F7C0365"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 xml:space="preserve">Pembrolizumab </w:t>
            </w:r>
          </w:p>
        </w:tc>
        <w:tc>
          <w:tcPr>
            <w:tcW w:w="1890" w:type="dxa"/>
            <w:tcBorders>
              <w:top w:val="nil"/>
              <w:left w:val="nil"/>
              <w:bottom w:val="single" w:sz="4" w:space="0" w:color="auto"/>
              <w:right w:val="nil"/>
            </w:tcBorders>
            <w:shd w:val="clear" w:color="000000" w:fill="FFFFFF"/>
            <w:vAlign w:val="center"/>
            <w:hideMark/>
          </w:tcPr>
          <w:p w14:paraId="639B11BB"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Atezolizumab plus platinum-based chemotherapy (Gemcitabine plus Carboplatin or Cisplatin)</w:t>
            </w:r>
          </w:p>
        </w:tc>
        <w:tc>
          <w:tcPr>
            <w:tcW w:w="1890" w:type="dxa"/>
            <w:tcBorders>
              <w:top w:val="nil"/>
              <w:left w:val="nil"/>
              <w:bottom w:val="single" w:sz="4" w:space="0" w:color="auto"/>
              <w:right w:val="nil"/>
            </w:tcBorders>
            <w:shd w:val="clear" w:color="000000" w:fill="FFFFFF"/>
            <w:vAlign w:val="center"/>
            <w:hideMark/>
          </w:tcPr>
          <w:p w14:paraId="4F041D2E"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Atezolizumab</w:t>
            </w:r>
          </w:p>
        </w:tc>
        <w:tc>
          <w:tcPr>
            <w:tcW w:w="1890" w:type="dxa"/>
            <w:tcBorders>
              <w:top w:val="nil"/>
              <w:left w:val="nil"/>
              <w:bottom w:val="single" w:sz="4" w:space="0" w:color="auto"/>
              <w:right w:val="nil"/>
            </w:tcBorders>
            <w:shd w:val="clear" w:color="000000" w:fill="FFFFFF"/>
            <w:vAlign w:val="center"/>
            <w:hideMark/>
          </w:tcPr>
          <w:p w14:paraId="6BE05D47"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Atezolizumab plus nab-paclitaxel</w:t>
            </w:r>
          </w:p>
        </w:tc>
      </w:tr>
      <w:tr w:rsidR="00F13AC4" w14:paraId="4C8A75C3" w14:textId="77777777" w:rsidTr="0070527A">
        <w:trPr>
          <w:trHeight w:val="840"/>
        </w:trPr>
        <w:tc>
          <w:tcPr>
            <w:tcW w:w="2250" w:type="dxa"/>
            <w:tcBorders>
              <w:top w:val="nil"/>
              <w:left w:val="nil"/>
              <w:bottom w:val="single" w:sz="4" w:space="0" w:color="auto"/>
              <w:right w:val="nil"/>
            </w:tcBorders>
            <w:shd w:val="clear" w:color="000000" w:fill="FFFFFF"/>
            <w:vAlign w:val="center"/>
            <w:hideMark/>
          </w:tcPr>
          <w:p w14:paraId="2CB6C7E0" w14:textId="77777777" w:rsidR="00BF5BBA" w:rsidRPr="00635922" w:rsidRDefault="006D1E89" w:rsidP="0070527A">
            <w:pPr>
              <w:spacing w:after="0" w:line="240" w:lineRule="auto"/>
              <w:rPr>
                <w:rFonts w:ascii="Arial" w:eastAsia="Times New Roman" w:hAnsi="Arial" w:cs="Arial"/>
                <w:b/>
                <w:bCs/>
                <w:noProof w:val="0"/>
                <w:color w:val="000000"/>
              </w:rPr>
            </w:pPr>
            <w:r w:rsidRPr="00635922">
              <w:rPr>
                <w:rFonts w:ascii="Arial" w:eastAsia="Times New Roman" w:hAnsi="Arial" w:cs="Arial"/>
                <w:b/>
                <w:bCs/>
                <w:noProof w:val="0"/>
                <w:color w:val="000000"/>
              </w:rPr>
              <w:t>Control drug</w:t>
            </w:r>
          </w:p>
        </w:tc>
        <w:tc>
          <w:tcPr>
            <w:tcW w:w="1890" w:type="dxa"/>
            <w:tcBorders>
              <w:top w:val="nil"/>
              <w:left w:val="nil"/>
              <w:bottom w:val="single" w:sz="4" w:space="0" w:color="auto"/>
              <w:right w:val="nil"/>
            </w:tcBorders>
            <w:shd w:val="clear" w:color="000000" w:fill="FFFFFF"/>
            <w:vAlign w:val="center"/>
            <w:hideMark/>
          </w:tcPr>
          <w:p w14:paraId="7B1EA427"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Salvage chemotherapy</w:t>
            </w:r>
          </w:p>
          <w:p w14:paraId="352DBF8E"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(LoDAC, MEC, or FLAG-IDA)</w:t>
            </w:r>
          </w:p>
        </w:tc>
        <w:tc>
          <w:tcPr>
            <w:tcW w:w="1890" w:type="dxa"/>
            <w:tcBorders>
              <w:top w:val="nil"/>
              <w:left w:val="nil"/>
              <w:bottom w:val="single" w:sz="4" w:space="0" w:color="auto"/>
              <w:right w:val="nil"/>
            </w:tcBorders>
            <w:shd w:val="clear" w:color="000000" w:fill="FFFFFF"/>
            <w:vAlign w:val="center"/>
            <w:hideMark/>
          </w:tcPr>
          <w:p w14:paraId="618C6CD1"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Placebo</w:t>
            </w:r>
          </w:p>
        </w:tc>
        <w:tc>
          <w:tcPr>
            <w:tcW w:w="1890" w:type="dxa"/>
            <w:tcBorders>
              <w:top w:val="nil"/>
              <w:left w:val="nil"/>
              <w:bottom w:val="single" w:sz="4" w:space="0" w:color="auto"/>
              <w:right w:val="nil"/>
            </w:tcBorders>
            <w:shd w:val="clear" w:color="000000" w:fill="FFFFFF"/>
            <w:vAlign w:val="center"/>
            <w:hideMark/>
          </w:tcPr>
          <w:p w14:paraId="6337897B"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Paclitaxel</w:t>
            </w:r>
          </w:p>
        </w:tc>
        <w:tc>
          <w:tcPr>
            <w:tcW w:w="1890" w:type="dxa"/>
            <w:tcBorders>
              <w:top w:val="nil"/>
              <w:left w:val="nil"/>
              <w:bottom w:val="single" w:sz="4" w:space="0" w:color="auto"/>
              <w:right w:val="nil"/>
            </w:tcBorders>
            <w:shd w:val="clear" w:color="000000" w:fill="FFFFFF"/>
            <w:vAlign w:val="center"/>
            <w:hideMark/>
          </w:tcPr>
          <w:p w14:paraId="64A221AD"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Placebo plus platinum-based chemotherapy</w:t>
            </w:r>
          </w:p>
        </w:tc>
        <w:tc>
          <w:tcPr>
            <w:tcW w:w="1890" w:type="dxa"/>
            <w:tcBorders>
              <w:top w:val="nil"/>
              <w:left w:val="nil"/>
              <w:bottom w:val="single" w:sz="4" w:space="0" w:color="auto"/>
              <w:right w:val="nil"/>
            </w:tcBorders>
            <w:shd w:val="clear" w:color="000000" w:fill="FFFFFF"/>
            <w:vAlign w:val="center"/>
            <w:hideMark/>
          </w:tcPr>
          <w:p w14:paraId="3AF2DC90"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Placebo plus platinum-based chemotherapy</w:t>
            </w:r>
          </w:p>
        </w:tc>
        <w:tc>
          <w:tcPr>
            <w:tcW w:w="1890" w:type="dxa"/>
            <w:tcBorders>
              <w:top w:val="nil"/>
              <w:left w:val="nil"/>
              <w:bottom w:val="single" w:sz="4" w:space="0" w:color="auto"/>
              <w:right w:val="nil"/>
            </w:tcBorders>
            <w:shd w:val="clear" w:color="000000" w:fill="FFFFFF"/>
            <w:vAlign w:val="center"/>
            <w:hideMark/>
          </w:tcPr>
          <w:p w14:paraId="12045DAD"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Placebo plus nab-paclitaxel</w:t>
            </w:r>
          </w:p>
        </w:tc>
      </w:tr>
      <w:tr w:rsidR="00F13AC4" w14:paraId="19734EF9" w14:textId="77777777" w:rsidTr="0070527A">
        <w:trPr>
          <w:trHeight w:val="440"/>
        </w:trPr>
        <w:tc>
          <w:tcPr>
            <w:tcW w:w="2250" w:type="dxa"/>
            <w:tcBorders>
              <w:top w:val="nil"/>
              <w:left w:val="nil"/>
              <w:bottom w:val="single" w:sz="4" w:space="0" w:color="auto"/>
              <w:right w:val="nil"/>
            </w:tcBorders>
            <w:shd w:val="clear" w:color="000000" w:fill="FFFFFF"/>
            <w:vAlign w:val="center"/>
            <w:hideMark/>
          </w:tcPr>
          <w:p w14:paraId="76D4915A" w14:textId="77777777" w:rsidR="00BF5BBA" w:rsidRPr="00635922" w:rsidRDefault="006D1E89" w:rsidP="0070527A">
            <w:pPr>
              <w:spacing w:after="0" w:line="240" w:lineRule="auto"/>
              <w:rPr>
                <w:rFonts w:ascii="Arial" w:eastAsia="Times New Roman" w:hAnsi="Arial" w:cs="Arial"/>
                <w:b/>
                <w:bCs/>
                <w:noProof w:val="0"/>
                <w:color w:val="000000"/>
              </w:rPr>
            </w:pPr>
            <w:r w:rsidRPr="00635922">
              <w:rPr>
                <w:rFonts w:ascii="Arial" w:eastAsia="Times New Roman" w:hAnsi="Arial" w:cs="Arial"/>
                <w:b/>
                <w:bCs/>
                <w:noProof w:val="0"/>
                <w:color w:val="000000"/>
              </w:rPr>
              <w:t>Cancer type</w:t>
            </w:r>
          </w:p>
        </w:tc>
        <w:tc>
          <w:tcPr>
            <w:tcW w:w="1890" w:type="dxa"/>
            <w:tcBorders>
              <w:top w:val="nil"/>
              <w:left w:val="nil"/>
              <w:bottom w:val="single" w:sz="4" w:space="0" w:color="auto"/>
              <w:right w:val="nil"/>
            </w:tcBorders>
            <w:shd w:val="clear" w:color="000000" w:fill="FFFFFF"/>
            <w:vAlign w:val="center"/>
            <w:hideMark/>
          </w:tcPr>
          <w:p w14:paraId="53D92FE4"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Acute myeloid leukemia</w:t>
            </w:r>
          </w:p>
        </w:tc>
        <w:tc>
          <w:tcPr>
            <w:tcW w:w="1890" w:type="dxa"/>
            <w:tcBorders>
              <w:top w:val="nil"/>
              <w:left w:val="nil"/>
              <w:bottom w:val="single" w:sz="4" w:space="0" w:color="auto"/>
              <w:right w:val="nil"/>
            </w:tcBorders>
            <w:shd w:val="clear" w:color="000000" w:fill="FFFFFF"/>
            <w:vAlign w:val="center"/>
            <w:hideMark/>
          </w:tcPr>
          <w:p w14:paraId="4E0F23F4"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Prostate cancer</w:t>
            </w:r>
          </w:p>
        </w:tc>
        <w:tc>
          <w:tcPr>
            <w:tcW w:w="1890" w:type="dxa"/>
            <w:tcBorders>
              <w:top w:val="nil"/>
              <w:left w:val="nil"/>
              <w:bottom w:val="single" w:sz="4" w:space="0" w:color="auto"/>
              <w:right w:val="nil"/>
            </w:tcBorders>
            <w:shd w:val="clear" w:color="000000" w:fill="FFFFFF"/>
            <w:vAlign w:val="center"/>
            <w:hideMark/>
          </w:tcPr>
          <w:p w14:paraId="35E33796"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Gastric cancer</w:t>
            </w:r>
          </w:p>
        </w:tc>
        <w:tc>
          <w:tcPr>
            <w:tcW w:w="1890" w:type="dxa"/>
            <w:tcBorders>
              <w:top w:val="nil"/>
              <w:left w:val="nil"/>
              <w:bottom w:val="single" w:sz="4" w:space="0" w:color="auto"/>
              <w:right w:val="nil"/>
            </w:tcBorders>
            <w:shd w:val="clear" w:color="000000" w:fill="FFFFFF"/>
            <w:vAlign w:val="center"/>
            <w:hideMark/>
          </w:tcPr>
          <w:p w14:paraId="68D83734"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Urothelial carcinoma</w:t>
            </w:r>
          </w:p>
        </w:tc>
        <w:tc>
          <w:tcPr>
            <w:tcW w:w="1890" w:type="dxa"/>
            <w:tcBorders>
              <w:top w:val="nil"/>
              <w:left w:val="nil"/>
              <w:bottom w:val="single" w:sz="4" w:space="0" w:color="auto"/>
              <w:right w:val="nil"/>
            </w:tcBorders>
            <w:shd w:val="clear" w:color="000000" w:fill="FFFFFF"/>
            <w:vAlign w:val="center"/>
            <w:hideMark/>
          </w:tcPr>
          <w:p w14:paraId="49CAAB32"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Urothelial carcinoma</w:t>
            </w:r>
          </w:p>
        </w:tc>
        <w:tc>
          <w:tcPr>
            <w:tcW w:w="1890" w:type="dxa"/>
            <w:tcBorders>
              <w:top w:val="nil"/>
              <w:left w:val="nil"/>
              <w:bottom w:val="single" w:sz="4" w:space="0" w:color="auto"/>
              <w:right w:val="nil"/>
            </w:tcBorders>
            <w:shd w:val="clear" w:color="000000" w:fill="FFFFFF"/>
            <w:vAlign w:val="center"/>
            <w:hideMark/>
          </w:tcPr>
          <w:p w14:paraId="7F1666D1"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Breast cancer (TNBC)</w:t>
            </w:r>
          </w:p>
        </w:tc>
      </w:tr>
      <w:tr w:rsidR="00F13AC4" w14:paraId="0F016123" w14:textId="77777777" w:rsidTr="0070527A">
        <w:trPr>
          <w:trHeight w:val="440"/>
        </w:trPr>
        <w:tc>
          <w:tcPr>
            <w:tcW w:w="2250" w:type="dxa"/>
            <w:tcBorders>
              <w:top w:val="nil"/>
              <w:left w:val="nil"/>
              <w:bottom w:val="single" w:sz="4" w:space="0" w:color="auto"/>
              <w:right w:val="nil"/>
            </w:tcBorders>
            <w:shd w:val="clear" w:color="000000" w:fill="FFFFFF"/>
            <w:vAlign w:val="center"/>
            <w:hideMark/>
          </w:tcPr>
          <w:p w14:paraId="77A9616C" w14:textId="77777777" w:rsidR="00BF5BBA" w:rsidRPr="00635922" w:rsidRDefault="006D1E89" w:rsidP="0070527A">
            <w:pPr>
              <w:spacing w:after="0" w:line="240" w:lineRule="auto"/>
              <w:rPr>
                <w:rFonts w:ascii="Arial" w:eastAsia="Times New Roman" w:hAnsi="Arial" w:cs="Arial"/>
                <w:b/>
                <w:bCs/>
                <w:noProof w:val="0"/>
                <w:color w:val="000000"/>
              </w:rPr>
            </w:pPr>
            <w:r w:rsidRPr="00635922">
              <w:rPr>
                <w:rFonts w:ascii="Arial" w:eastAsia="Times New Roman" w:hAnsi="Arial" w:cs="Arial"/>
                <w:b/>
                <w:bCs/>
                <w:noProof w:val="0"/>
                <w:color w:val="000000"/>
              </w:rPr>
              <w:t>Treatment line</w:t>
            </w:r>
          </w:p>
        </w:tc>
        <w:tc>
          <w:tcPr>
            <w:tcW w:w="1890" w:type="dxa"/>
            <w:tcBorders>
              <w:top w:val="nil"/>
              <w:left w:val="nil"/>
              <w:bottom w:val="single" w:sz="4" w:space="0" w:color="auto"/>
              <w:right w:val="nil"/>
            </w:tcBorders>
            <w:shd w:val="clear" w:color="000000" w:fill="FFFFFF"/>
            <w:vAlign w:val="center"/>
            <w:hideMark/>
          </w:tcPr>
          <w:p w14:paraId="380B6A90" w14:textId="77777777" w:rsidR="00BF5BBA" w:rsidRPr="00635922" w:rsidRDefault="006D1E89" w:rsidP="00311CE1">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2L+</w:t>
            </w:r>
          </w:p>
        </w:tc>
        <w:tc>
          <w:tcPr>
            <w:tcW w:w="1890" w:type="dxa"/>
            <w:tcBorders>
              <w:top w:val="nil"/>
              <w:left w:val="nil"/>
              <w:bottom w:val="single" w:sz="4" w:space="0" w:color="auto"/>
              <w:right w:val="nil"/>
            </w:tcBorders>
            <w:shd w:val="clear" w:color="000000" w:fill="FFFFFF"/>
            <w:vAlign w:val="center"/>
            <w:hideMark/>
          </w:tcPr>
          <w:p w14:paraId="2903F9BE" w14:textId="77777777" w:rsidR="00BF5BBA" w:rsidRPr="00635922" w:rsidRDefault="006D1E89" w:rsidP="00311CE1">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1L</w:t>
            </w:r>
          </w:p>
        </w:tc>
        <w:tc>
          <w:tcPr>
            <w:tcW w:w="1890" w:type="dxa"/>
            <w:tcBorders>
              <w:top w:val="nil"/>
              <w:left w:val="nil"/>
              <w:bottom w:val="single" w:sz="4" w:space="0" w:color="auto"/>
              <w:right w:val="nil"/>
            </w:tcBorders>
            <w:shd w:val="clear" w:color="000000" w:fill="FFFFFF"/>
            <w:vAlign w:val="center"/>
            <w:hideMark/>
          </w:tcPr>
          <w:p w14:paraId="1890C94A" w14:textId="77777777" w:rsidR="00BF5BBA" w:rsidRPr="00635922" w:rsidRDefault="006D1E89" w:rsidP="00311CE1">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2L</w:t>
            </w:r>
          </w:p>
        </w:tc>
        <w:tc>
          <w:tcPr>
            <w:tcW w:w="1890" w:type="dxa"/>
            <w:tcBorders>
              <w:top w:val="nil"/>
              <w:left w:val="nil"/>
              <w:bottom w:val="single" w:sz="4" w:space="0" w:color="auto"/>
              <w:right w:val="nil"/>
            </w:tcBorders>
            <w:shd w:val="clear" w:color="000000" w:fill="FFFFFF"/>
            <w:vAlign w:val="center"/>
            <w:hideMark/>
          </w:tcPr>
          <w:p w14:paraId="0586D881" w14:textId="77777777" w:rsidR="00BF5BBA" w:rsidRPr="00635922" w:rsidRDefault="006D1E89" w:rsidP="00311CE1">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1L</w:t>
            </w:r>
          </w:p>
        </w:tc>
        <w:tc>
          <w:tcPr>
            <w:tcW w:w="1890" w:type="dxa"/>
            <w:tcBorders>
              <w:top w:val="nil"/>
              <w:left w:val="nil"/>
              <w:bottom w:val="single" w:sz="4" w:space="0" w:color="auto"/>
              <w:right w:val="nil"/>
            </w:tcBorders>
            <w:shd w:val="clear" w:color="000000" w:fill="FFFFFF"/>
            <w:vAlign w:val="center"/>
            <w:hideMark/>
          </w:tcPr>
          <w:p w14:paraId="212C7E51" w14:textId="77777777" w:rsidR="00BF5BBA" w:rsidRPr="00635922" w:rsidRDefault="006D1E89" w:rsidP="00311CE1">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1L</w:t>
            </w:r>
          </w:p>
        </w:tc>
        <w:tc>
          <w:tcPr>
            <w:tcW w:w="1890" w:type="dxa"/>
            <w:tcBorders>
              <w:top w:val="nil"/>
              <w:left w:val="nil"/>
              <w:bottom w:val="single" w:sz="4" w:space="0" w:color="auto"/>
              <w:right w:val="nil"/>
            </w:tcBorders>
            <w:shd w:val="clear" w:color="000000" w:fill="FFFFFF"/>
            <w:vAlign w:val="center"/>
            <w:hideMark/>
          </w:tcPr>
          <w:p w14:paraId="42F6BEC5" w14:textId="77777777" w:rsidR="00BF5BBA" w:rsidRPr="00635922" w:rsidRDefault="006D1E89" w:rsidP="00311CE1">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1L</w:t>
            </w:r>
          </w:p>
        </w:tc>
      </w:tr>
      <w:tr w:rsidR="00F13AC4" w14:paraId="555B73BF" w14:textId="77777777" w:rsidTr="0070527A">
        <w:trPr>
          <w:trHeight w:val="280"/>
        </w:trPr>
        <w:tc>
          <w:tcPr>
            <w:tcW w:w="2250" w:type="dxa"/>
            <w:tcBorders>
              <w:top w:val="nil"/>
              <w:left w:val="nil"/>
              <w:bottom w:val="single" w:sz="4" w:space="0" w:color="auto"/>
              <w:right w:val="nil"/>
            </w:tcBorders>
            <w:shd w:val="clear" w:color="000000" w:fill="FFFFFF"/>
            <w:vAlign w:val="center"/>
            <w:hideMark/>
          </w:tcPr>
          <w:p w14:paraId="42F83FD3" w14:textId="77777777" w:rsidR="00BF5BBA" w:rsidRDefault="006D1E89" w:rsidP="0070527A">
            <w:pPr>
              <w:spacing w:after="0" w:line="240" w:lineRule="auto"/>
              <w:rPr>
                <w:rFonts w:ascii="Arial" w:eastAsia="Times New Roman" w:hAnsi="Arial" w:cs="Arial"/>
                <w:b/>
                <w:bCs/>
                <w:noProof w:val="0"/>
                <w:color w:val="000000"/>
              </w:rPr>
            </w:pPr>
            <w:r w:rsidRPr="00635922">
              <w:rPr>
                <w:rFonts w:ascii="Arial" w:eastAsia="Times New Roman" w:hAnsi="Arial" w:cs="Arial"/>
                <w:b/>
                <w:bCs/>
                <w:noProof w:val="0"/>
                <w:color w:val="000000"/>
              </w:rPr>
              <w:t xml:space="preserve">Median OS of control </w:t>
            </w:r>
          </w:p>
          <w:p w14:paraId="48B55FC3" w14:textId="77777777" w:rsidR="00BF5BBA" w:rsidRPr="00635922" w:rsidRDefault="006D1E89" w:rsidP="0070527A">
            <w:pPr>
              <w:spacing w:after="0" w:line="240" w:lineRule="auto"/>
              <w:rPr>
                <w:rFonts w:ascii="Arial" w:eastAsia="Times New Roman" w:hAnsi="Arial" w:cs="Arial"/>
                <w:b/>
                <w:bCs/>
                <w:noProof w:val="0"/>
                <w:color w:val="000000"/>
              </w:rPr>
            </w:pPr>
            <w:r w:rsidRPr="00635922">
              <w:rPr>
                <w:rFonts w:ascii="Arial" w:eastAsia="Times New Roman" w:hAnsi="Arial" w:cs="Arial"/>
                <w:b/>
                <w:bCs/>
                <w:noProof w:val="0"/>
                <w:color w:val="000000"/>
              </w:rPr>
              <w:t>[95% CI] (month)</w:t>
            </w:r>
          </w:p>
        </w:tc>
        <w:tc>
          <w:tcPr>
            <w:tcW w:w="1890" w:type="dxa"/>
            <w:tcBorders>
              <w:top w:val="nil"/>
              <w:left w:val="nil"/>
              <w:bottom w:val="single" w:sz="4" w:space="0" w:color="auto"/>
              <w:right w:val="nil"/>
            </w:tcBorders>
            <w:shd w:val="clear" w:color="000000" w:fill="FFFFFF"/>
            <w:vAlign w:val="center"/>
            <w:hideMark/>
          </w:tcPr>
          <w:p w14:paraId="71279B12"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4.7 [4.0 - 5.5]</w:t>
            </w:r>
          </w:p>
        </w:tc>
        <w:tc>
          <w:tcPr>
            <w:tcW w:w="1890" w:type="dxa"/>
            <w:tcBorders>
              <w:top w:val="nil"/>
              <w:left w:val="nil"/>
              <w:bottom w:val="single" w:sz="4" w:space="0" w:color="auto"/>
              <w:right w:val="nil"/>
            </w:tcBorders>
            <w:shd w:val="clear" w:color="000000" w:fill="FFFFFF"/>
            <w:vAlign w:val="center"/>
            <w:hideMark/>
          </w:tcPr>
          <w:p w14:paraId="1774FC93"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21.7</w:t>
            </w:r>
          </w:p>
        </w:tc>
        <w:tc>
          <w:tcPr>
            <w:tcW w:w="1890" w:type="dxa"/>
            <w:tcBorders>
              <w:top w:val="nil"/>
              <w:left w:val="nil"/>
              <w:bottom w:val="single" w:sz="4" w:space="0" w:color="auto"/>
              <w:right w:val="nil"/>
            </w:tcBorders>
            <w:shd w:val="clear" w:color="000000" w:fill="FFFFFF"/>
            <w:vAlign w:val="center"/>
            <w:hideMark/>
          </w:tcPr>
          <w:p w14:paraId="7E0A50C4"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8.3 [7.6 - 9.0]</w:t>
            </w:r>
          </w:p>
        </w:tc>
        <w:tc>
          <w:tcPr>
            <w:tcW w:w="1890" w:type="dxa"/>
            <w:tcBorders>
              <w:top w:val="nil"/>
              <w:left w:val="nil"/>
              <w:bottom w:val="single" w:sz="4" w:space="0" w:color="auto"/>
              <w:right w:val="nil"/>
            </w:tcBorders>
            <w:shd w:val="clear" w:color="000000" w:fill="FFFFFF"/>
            <w:vAlign w:val="center"/>
            <w:hideMark/>
          </w:tcPr>
          <w:p w14:paraId="6CC96656"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13.4 [12.0-15.2]</w:t>
            </w:r>
          </w:p>
        </w:tc>
        <w:tc>
          <w:tcPr>
            <w:tcW w:w="1890" w:type="dxa"/>
            <w:tcBorders>
              <w:top w:val="nil"/>
              <w:left w:val="nil"/>
              <w:bottom w:val="single" w:sz="4" w:space="0" w:color="auto"/>
              <w:right w:val="nil"/>
            </w:tcBorders>
            <w:shd w:val="clear" w:color="000000" w:fill="FFFFFF"/>
            <w:vAlign w:val="center"/>
            <w:hideMark/>
          </w:tcPr>
          <w:p w14:paraId="0567EA41"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13.1 [11.7 - 15.1]</w:t>
            </w:r>
          </w:p>
        </w:tc>
        <w:tc>
          <w:tcPr>
            <w:tcW w:w="1890" w:type="dxa"/>
            <w:tcBorders>
              <w:top w:val="nil"/>
              <w:left w:val="nil"/>
              <w:bottom w:val="single" w:sz="4" w:space="0" w:color="auto"/>
              <w:right w:val="nil"/>
            </w:tcBorders>
            <w:shd w:val="clear" w:color="000000" w:fill="FFFFFF"/>
            <w:vAlign w:val="center"/>
            <w:hideMark/>
          </w:tcPr>
          <w:p w14:paraId="7E928093"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18.7 [16.9 - 20.3]</w:t>
            </w:r>
          </w:p>
        </w:tc>
      </w:tr>
      <w:tr w:rsidR="00F13AC4" w14:paraId="28CB75FA" w14:textId="77777777" w:rsidTr="0070527A">
        <w:trPr>
          <w:trHeight w:val="280"/>
        </w:trPr>
        <w:tc>
          <w:tcPr>
            <w:tcW w:w="2250" w:type="dxa"/>
            <w:tcBorders>
              <w:top w:val="nil"/>
              <w:left w:val="nil"/>
              <w:bottom w:val="single" w:sz="4" w:space="0" w:color="auto"/>
              <w:right w:val="nil"/>
            </w:tcBorders>
            <w:shd w:val="clear" w:color="000000" w:fill="FFFFFF"/>
            <w:vAlign w:val="center"/>
            <w:hideMark/>
          </w:tcPr>
          <w:p w14:paraId="30745967" w14:textId="77777777" w:rsidR="00BF5BBA" w:rsidRPr="00635922" w:rsidRDefault="006D1E89" w:rsidP="0070527A">
            <w:pPr>
              <w:spacing w:after="0" w:line="240" w:lineRule="auto"/>
              <w:rPr>
                <w:rFonts w:ascii="Arial" w:eastAsia="Times New Roman" w:hAnsi="Arial" w:cs="Arial"/>
                <w:b/>
                <w:bCs/>
                <w:noProof w:val="0"/>
                <w:color w:val="000000"/>
              </w:rPr>
            </w:pPr>
            <w:r w:rsidRPr="00635922">
              <w:rPr>
                <w:rFonts w:ascii="Arial" w:eastAsia="Times New Roman" w:hAnsi="Arial" w:cs="Arial"/>
                <w:b/>
                <w:bCs/>
                <w:noProof w:val="0"/>
                <w:color w:val="000000"/>
              </w:rPr>
              <w:t>Median OS of the study drug [95% CI] (month)</w:t>
            </w:r>
          </w:p>
        </w:tc>
        <w:tc>
          <w:tcPr>
            <w:tcW w:w="1890" w:type="dxa"/>
            <w:tcBorders>
              <w:top w:val="nil"/>
              <w:left w:val="nil"/>
              <w:bottom w:val="single" w:sz="4" w:space="0" w:color="auto"/>
              <w:right w:val="nil"/>
            </w:tcBorders>
            <w:shd w:val="clear" w:color="000000" w:fill="FFFFFF"/>
            <w:vAlign w:val="center"/>
            <w:hideMark/>
          </w:tcPr>
          <w:p w14:paraId="7A969749"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6.2 [5.3 - 7.2]</w:t>
            </w:r>
          </w:p>
        </w:tc>
        <w:tc>
          <w:tcPr>
            <w:tcW w:w="1890" w:type="dxa"/>
            <w:tcBorders>
              <w:top w:val="nil"/>
              <w:left w:val="nil"/>
              <w:bottom w:val="single" w:sz="4" w:space="0" w:color="auto"/>
              <w:right w:val="nil"/>
            </w:tcBorders>
            <w:shd w:val="clear" w:color="000000" w:fill="FFFFFF"/>
            <w:vAlign w:val="center"/>
            <w:hideMark/>
          </w:tcPr>
          <w:p w14:paraId="7E36C7AC"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25.8</w:t>
            </w:r>
          </w:p>
        </w:tc>
        <w:tc>
          <w:tcPr>
            <w:tcW w:w="1890" w:type="dxa"/>
            <w:tcBorders>
              <w:top w:val="nil"/>
              <w:left w:val="nil"/>
              <w:bottom w:val="single" w:sz="4" w:space="0" w:color="auto"/>
              <w:right w:val="nil"/>
            </w:tcBorders>
            <w:shd w:val="clear" w:color="000000" w:fill="FFFFFF"/>
            <w:vAlign w:val="center"/>
            <w:hideMark/>
          </w:tcPr>
          <w:p w14:paraId="169710F1"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9.1 [6.2 - 10.7]</w:t>
            </w:r>
          </w:p>
        </w:tc>
        <w:tc>
          <w:tcPr>
            <w:tcW w:w="1890" w:type="dxa"/>
            <w:tcBorders>
              <w:top w:val="nil"/>
              <w:left w:val="nil"/>
              <w:bottom w:val="single" w:sz="4" w:space="0" w:color="auto"/>
              <w:right w:val="nil"/>
            </w:tcBorders>
            <w:shd w:val="clear" w:color="000000" w:fill="FFFFFF"/>
            <w:vAlign w:val="center"/>
            <w:hideMark/>
          </w:tcPr>
          <w:p w14:paraId="3C719FFA"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16.0 [13.9 - 18.9]</w:t>
            </w:r>
          </w:p>
        </w:tc>
        <w:tc>
          <w:tcPr>
            <w:tcW w:w="1890" w:type="dxa"/>
            <w:tcBorders>
              <w:top w:val="nil"/>
              <w:left w:val="nil"/>
              <w:bottom w:val="single" w:sz="4" w:space="0" w:color="auto"/>
              <w:right w:val="nil"/>
            </w:tcBorders>
            <w:shd w:val="clear" w:color="000000" w:fill="FFFFFF"/>
            <w:vAlign w:val="center"/>
            <w:hideMark/>
          </w:tcPr>
          <w:p w14:paraId="6E131D06"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15.7 [13.1 - 17.8]</w:t>
            </w:r>
          </w:p>
        </w:tc>
        <w:tc>
          <w:tcPr>
            <w:tcW w:w="1890" w:type="dxa"/>
            <w:tcBorders>
              <w:top w:val="nil"/>
              <w:left w:val="nil"/>
              <w:bottom w:val="single" w:sz="4" w:space="0" w:color="auto"/>
              <w:right w:val="nil"/>
            </w:tcBorders>
            <w:shd w:val="clear" w:color="000000" w:fill="FFFFFF"/>
            <w:vAlign w:val="center"/>
            <w:hideMark/>
          </w:tcPr>
          <w:p w14:paraId="6E4D5BE6"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21.0 [19.0 - 22.6]</w:t>
            </w:r>
          </w:p>
        </w:tc>
      </w:tr>
      <w:tr w:rsidR="00F13AC4" w14:paraId="2797A603" w14:textId="77777777" w:rsidTr="0070527A">
        <w:trPr>
          <w:trHeight w:val="280"/>
        </w:trPr>
        <w:tc>
          <w:tcPr>
            <w:tcW w:w="2250" w:type="dxa"/>
            <w:tcBorders>
              <w:top w:val="nil"/>
              <w:left w:val="nil"/>
              <w:bottom w:val="single" w:sz="4" w:space="0" w:color="auto"/>
              <w:right w:val="nil"/>
            </w:tcBorders>
            <w:shd w:val="clear" w:color="000000" w:fill="FFFFFF"/>
            <w:vAlign w:val="center"/>
            <w:hideMark/>
          </w:tcPr>
          <w:p w14:paraId="2079AF32" w14:textId="77777777" w:rsidR="00BF5BBA" w:rsidRPr="00635922" w:rsidRDefault="006D1E89" w:rsidP="0070527A">
            <w:pPr>
              <w:spacing w:after="0" w:line="240" w:lineRule="auto"/>
              <w:rPr>
                <w:rFonts w:ascii="Arial" w:eastAsia="Times New Roman" w:hAnsi="Arial" w:cs="Arial"/>
                <w:b/>
                <w:bCs/>
                <w:noProof w:val="0"/>
                <w:color w:val="000000"/>
              </w:rPr>
            </w:pPr>
            <w:r w:rsidRPr="00635922">
              <w:rPr>
                <w:rFonts w:ascii="Arial" w:eastAsia="Times New Roman" w:hAnsi="Arial" w:cs="Arial"/>
                <w:b/>
                <w:bCs/>
                <w:noProof w:val="0"/>
                <w:color w:val="000000"/>
              </w:rPr>
              <w:t>Extension of median OS (month)</w:t>
            </w:r>
          </w:p>
        </w:tc>
        <w:tc>
          <w:tcPr>
            <w:tcW w:w="1890" w:type="dxa"/>
            <w:tcBorders>
              <w:top w:val="nil"/>
              <w:left w:val="nil"/>
              <w:bottom w:val="single" w:sz="4" w:space="0" w:color="auto"/>
              <w:right w:val="nil"/>
            </w:tcBorders>
            <w:shd w:val="clear" w:color="000000" w:fill="FFFFFF"/>
            <w:vAlign w:val="center"/>
            <w:hideMark/>
          </w:tcPr>
          <w:p w14:paraId="7742CD8E"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1.5</w:t>
            </w:r>
          </w:p>
        </w:tc>
        <w:tc>
          <w:tcPr>
            <w:tcW w:w="1890" w:type="dxa"/>
            <w:tcBorders>
              <w:top w:val="nil"/>
              <w:left w:val="nil"/>
              <w:bottom w:val="single" w:sz="4" w:space="0" w:color="auto"/>
              <w:right w:val="nil"/>
            </w:tcBorders>
            <w:shd w:val="clear" w:color="000000" w:fill="FFFFFF"/>
            <w:vAlign w:val="center"/>
            <w:hideMark/>
          </w:tcPr>
          <w:p w14:paraId="58D4A9DC"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4.1</w:t>
            </w:r>
          </w:p>
        </w:tc>
        <w:tc>
          <w:tcPr>
            <w:tcW w:w="1890" w:type="dxa"/>
            <w:tcBorders>
              <w:top w:val="nil"/>
              <w:left w:val="nil"/>
              <w:bottom w:val="single" w:sz="4" w:space="0" w:color="auto"/>
              <w:right w:val="nil"/>
            </w:tcBorders>
            <w:shd w:val="clear" w:color="000000" w:fill="FFFFFF"/>
            <w:vAlign w:val="center"/>
            <w:hideMark/>
          </w:tcPr>
          <w:p w14:paraId="71853EB3"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0.8</w:t>
            </w:r>
          </w:p>
        </w:tc>
        <w:tc>
          <w:tcPr>
            <w:tcW w:w="1890" w:type="dxa"/>
            <w:tcBorders>
              <w:top w:val="nil"/>
              <w:left w:val="nil"/>
              <w:bottom w:val="single" w:sz="4" w:space="0" w:color="auto"/>
              <w:right w:val="nil"/>
            </w:tcBorders>
            <w:shd w:val="clear" w:color="000000" w:fill="FFFFFF"/>
            <w:vAlign w:val="center"/>
            <w:hideMark/>
          </w:tcPr>
          <w:p w14:paraId="1FC35ACE"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2.6</w:t>
            </w:r>
          </w:p>
        </w:tc>
        <w:tc>
          <w:tcPr>
            <w:tcW w:w="1890" w:type="dxa"/>
            <w:tcBorders>
              <w:top w:val="nil"/>
              <w:left w:val="nil"/>
              <w:bottom w:val="single" w:sz="4" w:space="0" w:color="auto"/>
              <w:right w:val="nil"/>
            </w:tcBorders>
            <w:shd w:val="clear" w:color="000000" w:fill="FFFFFF"/>
            <w:vAlign w:val="center"/>
            <w:hideMark/>
          </w:tcPr>
          <w:p w14:paraId="247F5B64"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2.6</w:t>
            </w:r>
          </w:p>
        </w:tc>
        <w:tc>
          <w:tcPr>
            <w:tcW w:w="1890" w:type="dxa"/>
            <w:tcBorders>
              <w:top w:val="nil"/>
              <w:left w:val="nil"/>
              <w:bottom w:val="single" w:sz="4" w:space="0" w:color="auto"/>
              <w:right w:val="nil"/>
            </w:tcBorders>
            <w:shd w:val="clear" w:color="000000" w:fill="FFFFFF"/>
            <w:vAlign w:val="center"/>
            <w:hideMark/>
          </w:tcPr>
          <w:p w14:paraId="44E1DAE7"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2.3</w:t>
            </w:r>
          </w:p>
        </w:tc>
      </w:tr>
      <w:tr w:rsidR="00F13AC4" w14:paraId="698237BA" w14:textId="77777777" w:rsidTr="0070527A">
        <w:trPr>
          <w:trHeight w:val="280"/>
        </w:trPr>
        <w:tc>
          <w:tcPr>
            <w:tcW w:w="2250" w:type="dxa"/>
            <w:tcBorders>
              <w:top w:val="nil"/>
              <w:left w:val="nil"/>
              <w:bottom w:val="single" w:sz="4" w:space="0" w:color="auto"/>
              <w:right w:val="nil"/>
            </w:tcBorders>
            <w:shd w:val="clear" w:color="000000" w:fill="FFFFFF"/>
            <w:vAlign w:val="center"/>
            <w:hideMark/>
          </w:tcPr>
          <w:p w14:paraId="7FC88F9C" w14:textId="77777777" w:rsidR="00BF5BBA" w:rsidRDefault="006D1E89" w:rsidP="0070527A">
            <w:pPr>
              <w:spacing w:after="0" w:line="240" w:lineRule="auto"/>
              <w:rPr>
                <w:rFonts w:ascii="Arial" w:eastAsia="Times New Roman" w:hAnsi="Arial" w:cs="Arial"/>
                <w:b/>
                <w:bCs/>
                <w:noProof w:val="0"/>
                <w:color w:val="000000"/>
              </w:rPr>
            </w:pPr>
            <w:r w:rsidRPr="00635922">
              <w:rPr>
                <w:rFonts w:ascii="Arial" w:eastAsia="Times New Roman" w:hAnsi="Arial" w:cs="Arial"/>
                <w:b/>
                <w:bCs/>
                <w:noProof w:val="0"/>
                <w:color w:val="000000"/>
              </w:rPr>
              <w:t xml:space="preserve">Hazard ratio for OS </w:t>
            </w:r>
          </w:p>
          <w:p w14:paraId="4C3A61A9" w14:textId="77777777" w:rsidR="00BF5BBA" w:rsidRPr="00635922" w:rsidRDefault="006D1E89" w:rsidP="0070527A">
            <w:pPr>
              <w:spacing w:after="0" w:line="240" w:lineRule="auto"/>
              <w:rPr>
                <w:rFonts w:ascii="Arial" w:eastAsia="Times New Roman" w:hAnsi="Arial" w:cs="Arial"/>
                <w:b/>
                <w:bCs/>
                <w:noProof w:val="0"/>
                <w:color w:val="000000"/>
              </w:rPr>
            </w:pPr>
            <w:r w:rsidRPr="00635922">
              <w:rPr>
                <w:rFonts w:ascii="Arial" w:eastAsia="Times New Roman" w:hAnsi="Arial" w:cs="Arial"/>
                <w:b/>
                <w:bCs/>
                <w:noProof w:val="0"/>
                <w:color w:val="000000"/>
              </w:rPr>
              <w:t>[95% CI]</w:t>
            </w:r>
          </w:p>
        </w:tc>
        <w:tc>
          <w:tcPr>
            <w:tcW w:w="1890" w:type="dxa"/>
            <w:tcBorders>
              <w:top w:val="nil"/>
              <w:left w:val="nil"/>
              <w:bottom w:val="single" w:sz="4" w:space="0" w:color="auto"/>
              <w:right w:val="nil"/>
            </w:tcBorders>
            <w:shd w:val="clear" w:color="000000" w:fill="FFFFFF"/>
            <w:vAlign w:val="center"/>
            <w:hideMark/>
          </w:tcPr>
          <w:p w14:paraId="76C17253"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0.76 [0.58 - 0.98]</w:t>
            </w:r>
          </w:p>
        </w:tc>
        <w:tc>
          <w:tcPr>
            <w:tcW w:w="1890" w:type="dxa"/>
            <w:tcBorders>
              <w:top w:val="nil"/>
              <w:left w:val="nil"/>
              <w:bottom w:val="single" w:sz="4" w:space="0" w:color="auto"/>
              <w:right w:val="nil"/>
            </w:tcBorders>
            <w:shd w:val="clear" w:color="000000" w:fill="FFFFFF"/>
            <w:vAlign w:val="center"/>
            <w:hideMark/>
          </w:tcPr>
          <w:p w14:paraId="764BC380"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0.78 [0.61 - 0.98]</w:t>
            </w:r>
          </w:p>
        </w:tc>
        <w:tc>
          <w:tcPr>
            <w:tcW w:w="1890" w:type="dxa"/>
            <w:tcBorders>
              <w:top w:val="nil"/>
              <w:left w:val="nil"/>
              <w:bottom w:val="single" w:sz="4" w:space="0" w:color="auto"/>
              <w:right w:val="nil"/>
            </w:tcBorders>
            <w:shd w:val="clear" w:color="000000" w:fill="FFFFFF"/>
            <w:vAlign w:val="center"/>
            <w:hideMark/>
          </w:tcPr>
          <w:p w14:paraId="5397EE53"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0.82 [0.66 - 1.03]</w:t>
            </w:r>
          </w:p>
        </w:tc>
        <w:tc>
          <w:tcPr>
            <w:tcW w:w="1890" w:type="dxa"/>
            <w:tcBorders>
              <w:top w:val="nil"/>
              <w:left w:val="nil"/>
              <w:bottom w:val="single" w:sz="4" w:space="0" w:color="auto"/>
              <w:right w:val="nil"/>
            </w:tcBorders>
            <w:shd w:val="clear" w:color="000000" w:fill="FFFFFF"/>
            <w:vAlign w:val="center"/>
            <w:hideMark/>
          </w:tcPr>
          <w:p w14:paraId="069EC47E"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0.83 [0.69 - 1.00]</w:t>
            </w:r>
          </w:p>
        </w:tc>
        <w:tc>
          <w:tcPr>
            <w:tcW w:w="1890" w:type="dxa"/>
            <w:tcBorders>
              <w:top w:val="nil"/>
              <w:left w:val="nil"/>
              <w:bottom w:val="single" w:sz="4" w:space="0" w:color="auto"/>
              <w:right w:val="nil"/>
            </w:tcBorders>
            <w:shd w:val="clear" w:color="000000" w:fill="FFFFFF"/>
            <w:vAlign w:val="center"/>
            <w:hideMark/>
          </w:tcPr>
          <w:p w14:paraId="13E4BD30"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1.02 [0.83 - 1.24]</w:t>
            </w:r>
          </w:p>
        </w:tc>
        <w:tc>
          <w:tcPr>
            <w:tcW w:w="1890" w:type="dxa"/>
            <w:tcBorders>
              <w:top w:val="nil"/>
              <w:left w:val="nil"/>
              <w:bottom w:val="single" w:sz="4" w:space="0" w:color="auto"/>
              <w:right w:val="nil"/>
            </w:tcBorders>
            <w:shd w:val="clear" w:color="000000" w:fill="FFFFFF"/>
            <w:vAlign w:val="center"/>
            <w:hideMark/>
          </w:tcPr>
          <w:p w14:paraId="493AA2BE"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0.86 [0.72 - 1.02]</w:t>
            </w:r>
          </w:p>
        </w:tc>
      </w:tr>
      <w:tr w:rsidR="00F13AC4" w14:paraId="47369C19" w14:textId="77777777" w:rsidTr="0070527A">
        <w:trPr>
          <w:trHeight w:val="330"/>
        </w:trPr>
        <w:tc>
          <w:tcPr>
            <w:tcW w:w="2250" w:type="dxa"/>
            <w:tcBorders>
              <w:top w:val="nil"/>
              <w:left w:val="nil"/>
              <w:bottom w:val="single" w:sz="4" w:space="0" w:color="auto"/>
              <w:right w:val="nil"/>
            </w:tcBorders>
            <w:shd w:val="clear" w:color="000000" w:fill="FFFFFF"/>
            <w:vAlign w:val="center"/>
            <w:hideMark/>
          </w:tcPr>
          <w:p w14:paraId="43A0B934" w14:textId="77777777" w:rsidR="00BF5BBA" w:rsidRPr="00635922" w:rsidRDefault="006D1E89" w:rsidP="0070527A">
            <w:pPr>
              <w:spacing w:after="0" w:line="240" w:lineRule="auto"/>
              <w:rPr>
                <w:rFonts w:ascii="Arial" w:eastAsia="Times New Roman" w:hAnsi="Arial" w:cs="Arial"/>
                <w:b/>
                <w:bCs/>
                <w:noProof w:val="0"/>
                <w:color w:val="000000"/>
              </w:rPr>
            </w:pPr>
            <w:r w:rsidRPr="00635922">
              <w:rPr>
                <w:rFonts w:ascii="Arial" w:eastAsia="Times New Roman" w:hAnsi="Arial" w:cs="Arial"/>
                <w:b/>
                <w:bCs/>
                <w:noProof w:val="0"/>
                <w:color w:val="000000"/>
              </w:rPr>
              <w:t>p-value for OS</w:t>
            </w:r>
          </w:p>
        </w:tc>
        <w:tc>
          <w:tcPr>
            <w:tcW w:w="1890" w:type="dxa"/>
            <w:tcBorders>
              <w:top w:val="nil"/>
              <w:left w:val="nil"/>
              <w:bottom w:val="single" w:sz="4" w:space="0" w:color="auto"/>
              <w:right w:val="nil"/>
            </w:tcBorders>
            <w:shd w:val="clear" w:color="000000" w:fill="FFFFFF"/>
            <w:vAlign w:val="center"/>
            <w:hideMark/>
          </w:tcPr>
          <w:p w14:paraId="07EDE98B"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0.02</w:t>
            </w:r>
            <w:r w:rsidRPr="00635922">
              <w:rPr>
                <w:rFonts w:ascii="Arial" w:eastAsia="Times New Roman" w:hAnsi="Arial" w:cs="Arial"/>
                <w:noProof w:val="0"/>
                <w:color w:val="000000"/>
                <w:vertAlign w:val="superscript"/>
              </w:rPr>
              <w:t>a)</w:t>
            </w:r>
          </w:p>
        </w:tc>
        <w:tc>
          <w:tcPr>
            <w:tcW w:w="1890" w:type="dxa"/>
            <w:tcBorders>
              <w:top w:val="nil"/>
              <w:left w:val="nil"/>
              <w:bottom w:val="single" w:sz="4" w:space="0" w:color="auto"/>
              <w:right w:val="nil"/>
            </w:tcBorders>
            <w:shd w:val="clear" w:color="000000" w:fill="FFFFFF"/>
            <w:vAlign w:val="center"/>
            <w:hideMark/>
          </w:tcPr>
          <w:p w14:paraId="4D253151"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0.03</w:t>
            </w:r>
            <w:r w:rsidRPr="00635922">
              <w:rPr>
                <w:rFonts w:ascii="Arial" w:eastAsia="Times New Roman" w:hAnsi="Arial" w:cs="Arial"/>
                <w:noProof w:val="0"/>
                <w:color w:val="000000"/>
                <w:vertAlign w:val="superscript"/>
              </w:rPr>
              <w:t xml:space="preserve">b) </w:t>
            </w:r>
          </w:p>
        </w:tc>
        <w:tc>
          <w:tcPr>
            <w:tcW w:w="1890" w:type="dxa"/>
            <w:tcBorders>
              <w:top w:val="nil"/>
              <w:left w:val="nil"/>
              <w:bottom w:val="single" w:sz="4" w:space="0" w:color="auto"/>
              <w:right w:val="nil"/>
            </w:tcBorders>
            <w:shd w:val="clear" w:color="000000" w:fill="FFFFFF"/>
            <w:vAlign w:val="center"/>
            <w:hideMark/>
          </w:tcPr>
          <w:p w14:paraId="26E1D6A1"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0.0421</w:t>
            </w:r>
            <w:r w:rsidRPr="00635922">
              <w:rPr>
                <w:rFonts w:ascii="Arial" w:eastAsia="Times New Roman" w:hAnsi="Arial" w:cs="Arial"/>
                <w:noProof w:val="0"/>
                <w:color w:val="000000"/>
                <w:vertAlign w:val="superscript"/>
              </w:rPr>
              <w:t xml:space="preserve">c) </w:t>
            </w:r>
          </w:p>
        </w:tc>
        <w:tc>
          <w:tcPr>
            <w:tcW w:w="1890" w:type="dxa"/>
            <w:tcBorders>
              <w:top w:val="nil"/>
              <w:left w:val="nil"/>
              <w:bottom w:val="single" w:sz="4" w:space="0" w:color="auto"/>
              <w:right w:val="nil"/>
            </w:tcBorders>
            <w:shd w:val="clear" w:color="000000" w:fill="FFFFFF"/>
            <w:vAlign w:val="center"/>
            <w:hideMark/>
          </w:tcPr>
          <w:p w14:paraId="40F3AF09"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0.027</w:t>
            </w:r>
            <w:r w:rsidRPr="00635922">
              <w:rPr>
                <w:rFonts w:ascii="Arial" w:eastAsia="Times New Roman" w:hAnsi="Arial" w:cs="Arial"/>
                <w:noProof w:val="0"/>
                <w:color w:val="000000"/>
                <w:vertAlign w:val="superscript"/>
              </w:rPr>
              <w:t>d)</w:t>
            </w:r>
          </w:p>
        </w:tc>
        <w:tc>
          <w:tcPr>
            <w:tcW w:w="1890" w:type="dxa"/>
            <w:tcBorders>
              <w:top w:val="nil"/>
              <w:left w:val="nil"/>
              <w:bottom w:val="single" w:sz="4" w:space="0" w:color="auto"/>
              <w:right w:val="nil"/>
            </w:tcBorders>
            <w:shd w:val="clear" w:color="000000" w:fill="FFFFFF"/>
            <w:vAlign w:val="center"/>
            <w:hideMark/>
          </w:tcPr>
          <w:p w14:paraId="5F8ED039"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NA</w:t>
            </w:r>
          </w:p>
        </w:tc>
        <w:tc>
          <w:tcPr>
            <w:tcW w:w="1890" w:type="dxa"/>
            <w:tcBorders>
              <w:top w:val="nil"/>
              <w:left w:val="nil"/>
              <w:bottom w:val="single" w:sz="4" w:space="0" w:color="auto"/>
              <w:right w:val="nil"/>
            </w:tcBorders>
            <w:shd w:val="clear" w:color="000000" w:fill="FFFFFF"/>
            <w:vAlign w:val="center"/>
            <w:hideMark/>
          </w:tcPr>
          <w:p w14:paraId="04D70063"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0.078</w:t>
            </w:r>
          </w:p>
        </w:tc>
      </w:tr>
      <w:tr w:rsidR="00F13AC4" w14:paraId="64F31026" w14:textId="77777777" w:rsidTr="0070527A">
        <w:trPr>
          <w:trHeight w:val="280"/>
        </w:trPr>
        <w:tc>
          <w:tcPr>
            <w:tcW w:w="2250" w:type="dxa"/>
            <w:tcBorders>
              <w:top w:val="nil"/>
              <w:left w:val="nil"/>
              <w:bottom w:val="single" w:sz="4" w:space="0" w:color="auto"/>
              <w:right w:val="nil"/>
            </w:tcBorders>
            <w:shd w:val="clear" w:color="000000" w:fill="FFFFFF"/>
            <w:vAlign w:val="center"/>
            <w:hideMark/>
          </w:tcPr>
          <w:p w14:paraId="150F4586" w14:textId="77777777" w:rsidR="00BF5BBA" w:rsidRPr="00635922" w:rsidRDefault="006D1E89" w:rsidP="0070527A">
            <w:pPr>
              <w:spacing w:after="0" w:line="240" w:lineRule="auto"/>
              <w:rPr>
                <w:rFonts w:ascii="Arial" w:eastAsia="Times New Roman" w:hAnsi="Arial" w:cs="Arial"/>
                <w:b/>
                <w:bCs/>
                <w:noProof w:val="0"/>
                <w:color w:val="000000"/>
              </w:rPr>
            </w:pPr>
            <w:r w:rsidRPr="00635922">
              <w:rPr>
                <w:rFonts w:ascii="Arial" w:eastAsia="Times New Roman" w:hAnsi="Arial" w:cs="Arial"/>
                <w:b/>
                <w:bCs/>
                <w:noProof w:val="0"/>
                <w:color w:val="000000"/>
              </w:rPr>
              <w:t>Median PFS/EFS of control [95% CI] (month)</w:t>
            </w:r>
          </w:p>
        </w:tc>
        <w:tc>
          <w:tcPr>
            <w:tcW w:w="1890" w:type="dxa"/>
            <w:tcBorders>
              <w:top w:val="nil"/>
              <w:left w:val="nil"/>
              <w:bottom w:val="single" w:sz="4" w:space="0" w:color="auto"/>
              <w:right w:val="nil"/>
            </w:tcBorders>
            <w:shd w:val="clear" w:color="000000" w:fill="FFFFFF"/>
            <w:vAlign w:val="center"/>
            <w:hideMark/>
          </w:tcPr>
          <w:p w14:paraId="05EAE260"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0.9 [0.1 - 1.3]</w:t>
            </w:r>
          </w:p>
        </w:tc>
        <w:tc>
          <w:tcPr>
            <w:tcW w:w="1890" w:type="dxa"/>
            <w:tcBorders>
              <w:top w:val="nil"/>
              <w:left w:val="nil"/>
              <w:bottom w:val="single" w:sz="4" w:space="0" w:color="auto"/>
              <w:right w:val="nil"/>
            </w:tcBorders>
            <w:shd w:val="clear" w:color="000000" w:fill="FFFFFF"/>
            <w:vAlign w:val="center"/>
            <w:hideMark/>
          </w:tcPr>
          <w:p w14:paraId="1EFB354C"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3.6</w:t>
            </w:r>
          </w:p>
        </w:tc>
        <w:tc>
          <w:tcPr>
            <w:tcW w:w="1890" w:type="dxa"/>
            <w:tcBorders>
              <w:top w:val="nil"/>
              <w:left w:val="nil"/>
              <w:bottom w:val="single" w:sz="4" w:space="0" w:color="auto"/>
              <w:right w:val="nil"/>
            </w:tcBorders>
            <w:shd w:val="clear" w:color="000000" w:fill="FFFFFF"/>
            <w:vAlign w:val="center"/>
            <w:hideMark/>
          </w:tcPr>
          <w:p w14:paraId="263875D5"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4.1 [3.1 - 4.2]</w:t>
            </w:r>
          </w:p>
        </w:tc>
        <w:tc>
          <w:tcPr>
            <w:tcW w:w="1890" w:type="dxa"/>
            <w:tcBorders>
              <w:top w:val="nil"/>
              <w:left w:val="nil"/>
              <w:bottom w:val="single" w:sz="4" w:space="0" w:color="auto"/>
              <w:right w:val="nil"/>
            </w:tcBorders>
            <w:shd w:val="clear" w:color="000000" w:fill="FFFFFF"/>
            <w:vAlign w:val="center"/>
            <w:hideMark/>
          </w:tcPr>
          <w:p w14:paraId="5F0D4252"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6.3 [6.2 - 7.0]</w:t>
            </w:r>
          </w:p>
        </w:tc>
        <w:tc>
          <w:tcPr>
            <w:tcW w:w="1890" w:type="dxa"/>
            <w:tcBorders>
              <w:top w:val="nil"/>
              <w:left w:val="nil"/>
              <w:bottom w:val="single" w:sz="4" w:space="0" w:color="auto"/>
              <w:right w:val="nil"/>
            </w:tcBorders>
            <w:shd w:val="clear" w:color="000000" w:fill="FFFFFF"/>
            <w:vAlign w:val="center"/>
            <w:hideMark/>
          </w:tcPr>
          <w:p w14:paraId="1AB62ABE"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NA</w:t>
            </w:r>
          </w:p>
        </w:tc>
        <w:tc>
          <w:tcPr>
            <w:tcW w:w="1890" w:type="dxa"/>
            <w:tcBorders>
              <w:top w:val="nil"/>
              <w:left w:val="nil"/>
              <w:bottom w:val="single" w:sz="4" w:space="0" w:color="auto"/>
              <w:right w:val="nil"/>
            </w:tcBorders>
            <w:shd w:val="clear" w:color="000000" w:fill="FFFFFF"/>
            <w:vAlign w:val="center"/>
            <w:hideMark/>
          </w:tcPr>
          <w:p w14:paraId="59928487"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5.5 [5.3 - 5.6]</w:t>
            </w:r>
          </w:p>
        </w:tc>
      </w:tr>
      <w:tr w:rsidR="00F13AC4" w14:paraId="398E5525" w14:textId="77777777" w:rsidTr="0070527A">
        <w:trPr>
          <w:trHeight w:val="280"/>
        </w:trPr>
        <w:tc>
          <w:tcPr>
            <w:tcW w:w="2250" w:type="dxa"/>
            <w:tcBorders>
              <w:top w:val="nil"/>
              <w:left w:val="nil"/>
              <w:bottom w:val="single" w:sz="4" w:space="0" w:color="auto"/>
              <w:right w:val="nil"/>
            </w:tcBorders>
            <w:shd w:val="clear" w:color="000000" w:fill="FFFFFF"/>
            <w:vAlign w:val="center"/>
            <w:hideMark/>
          </w:tcPr>
          <w:p w14:paraId="5BBF6B3A" w14:textId="77777777" w:rsidR="00BF5BBA" w:rsidRDefault="006D1E89" w:rsidP="0070527A">
            <w:pPr>
              <w:spacing w:after="0" w:line="240" w:lineRule="auto"/>
              <w:rPr>
                <w:rFonts w:ascii="Arial" w:eastAsia="Times New Roman" w:hAnsi="Arial" w:cs="Arial"/>
                <w:b/>
                <w:bCs/>
                <w:noProof w:val="0"/>
                <w:color w:val="000000"/>
              </w:rPr>
            </w:pPr>
            <w:r w:rsidRPr="00635922">
              <w:rPr>
                <w:rFonts w:ascii="Arial" w:eastAsia="Times New Roman" w:hAnsi="Arial" w:cs="Arial"/>
                <w:b/>
                <w:bCs/>
                <w:noProof w:val="0"/>
                <w:color w:val="000000"/>
              </w:rPr>
              <w:t xml:space="preserve">Median PFS/EFS of the study drug </w:t>
            </w:r>
          </w:p>
          <w:p w14:paraId="59817FB6" w14:textId="77777777" w:rsidR="00BF5BBA" w:rsidRPr="00635922" w:rsidRDefault="006D1E89" w:rsidP="0070527A">
            <w:pPr>
              <w:spacing w:after="0" w:line="240" w:lineRule="auto"/>
              <w:rPr>
                <w:rFonts w:ascii="Arial" w:eastAsia="Times New Roman" w:hAnsi="Arial" w:cs="Arial"/>
                <w:b/>
                <w:bCs/>
                <w:noProof w:val="0"/>
                <w:color w:val="000000"/>
              </w:rPr>
            </w:pPr>
            <w:r w:rsidRPr="00635922">
              <w:rPr>
                <w:rFonts w:ascii="Arial" w:eastAsia="Times New Roman" w:hAnsi="Arial" w:cs="Arial"/>
                <w:b/>
                <w:bCs/>
                <w:noProof w:val="0"/>
                <w:color w:val="000000"/>
              </w:rPr>
              <w:t>[95% CI] (month)</w:t>
            </w:r>
          </w:p>
        </w:tc>
        <w:tc>
          <w:tcPr>
            <w:tcW w:w="1890" w:type="dxa"/>
            <w:tcBorders>
              <w:top w:val="nil"/>
              <w:left w:val="nil"/>
              <w:bottom w:val="single" w:sz="4" w:space="0" w:color="auto"/>
              <w:right w:val="nil"/>
            </w:tcBorders>
            <w:shd w:val="clear" w:color="000000" w:fill="FFFFFF"/>
            <w:vAlign w:val="center"/>
            <w:hideMark/>
          </w:tcPr>
          <w:p w14:paraId="580D5BAE"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1.4 [0.0 - 1.9]</w:t>
            </w:r>
          </w:p>
        </w:tc>
        <w:tc>
          <w:tcPr>
            <w:tcW w:w="1890" w:type="dxa"/>
            <w:tcBorders>
              <w:top w:val="nil"/>
              <w:left w:val="nil"/>
              <w:bottom w:val="single" w:sz="4" w:space="0" w:color="auto"/>
              <w:right w:val="nil"/>
            </w:tcBorders>
            <w:shd w:val="clear" w:color="000000" w:fill="FFFFFF"/>
            <w:vAlign w:val="center"/>
            <w:hideMark/>
          </w:tcPr>
          <w:p w14:paraId="13831800"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3.7</w:t>
            </w:r>
          </w:p>
        </w:tc>
        <w:tc>
          <w:tcPr>
            <w:tcW w:w="1890" w:type="dxa"/>
            <w:tcBorders>
              <w:top w:val="nil"/>
              <w:left w:val="nil"/>
              <w:bottom w:val="single" w:sz="4" w:space="0" w:color="auto"/>
              <w:right w:val="nil"/>
            </w:tcBorders>
            <w:shd w:val="clear" w:color="000000" w:fill="FFFFFF"/>
            <w:vAlign w:val="center"/>
            <w:hideMark/>
          </w:tcPr>
          <w:p w14:paraId="273C8028"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1.5 [1.4 - 2.0]</w:t>
            </w:r>
          </w:p>
        </w:tc>
        <w:tc>
          <w:tcPr>
            <w:tcW w:w="1890" w:type="dxa"/>
            <w:tcBorders>
              <w:top w:val="nil"/>
              <w:left w:val="nil"/>
              <w:bottom w:val="single" w:sz="4" w:space="0" w:color="auto"/>
              <w:right w:val="nil"/>
            </w:tcBorders>
            <w:shd w:val="clear" w:color="000000" w:fill="FFFFFF"/>
            <w:vAlign w:val="center"/>
            <w:hideMark/>
          </w:tcPr>
          <w:p w14:paraId="570D554C"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8.2 [6.5 - 8.3]</w:t>
            </w:r>
          </w:p>
        </w:tc>
        <w:tc>
          <w:tcPr>
            <w:tcW w:w="1890" w:type="dxa"/>
            <w:tcBorders>
              <w:top w:val="nil"/>
              <w:left w:val="nil"/>
              <w:bottom w:val="single" w:sz="4" w:space="0" w:color="auto"/>
              <w:right w:val="nil"/>
            </w:tcBorders>
            <w:shd w:val="clear" w:color="000000" w:fill="FFFFFF"/>
            <w:vAlign w:val="center"/>
            <w:hideMark/>
          </w:tcPr>
          <w:p w14:paraId="358E2B7D"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NA</w:t>
            </w:r>
          </w:p>
        </w:tc>
        <w:tc>
          <w:tcPr>
            <w:tcW w:w="1890" w:type="dxa"/>
            <w:tcBorders>
              <w:top w:val="nil"/>
              <w:left w:val="nil"/>
              <w:bottom w:val="single" w:sz="4" w:space="0" w:color="auto"/>
              <w:right w:val="nil"/>
            </w:tcBorders>
            <w:shd w:val="clear" w:color="000000" w:fill="FFFFFF"/>
            <w:vAlign w:val="center"/>
            <w:hideMark/>
          </w:tcPr>
          <w:p w14:paraId="2A271CF3"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7.2 [5.6 - 7.4]</w:t>
            </w:r>
          </w:p>
        </w:tc>
      </w:tr>
      <w:tr w:rsidR="00F13AC4" w14:paraId="1A962A2B" w14:textId="77777777" w:rsidTr="0070527A">
        <w:trPr>
          <w:trHeight w:val="280"/>
        </w:trPr>
        <w:tc>
          <w:tcPr>
            <w:tcW w:w="2250" w:type="dxa"/>
            <w:tcBorders>
              <w:top w:val="nil"/>
              <w:left w:val="nil"/>
              <w:bottom w:val="single" w:sz="4" w:space="0" w:color="auto"/>
              <w:right w:val="nil"/>
            </w:tcBorders>
            <w:shd w:val="clear" w:color="000000" w:fill="FFFFFF"/>
            <w:vAlign w:val="center"/>
            <w:hideMark/>
          </w:tcPr>
          <w:p w14:paraId="24652F21" w14:textId="77777777" w:rsidR="00BF5BBA" w:rsidRPr="00635922" w:rsidRDefault="006D1E89" w:rsidP="0070527A">
            <w:pPr>
              <w:spacing w:after="0" w:line="240" w:lineRule="auto"/>
              <w:rPr>
                <w:rFonts w:ascii="Arial" w:eastAsia="Times New Roman" w:hAnsi="Arial" w:cs="Arial"/>
                <w:b/>
                <w:bCs/>
                <w:noProof w:val="0"/>
                <w:color w:val="000000"/>
              </w:rPr>
            </w:pPr>
            <w:r w:rsidRPr="00635922">
              <w:rPr>
                <w:rFonts w:ascii="Arial" w:eastAsia="Times New Roman" w:hAnsi="Arial" w:cs="Arial"/>
                <w:b/>
                <w:bCs/>
                <w:noProof w:val="0"/>
                <w:color w:val="000000"/>
              </w:rPr>
              <w:t>Extension of median PFS/EFS (month)</w:t>
            </w:r>
          </w:p>
        </w:tc>
        <w:tc>
          <w:tcPr>
            <w:tcW w:w="1890" w:type="dxa"/>
            <w:tcBorders>
              <w:top w:val="nil"/>
              <w:left w:val="nil"/>
              <w:bottom w:val="single" w:sz="4" w:space="0" w:color="auto"/>
              <w:right w:val="nil"/>
            </w:tcBorders>
            <w:shd w:val="clear" w:color="000000" w:fill="FFFFFF"/>
            <w:vAlign w:val="center"/>
            <w:hideMark/>
          </w:tcPr>
          <w:p w14:paraId="58CDD1CA"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0.5</w:t>
            </w:r>
          </w:p>
        </w:tc>
        <w:tc>
          <w:tcPr>
            <w:tcW w:w="1890" w:type="dxa"/>
            <w:tcBorders>
              <w:top w:val="nil"/>
              <w:left w:val="nil"/>
              <w:bottom w:val="single" w:sz="4" w:space="0" w:color="auto"/>
              <w:right w:val="nil"/>
            </w:tcBorders>
            <w:shd w:val="clear" w:color="000000" w:fill="FFFFFF"/>
            <w:vAlign w:val="center"/>
            <w:hideMark/>
          </w:tcPr>
          <w:p w14:paraId="6AF61330"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0.1</w:t>
            </w:r>
          </w:p>
        </w:tc>
        <w:tc>
          <w:tcPr>
            <w:tcW w:w="1890" w:type="dxa"/>
            <w:tcBorders>
              <w:top w:val="nil"/>
              <w:left w:val="nil"/>
              <w:bottom w:val="single" w:sz="4" w:space="0" w:color="auto"/>
              <w:right w:val="nil"/>
            </w:tcBorders>
            <w:shd w:val="clear" w:color="000000" w:fill="FFFFFF"/>
            <w:vAlign w:val="center"/>
            <w:hideMark/>
          </w:tcPr>
          <w:p w14:paraId="7D4B0C59"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-2.6</w:t>
            </w:r>
          </w:p>
        </w:tc>
        <w:tc>
          <w:tcPr>
            <w:tcW w:w="1890" w:type="dxa"/>
            <w:tcBorders>
              <w:top w:val="nil"/>
              <w:left w:val="nil"/>
              <w:bottom w:val="single" w:sz="4" w:space="0" w:color="auto"/>
              <w:right w:val="nil"/>
            </w:tcBorders>
            <w:shd w:val="clear" w:color="000000" w:fill="FFFFFF"/>
            <w:vAlign w:val="center"/>
            <w:hideMark/>
          </w:tcPr>
          <w:p w14:paraId="4325B289"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1.9</w:t>
            </w:r>
          </w:p>
        </w:tc>
        <w:tc>
          <w:tcPr>
            <w:tcW w:w="1890" w:type="dxa"/>
            <w:tcBorders>
              <w:top w:val="nil"/>
              <w:left w:val="nil"/>
              <w:bottom w:val="single" w:sz="4" w:space="0" w:color="auto"/>
              <w:right w:val="nil"/>
            </w:tcBorders>
            <w:shd w:val="clear" w:color="000000" w:fill="FFFFFF"/>
            <w:vAlign w:val="center"/>
            <w:hideMark/>
          </w:tcPr>
          <w:p w14:paraId="183F0385"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NA</w:t>
            </w:r>
          </w:p>
        </w:tc>
        <w:tc>
          <w:tcPr>
            <w:tcW w:w="1890" w:type="dxa"/>
            <w:tcBorders>
              <w:top w:val="nil"/>
              <w:left w:val="nil"/>
              <w:bottom w:val="single" w:sz="4" w:space="0" w:color="auto"/>
              <w:right w:val="nil"/>
            </w:tcBorders>
            <w:shd w:val="clear" w:color="000000" w:fill="FFFFFF"/>
            <w:vAlign w:val="center"/>
            <w:hideMark/>
          </w:tcPr>
          <w:p w14:paraId="4476BF50"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1.7</w:t>
            </w:r>
          </w:p>
        </w:tc>
      </w:tr>
      <w:tr w:rsidR="00F13AC4" w14:paraId="38FF7086" w14:textId="77777777" w:rsidTr="0070527A">
        <w:trPr>
          <w:trHeight w:val="280"/>
        </w:trPr>
        <w:tc>
          <w:tcPr>
            <w:tcW w:w="2250" w:type="dxa"/>
            <w:tcBorders>
              <w:top w:val="nil"/>
              <w:left w:val="nil"/>
              <w:bottom w:val="single" w:sz="4" w:space="0" w:color="auto"/>
              <w:right w:val="nil"/>
            </w:tcBorders>
            <w:shd w:val="clear" w:color="000000" w:fill="FFFFFF"/>
            <w:vAlign w:val="center"/>
            <w:hideMark/>
          </w:tcPr>
          <w:p w14:paraId="0DDC7FC0" w14:textId="77777777" w:rsidR="00BF5BBA" w:rsidRDefault="006D1E89" w:rsidP="0070527A">
            <w:pPr>
              <w:spacing w:after="0" w:line="240" w:lineRule="auto"/>
              <w:rPr>
                <w:rFonts w:ascii="Arial" w:eastAsia="Times New Roman" w:hAnsi="Arial" w:cs="Arial"/>
                <w:b/>
                <w:bCs/>
                <w:noProof w:val="0"/>
                <w:color w:val="000000"/>
              </w:rPr>
            </w:pPr>
            <w:r w:rsidRPr="00635922">
              <w:rPr>
                <w:rFonts w:ascii="Arial" w:eastAsia="Times New Roman" w:hAnsi="Arial" w:cs="Arial"/>
                <w:b/>
                <w:bCs/>
                <w:noProof w:val="0"/>
                <w:color w:val="000000"/>
              </w:rPr>
              <w:t xml:space="preserve">Hazard ratio for PFS/EFS </w:t>
            </w:r>
          </w:p>
          <w:p w14:paraId="5F1DB134" w14:textId="77777777" w:rsidR="00BF5BBA" w:rsidRPr="00635922" w:rsidRDefault="006D1E89" w:rsidP="0070527A">
            <w:pPr>
              <w:spacing w:after="0" w:line="240" w:lineRule="auto"/>
              <w:rPr>
                <w:rFonts w:ascii="Arial" w:eastAsia="Times New Roman" w:hAnsi="Arial" w:cs="Arial"/>
                <w:b/>
                <w:bCs/>
                <w:noProof w:val="0"/>
                <w:color w:val="000000"/>
              </w:rPr>
            </w:pPr>
            <w:r w:rsidRPr="00635922">
              <w:rPr>
                <w:rFonts w:ascii="Arial" w:eastAsia="Times New Roman" w:hAnsi="Arial" w:cs="Arial"/>
                <w:b/>
                <w:bCs/>
                <w:noProof w:val="0"/>
                <w:color w:val="000000"/>
              </w:rPr>
              <w:t>[95% CI]</w:t>
            </w:r>
          </w:p>
        </w:tc>
        <w:tc>
          <w:tcPr>
            <w:tcW w:w="1890" w:type="dxa"/>
            <w:tcBorders>
              <w:top w:val="nil"/>
              <w:left w:val="nil"/>
              <w:bottom w:val="single" w:sz="4" w:space="0" w:color="auto"/>
              <w:right w:val="nil"/>
            </w:tcBorders>
            <w:shd w:val="clear" w:color="000000" w:fill="FFFFFF"/>
            <w:vAlign w:val="center"/>
            <w:hideMark/>
          </w:tcPr>
          <w:p w14:paraId="11240A89"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0.90 [0.70 - 1.16]</w:t>
            </w:r>
          </w:p>
        </w:tc>
        <w:tc>
          <w:tcPr>
            <w:tcW w:w="1890" w:type="dxa"/>
            <w:tcBorders>
              <w:top w:val="nil"/>
              <w:left w:val="nil"/>
              <w:bottom w:val="single" w:sz="4" w:space="0" w:color="auto"/>
              <w:right w:val="nil"/>
            </w:tcBorders>
            <w:shd w:val="clear" w:color="000000" w:fill="FFFFFF"/>
            <w:vAlign w:val="center"/>
            <w:hideMark/>
          </w:tcPr>
          <w:p w14:paraId="2EB4D9CD"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0.95 [0.77 - 1.17]</w:t>
            </w:r>
          </w:p>
        </w:tc>
        <w:tc>
          <w:tcPr>
            <w:tcW w:w="1890" w:type="dxa"/>
            <w:tcBorders>
              <w:top w:val="nil"/>
              <w:left w:val="nil"/>
              <w:bottom w:val="single" w:sz="4" w:space="0" w:color="auto"/>
              <w:right w:val="nil"/>
            </w:tcBorders>
            <w:shd w:val="clear" w:color="000000" w:fill="FFFFFF"/>
            <w:vAlign w:val="center"/>
            <w:hideMark/>
          </w:tcPr>
          <w:p w14:paraId="6B145181"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1.27 [1.03 - 1.57]</w:t>
            </w:r>
          </w:p>
        </w:tc>
        <w:tc>
          <w:tcPr>
            <w:tcW w:w="1890" w:type="dxa"/>
            <w:tcBorders>
              <w:top w:val="nil"/>
              <w:left w:val="nil"/>
              <w:bottom w:val="single" w:sz="4" w:space="0" w:color="auto"/>
              <w:right w:val="nil"/>
            </w:tcBorders>
            <w:shd w:val="clear" w:color="000000" w:fill="FFFFFF"/>
            <w:vAlign w:val="center"/>
            <w:hideMark/>
          </w:tcPr>
          <w:p w14:paraId="0587BF5F"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0.82 [0.70 - 0.96]</w:t>
            </w:r>
          </w:p>
        </w:tc>
        <w:tc>
          <w:tcPr>
            <w:tcW w:w="1890" w:type="dxa"/>
            <w:tcBorders>
              <w:top w:val="nil"/>
              <w:left w:val="nil"/>
              <w:bottom w:val="single" w:sz="4" w:space="0" w:color="auto"/>
              <w:right w:val="nil"/>
            </w:tcBorders>
            <w:shd w:val="clear" w:color="000000" w:fill="FFFFFF"/>
            <w:vAlign w:val="center"/>
            <w:hideMark/>
          </w:tcPr>
          <w:p w14:paraId="43C55C94"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NA</w:t>
            </w:r>
          </w:p>
        </w:tc>
        <w:tc>
          <w:tcPr>
            <w:tcW w:w="1890" w:type="dxa"/>
            <w:tcBorders>
              <w:top w:val="nil"/>
              <w:left w:val="nil"/>
              <w:bottom w:val="single" w:sz="4" w:space="0" w:color="auto"/>
              <w:right w:val="nil"/>
            </w:tcBorders>
            <w:shd w:val="clear" w:color="000000" w:fill="FFFFFF"/>
            <w:vAlign w:val="center"/>
            <w:hideMark/>
          </w:tcPr>
          <w:p w14:paraId="057D7508"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0.80 [0.69 - 0.92]</w:t>
            </w:r>
          </w:p>
        </w:tc>
      </w:tr>
      <w:tr w:rsidR="00F13AC4" w14:paraId="313CFC65" w14:textId="77777777" w:rsidTr="0070527A">
        <w:trPr>
          <w:trHeight w:val="330"/>
        </w:trPr>
        <w:tc>
          <w:tcPr>
            <w:tcW w:w="2250" w:type="dxa"/>
            <w:tcBorders>
              <w:top w:val="nil"/>
              <w:left w:val="nil"/>
              <w:bottom w:val="single" w:sz="4" w:space="0" w:color="auto"/>
              <w:right w:val="nil"/>
            </w:tcBorders>
            <w:shd w:val="clear" w:color="000000" w:fill="FFFFFF"/>
            <w:vAlign w:val="center"/>
            <w:hideMark/>
          </w:tcPr>
          <w:p w14:paraId="3A8C9C7F" w14:textId="77777777" w:rsidR="00BF5BBA" w:rsidRPr="00635922" w:rsidRDefault="006D1E89" w:rsidP="0070527A">
            <w:pPr>
              <w:spacing w:after="0" w:line="240" w:lineRule="auto"/>
              <w:rPr>
                <w:rFonts w:ascii="Arial" w:eastAsia="Times New Roman" w:hAnsi="Arial" w:cs="Arial"/>
                <w:b/>
                <w:bCs/>
                <w:noProof w:val="0"/>
                <w:color w:val="000000"/>
              </w:rPr>
            </w:pPr>
            <w:r w:rsidRPr="00635922">
              <w:rPr>
                <w:rFonts w:ascii="Arial" w:eastAsia="Times New Roman" w:hAnsi="Arial" w:cs="Arial"/>
                <w:b/>
                <w:bCs/>
                <w:noProof w:val="0"/>
                <w:color w:val="000000"/>
              </w:rPr>
              <w:t>p-value for PFS/EFS</w:t>
            </w:r>
          </w:p>
        </w:tc>
        <w:tc>
          <w:tcPr>
            <w:tcW w:w="1890" w:type="dxa"/>
            <w:tcBorders>
              <w:top w:val="nil"/>
              <w:left w:val="nil"/>
              <w:bottom w:val="single" w:sz="4" w:space="0" w:color="auto"/>
              <w:right w:val="nil"/>
            </w:tcBorders>
            <w:shd w:val="clear" w:color="000000" w:fill="FFFFFF"/>
            <w:vAlign w:val="center"/>
            <w:hideMark/>
          </w:tcPr>
          <w:p w14:paraId="3F5C897B"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0.11</w:t>
            </w:r>
            <w:r w:rsidRPr="00635922">
              <w:rPr>
                <w:rFonts w:ascii="Arial" w:eastAsia="Times New Roman" w:hAnsi="Arial" w:cs="Arial"/>
                <w:noProof w:val="0"/>
                <w:color w:val="000000"/>
                <w:vertAlign w:val="superscript"/>
              </w:rPr>
              <w:t>a)</w:t>
            </w:r>
          </w:p>
        </w:tc>
        <w:tc>
          <w:tcPr>
            <w:tcW w:w="1890" w:type="dxa"/>
            <w:tcBorders>
              <w:top w:val="nil"/>
              <w:left w:val="nil"/>
              <w:bottom w:val="single" w:sz="4" w:space="0" w:color="auto"/>
              <w:right w:val="nil"/>
            </w:tcBorders>
            <w:shd w:val="clear" w:color="000000" w:fill="FFFFFF"/>
            <w:vAlign w:val="center"/>
            <w:hideMark/>
          </w:tcPr>
          <w:p w14:paraId="5C130940"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0.63</w:t>
            </w:r>
          </w:p>
        </w:tc>
        <w:tc>
          <w:tcPr>
            <w:tcW w:w="1890" w:type="dxa"/>
            <w:tcBorders>
              <w:top w:val="nil"/>
              <w:left w:val="nil"/>
              <w:bottom w:val="single" w:sz="4" w:space="0" w:color="auto"/>
              <w:right w:val="nil"/>
            </w:tcBorders>
            <w:shd w:val="clear" w:color="000000" w:fill="FFFFFF"/>
            <w:vAlign w:val="center"/>
            <w:hideMark/>
          </w:tcPr>
          <w:p w14:paraId="6156C6B9"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NA</w:t>
            </w:r>
          </w:p>
        </w:tc>
        <w:tc>
          <w:tcPr>
            <w:tcW w:w="1890" w:type="dxa"/>
            <w:tcBorders>
              <w:top w:val="nil"/>
              <w:left w:val="nil"/>
              <w:bottom w:val="single" w:sz="4" w:space="0" w:color="auto"/>
              <w:right w:val="nil"/>
            </w:tcBorders>
            <w:shd w:val="clear" w:color="000000" w:fill="FFFFFF"/>
            <w:vAlign w:val="center"/>
            <w:hideMark/>
          </w:tcPr>
          <w:p w14:paraId="59128551"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0.007</w:t>
            </w:r>
            <w:r w:rsidRPr="00635922">
              <w:rPr>
                <w:rFonts w:ascii="Arial" w:eastAsia="Times New Roman" w:hAnsi="Arial" w:cs="Arial"/>
                <w:noProof w:val="0"/>
                <w:color w:val="000000"/>
                <w:vertAlign w:val="superscript"/>
              </w:rPr>
              <w:t>d)</w:t>
            </w:r>
          </w:p>
        </w:tc>
        <w:tc>
          <w:tcPr>
            <w:tcW w:w="1890" w:type="dxa"/>
            <w:tcBorders>
              <w:top w:val="nil"/>
              <w:left w:val="nil"/>
              <w:bottom w:val="single" w:sz="4" w:space="0" w:color="auto"/>
              <w:right w:val="nil"/>
            </w:tcBorders>
            <w:shd w:val="clear" w:color="000000" w:fill="FFFFFF"/>
            <w:vAlign w:val="center"/>
            <w:hideMark/>
          </w:tcPr>
          <w:p w14:paraId="369153A9"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NA</w:t>
            </w:r>
          </w:p>
        </w:tc>
        <w:tc>
          <w:tcPr>
            <w:tcW w:w="1890" w:type="dxa"/>
            <w:tcBorders>
              <w:top w:val="nil"/>
              <w:left w:val="nil"/>
              <w:bottom w:val="single" w:sz="4" w:space="0" w:color="auto"/>
              <w:right w:val="nil"/>
            </w:tcBorders>
            <w:shd w:val="clear" w:color="000000" w:fill="FFFFFF"/>
            <w:vAlign w:val="center"/>
            <w:hideMark/>
          </w:tcPr>
          <w:p w14:paraId="00434F11" w14:textId="77777777" w:rsidR="00BF5BBA" w:rsidRPr="00635922" w:rsidRDefault="006D1E89" w:rsidP="0070527A">
            <w:pPr>
              <w:spacing w:after="0" w:line="240" w:lineRule="auto"/>
              <w:jc w:val="right"/>
              <w:rPr>
                <w:rFonts w:ascii="Arial" w:eastAsia="Times New Roman" w:hAnsi="Arial" w:cs="Arial"/>
                <w:noProof w:val="0"/>
                <w:color w:val="000000"/>
              </w:rPr>
            </w:pPr>
            <w:r w:rsidRPr="00635922">
              <w:rPr>
                <w:rFonts w:ascii="Arial" w:eastAsia="Times New Roman" w:hAnsi="Arial" w:cs="Arial"/>
                <w:noProof w:val="0"/>
                <w:color w:val="000000"/>
              </w:rPr>
              <w:t>0.0021</w:t>
            </w:r>
          </w:p>
        </w:tc>
      </w:tr>
      <w:tr w:rsidR="00F13AC4" w14:paraId="19346708" w14:textId="77777777" w:rsidTr="0070527A">
        <w:trPr>
          <w:trHeight w:val="280"/>
        </w:trPr>
        <w:tc>
          <w:tcPr>
            <w:tcW w:w="2250" w:type="dxa"/>
            <w:tcBorders>
              <w:top w:val="nil"/>
              <w:left w:val="nil"/>
              <w:bottom w:val="single" w:sz="4" w:space="0" w:color="auto"/>
              <w:right w:val="nil"/>
            </w:tcBorders>
            <w:shd w:val="clear" w:color="000000" w:fill="FFFFFF"/>
            <w:vAlign w:val="center"/>
            <w:hideMark/>
          </w:tcPr>
          <w:p w14:paraId="0BAB7188" w14:textId="77777777" w:rsidR="00BF5BBA" w:rsidRPr="00635922" w:rsidRDefault="006D1E89" w:rsidP="0070527A">
            <w:pPr>
              <w:spacing w:after="0" w:line="240" w:lineRule="auto"/>
              <w:rPr>
                <w:rFonts w:ascii="Arial" w:eastAsia="Times New Roman" w:hAnsi="Arial" w:cs="Arial"/>
                <w:b/>
                <w:bCs/>
                <w:noProof w:val="0"/>
                <w:color w:val="000000"/>
              </w:rPr>
            </w:pPr>
            <w:r w:rsidRPr="00635922">
              <w:rPr>
                <w:rFonts w:ascii="Arial" w:eastAsia="Times New Roman" w:hAnsi="Arial" w:cs="Arial"/>
                <w:b/>
                <w:bCs/>
                <w:noProof w:val="0"/>
                <w:color w:val="000000"/>
              </w:rPr>
              <w:t>FDA approval status</w:t>
            </w:r>
          </w:p>
        </w:tc>
        <w:tc>
          <w:tcPr>
            <w:tcW w:w="1890" w:type="dxa"/>
            <w:tcBorders>
              <w:top w:val="nil"/>
              <w:left w:val="nil"/>
              <w:bottom w:val="single" w:sz="4" w:space="0" w:color="auto"/>
              <w:right w:val="nil"/>
            </w:tcBorders>
            <w:shd w:val="clear" w:color="000000" w:fill="FFFFFF"/>
            <w:vAlign w:val="center"/>
            <w:hideMark/>
          </w:tcPr>
          <w:p w14:paraId="4B2F312B"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Non-approved</w:t>
            </w:r>
          </w:p>
        </w:tc>
        <w:tc>
          <w:tcPr>
            <w:tcW w:w="1890" w:type="dxa"/>
            <w:tcBorders>
              <w:top w:val="nil"/>
              <w:left w:val="nil"/>
              <w:bottom w:val="single" w:sz="4" w:space="0" w:color="auto"/>
              <w:right w:val="nil"/>
            </w:tcBorders>
            <w:shd w:val="clear" w:color="000000" w:fill="FFFFFF"/>
            <w:vAlign w:val="center"/>
            <w:hideMark/>
          </w:tcPr>
          <w:p w14:paraId="6C7E1263"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Approved</w:t>
            </w:r>
          </w:p>
        </w:tc>
        <w:tc>
          <w:tcPr>
            <w:tcW w:w="1890" w:type="dxa"/>
            <w:tcBorders>
              <w:top w:val="nil"/>
              <w:left w:val="nil"/>
              <w:bottom w:val="single" w:sz="4" w:space="0" w:color="auto"/>
              <w:right w:val="nil"/>
            </w:tcBorders>
            <w:shd w:val="clear" w:color="000000" w:fill="FFFFFF"/>
            <w:vAlign w:val="center"/>
            <w:hideMark/>
          </w:tcPr>
          <w:p w14:paraId="3B946304"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Non-approved</w:t>
            </w:r>
          </w:p>
        </w:tc>
        <w:tc>
          <w:tcPr>
            <w:tcW w:w="1890" w:type="dxa"/>
            <w:tcBorders>
              <w:top w:val="nil"/>
              <w:left w:val="nil"/>
              <w:bottom w:val="single" w:sz="4" w:space="0" w:color="auto"/>
              <w:right w:val="nil"/>
            </w:tcBorders>
            <w:shd w:val="clear" w:color="000000" w:fill="FFFFFF"/>
            <w:vAlign w:val="center"/>
            <w:hideMark/>
          </w:tcPr>
          <w:p w14:paraId="46A75E74"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Non-approved</w:t>
            </w:r>
          </w:p>
        </w:tc>
        <w:tc>
          <w:tcPr>
            <w:tcW w:w="1890" w:type="dxa"/>
            <w:tcBorders>
              <w:top w:val="nil"/>
              <w:left w:val="nil"/>
              <w:bottom w:val="single" w:sz="4" w:space="0" w:color="auto"/>
              <w:right w:val="nil"/>
            </w:tcBorders>
            <w:shd w:val="clear" w:color="000000" w:fill="FFFFFF"/>
            <w:vAlign w:val="center"/>
            <w:hideMark/>
          </w:tcPr>
          <w:p w14:paraId="1DDF655B"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Non-approved</w:t>
            </w:r>
          </w:p>
        </w:tc>
        <w:tc>
          <w:tcPr>
            <w:tcW w:w="1890" w:type="dxa"/>
            <w:tcBorders>
              <w:top w:val="nil"/>
              <w:left w:val="nil"/>
              <w:bottom w:val="single" w:sz="4" w:space="0" w:color="auto"/>
              <w:right w:val="nil"/>
            </w:tcBorders>
            <w:shd w:val="clear" w:color="000000" w:fill="FFFFFF"/>
            <w:vAlign w:val="center"/>
            <w:hideMark/>
          </w:tcPr>
          <w:p w14:paraId="1E40060A" w14:textId="77777777" w:rsidR="00BF5BBA" w:rsidRPr="00635922" w:rsidRDefault="006D1E89" w:rsidP="0070527A">
            <w:pPr>
              <w:spacing w:after="0" w:line="240" w:lineRule="auto"/>
              <w:jc w:val="center"/>
              <w:rPr>
                <w:rFonts w:ascii="Arial" w:eastAsia="Times New Roman" w:hAnsi="Arial" w:cs="Arial"/>
                <w:noProof w:val="0"/>
                <w:color w:val="000000"/>
              </w:rPr>
            </w:pPr>
            <w:r w:rsidRPr="00635922">
              <w:rPr>
                <w:rFonts w:ascii="Arial" w:eastAsia="Times New Roman" w:hAnsi="Arial" w:cs="Arial"/>
                <w:noProof w:val="0"/>
                <w:color w:val="000000"/>
              </w:rPr>
              <w:t>Approved</w:t>
            </w:r>
          </w:p>
        </w:tc>
      </w:tr>
    </w:tbl>
    <w:p w14:paraId="0A6156A1" w14:textId="77777777" w:rsidR="00BF5BBA" w:rsidRPr="0069381F" w:rsidRDefault="006D1E89" w:rsidP="00BF5BBA">
      <w:pPr>
        <w:spacing w:line="240" w:lineRule="auto"/>
        <w:rPr>
          <w:rFonts w:ascii="Arial" w:hAnsi="Arial" w:cs="Arial"/>
          <w:sz w:val="22"/>
          <w:szCs w:val="22"/>
        </w:rPr>
      </w:pPr>
      <w:r w:rsidRPr="00635922">
        <w:rPr>
          <w:rFonts w:ascii="Arial" w:eastAsia="Times New Roman" w:hAnsi="Arial" w:cs="Arial"/>
          <w:noProof w:val="0"/>
          <w:color w:val="000000"/>
          <w:vertAlign w:val="superscript"/>
        </w:rPr>
        <w:t xml:space="preserve">a) </w:t>
      </w:r>
      <w:r w:rsidRPr="00635922">
        <w:rPr>
          <w:rFonts w:ascii="Arial" w:eastAsia="Times New Roman" w:hAnsi="Arial" w:cs="Arial"/>
          <w:noProof w:val="0"/>
          <w:color w:val="000000"/>
        </w:rPr>
        <w:t>One-sided, stratified log-rank test</w:t>
      </w:r>
    </w:p>
    <w:p w14:paraId="371A6B66" w14:textId="77777777" w:rsidR="00BF5BBA" w:rsidRPr="0069381F" w:rsidRDefault="006D1E89" w:rsidP="00BF5BBA">
      <w:pPr>
        <w:spacing w:line="240" w:lineRule="auto"/>
        <w:rPr>
          <w:rFonts w:ascii="Arial" w:hAnsi="Arial" w:cs="Arial"/>
          <w:sz w:val="22"/>
          <w:szCs w:val="22"/>
        </w:rPr>
      </w:pPr>
      <w:r w:rsidRPr="00635922">
        <w:rPr>
          <w:rFonts w:ascii="Arial" w:eastAsia="Times New Roman" w:hAnsi="Arial" w:cs="Arial"/>
          <w:noProof w:val="0"/>
          <w:color w:val="000000"/>
          <w:vertAlign w:val="superscript"/>
        </w:rPr>
        <w:t>b)</w:t>
      </w:r>
      <w:r w:rsidRPr="00635922">
        <w:rPr>
          <w:rFonts w:ascii="Arial" w:eastAsia="Times New Roman" w:hAnsi="Arial" w:cs="Arial"/>
          <w:noProof w:val="0"/>
          <w:color w:val="000000"/>
        </w:rPr>
        <w:t xml:space="preserve"> Two-sided Wald’s test</w:t>
      </w:r>
    </w:p>
    <w:p w14:paraId="0B970678" w14:textId="77777777" w:rsidR="00BF5BBA" w:rsidRPr="0069381F" w:rsidRDefault="006D1E89" w:rsidP="00BF5BBA">
      <w:pPr>
        <w:spacing w:line="240" w:lineRule="auto"/>
        <w:rPr>
          <w:rFonts w:ascii="Arial" w:hAnsi="Arial" w:cs="Arial"/>
          <w:sz w:val="22"/>
          <w:szCs w:val="22"/>
        </w:rPr>
      </w:pPr>
      <w:r w:rsidRPr="00635922">
        <w:rPr>
          <w:rFonts w:ascii="Arial" w:eastAsia="Times New Roman" w:hAnsi="Arial" w:cs="Arial"/>
          <w:noProof w:val="0"/>
          <w:color w:val="000000"/>
          <w:vertAlign w:val="superscript"/>
        </w:rPr>
        <w:t>c)</w:t>
      </w:r>
      <w:r w:rsidRPr="00635922">
        <w:rPr>
          <w:rFonts w:ascii="Arial" w:eastAsia="Times New Roman" w:hAnsi="Arial" w:cs="Arial"/>
          <w:noProof w:val="0"/>
          <w:color w:val="000000"/>
        </w:rPr>
        <w:t xml:space="preserve"> One-sided</w:t>
      </w:r>
    </w:p>
    <w:p w14:paraId="3BDFD7FA" w14:textId="77777777" w:rsidR="00BF5BBA" w:rsidRPr="0069381F" w:rsidRDefault="006D1E89" w:rsidP="00BF5BBA">
      <w:pPr>
        <w:spacing w:line="240" w:lineRule="auto"/>
        <w:rPr>
          <w:rFonts w:ascii="Arial" w:hAnsi="Arial" w:cs="Arial"/>
          <w:sz w:val="22"/>
          <w:szCs w:val="22"/>
        </w:rPr>
      </w:pPr>
      <w:r w:rsidRPr="00635922">
        <w:rPr>
          <w:rFonts w:ascii="Arial" w:eastAsia="Times New Roman" w:hAnsi="Arial" w:cs="Arial"/>
          <w:noProof w:val="0"/>
          <w:color w:val="000000"/>
          <w:vertAlign w:val="superscript"/>
        </w:rPr>
        <w:t>d)</w:t>
      </w:r>
      <w:r w:rsidRPr="00635922">
        <w:rPr>
          <w:rFonts w:ascii="Arial" w:eastAsia="Times New Roman" w:hAnsi="Arial" w:cs="Arial"/>
          <w:noProof w:val="0"/>
          <w:color w:val="000000"/>
        </w:rPr>
        <w:t xml:space="preserve"> One-sided</w:t>
      </w:r>
    </w:p>
    <w:p w14:paraId="53452538" w14:textId="77777777" w:rsidR="00BF5BBA" w:rsidRDefault="00BF5BBA" w:rsidP="00BF5BBA"/>
    <w:p w14:paraId="6E9CAC09" w14:textId="1EB1C12B" w:rsidR="00BF5BBA" w:rsidRDefault="00BF5BBA">
      <w:pPr>
        <w:rPr>
          <w:rFonts w:ascii="Arial" w:hAnsi="Arial" w:cs="Arial"/>
          <w:sz w:val="22"/>
          <w:szCs w:val="22"/>
        </w:rPr>
      </w:pPr>
    </w:p>
    <w:p w14:paraId="7B86A47C" w14:textId="77777777" w:rsidR="00BF5BBA" w:rsidRDefault="00BF5BBA">
      <w:pPr>
        <w:rPr>
          <w:rFonts w:ascii="Arial" w:hAnsi="Arial" w:cs="Arial"/>
          <w:sz w:val="22"/>
          <w:szCs w:val="22"/>
        </w:rPr>
      </w:pPr>
    </w:p>
    <w:p w14:paraId="1EC1118A" w14:textId="29A6CA9E" w:rsidR="00BF5BBA" w:rsidRDefault="00BF5BBA">
      <w:pPr>
        <w:rPr>
          <w:rFonts w:ascii="Arial" w:hAnsi="Arial" w:cs="Arial"/>
          <w:b/>
          <w:bCs/>
          <w:sz w:val="22"/>
          <w:szCs w:val="22"/>
        </w:rPr>
      </w:pPr>
    </w:p>
    <w:p w14:paraId="3792DB6F" w14:textId="52E09CF1" w:rsidR="00BF5BBA" w:rsidRPr="00B52924" w:rsidRDefault="00D61875" w:rsidP="00BF5BBA">
      <w:pPr>
        <w:jc w:val="center"/>
        <w:rPr>
          <w:rFonts w:ascii="Arial" w:hAnsi="Arial" w:cs="Arial"/>
          <w:b/>
          <w:bCs/>
          <w:sz w:val="22"/>
          <w:szCs w:val="22"/>
        </w:rPr>
      </w:pPr>
      <w:r w:rsidRPr="00D61875">
        <w:rPr>
          <w:rFonts w:ascii="Arial" w:hAnsi="Arial" w:cs="Arial"/>
          <w:b/>
          <w:bCs/>
          <w:sz w:val="22"/>
          <w:szCs w:val="22"/>
        </w:rPr>
        <w:t xml:space="preserve">Table </w:t>
      </w:r>
      <w:r w:rsidRPr="00D61875">
        <w:rPr>
          <w:rFonts w:ascii="Arial" w:eastAsia="MS Mincho" w:hAnsi="Arial" w:cs="Arial" w:hint="eastAsia"/>
          <w:b/>
          <w:bCs/>
          <w:sz w:val="22"/>
          <w:szCs w:val="22"/>
        </w:rPr>
        <w:t>S</w:t>
      </w:r>
      <w:r w:rsidRPr="00D61875">
        <w:rPr>
          <w:rFonts w:ascii="Arial" w:hAnsi="Arial" w:cs="Arial"/>
          <w:b/>
          <w:bCs/>
          <w:sz w:val="22"/>
          <w:szCs w:val="22"/>
        </w:rPr>
        <w:t>3</w:t>
      </w:r>
      <w:r w:rsidR="006D1E89" w:rsidRPr="00D61875">
        <w:rPr>
          <w:rFonts w:ascii="Arial" w:hAnsi="Arial" w:cs="Arial"/>
          <w:b/>
          <w:bCs/>
          <w:sz w:val="22"/>
          <w:szCs w:val="22"/>
        </w:rPr>
        <w:t xml:space="preserve"> Odds</w:t>
      </w:r>
      <w:r w:rsidR="006D1E89">
        <w:rPr>
          <w:rFonts w:ascii="Arial" w:hAnsi="Arial" w:cs="Arial"/>
          <w:b/>
          <w:bCs/>
          <w:sz w:val="22"/>
          <w:szCs w:val="22"/>
        </w:rPr>
        <w:t xml:space="preserve"> ratio for ODAC risk by efficacy in OS</w:t>
      </w:r>
    </w:p>
    <w:tbl>
      <w:tblPr>
        <w:tblW w:w="9990" w:type="dxa"/>
        <w:jc w:val="center"/>
        <w:tblLook w:val="04A0" w:firstRow="1" w:lastRow="0" w:firstColumn="1" w:lastColumn="0" w:noHBand="0" w:noVBand="1"/>
      </w:tblPr>
      <w:tblGrid>
        <w:gridCol w:w="4060"/>
        <w:gridCol w:w="2150"/>
        <w:gridCol w:w="2050"/>
        <w:gridCol w:w="1730"/>
      </w:tblGrid>
      <w:tr w:rsidR="00F13AC4" w14:paraId="14E66BF1" w14:textId="77777777" w:rsidTr="0070527A">
        <w:trPr>
          <w:trHeight w:val="730"/>
          <w:jc w:val="center"/>
        </w:trPr>
        <w:tc>
          <w:tcPr>
            <w:tcW w:w="4060" w:type="dxa"/>
            <w:tcBorders>
              <w:top w:val="single" w:sz="4" w:space="0" w:color="auto"/>
              <w:left w:val="nil"/>
              <w:bottom w:val="nil"/>
              <w:right w:val="nil"/>
            </w:tcBorders>
            <w:shd w:val="clear" w:color="000000" w:fill="FFFFFF"/>
            <w:noWrap/>
            <w:vAlign w:val="bottom"/>
            <w:hideMark/>
          </w:tcPr>
          <w:p w14:paraId="17F90E50" w14:textId="77777777" w:rsidR="00BF5BBA" w:rsidRPr="00D27434" w:rsidRDefault="006D1E89" w:rsidP="0070527A">
            <w:pPr>
              <w:spacing w:after="0" w:line="240" w:lineRule="auto"/>
              <w:rPr>
                <w:rFonts w:ascii="Arial" w:eastAsia="Times New Roman" w:hAnsi="Arial" w:cs="Arial"/>
                <w:noProof w:val="0"/>
                <w:color w:val="000000"/>
                <w:sz w:val="22"/>
                <w:szCs w:val="22"/>
              </w:rPr>
            </w:pPr>
            <w:r w:rsidRPr="00D27434">
              <w:rPr>
                <w:rFonts w:ascii="Arial" w:eastAsia="Times New Roman" w:hAnsi="Arial" w:cs="Arial"/>
                <w:noProof w:val="0"/>
                <w:color w:val="000000"/>
                <w:sz w:val="22"/>
                <w:szCs w:val="22"/>
              </w:rPr>
              <w:t> </w:t>
            </w:r>
          </w:p>
        </w:tc>
        <w:tc>
          <w:tcPr>
            <w:tcW w:w="4200" w:type="dxa"/>
            <w:gridSpan w:val="2"/>
            <w:tcBorders>
              <w:top w:val="single" w:sz="4" w:space="0" w:color="auto"/>
              <w:left w:val="nil"/>
              <w:bottom w:val="single" w:sz="4" w:space="0" w:color="auto"/>
              <w:right w:val="nil"/>
            </w:tcBorders>
            <w:shd w:val="clear" w:color="000000" w:fill="FFFFFF"/>
            <w:vAlign w:val="bottom"/>
            <w:hideMark/>
          </w:tcPr>
          <w:p w14:paraId="7648A938" w14:textId="4CCC4E99" w:rsidR="00B64E88" w:rsidRDefault="00B44F5F" w:rsidP="0070527A">
            <w:pPr>
              <w:spacing w:after="0" w:line="240" w:lineRule="auto"/>
              <w:jc w:val="center"/>
              <w:rPr>
                <w:rFonts w:ascii="Arial" w:hAnsi="Arial" w:cs="Arial"/>
                <w:noProof w:val="0"/>
                <w:color w:val="000000"/>
                <w:sz w:val="22"/>
                <w:szCs w:val="22"/>
              </w:rPr>
            </w:pPr>
            <w:r>
              <w:rPr>
                <w:rFonts w:ascii="Arial" w:hAnsi="Arial" w:cs="Arial" w:hint="eastAsia"/>
                <w:noProof w:val="0"/>
                <w:color w:val="000000"/>
                <w:sz w:val="22"/>
                <w:szCs w:val="22"/>
              </w:rPr>
              <w:t xml:space="preserve">Whether the observed </w:t>
            </w:r>
            <w:r w:rsidR="006D1E89" w:rsidRPr="00D27434">
              <w:rPr>
                <w:rFonts w:ascii="Arial" w:eastAsia="Times New Roman" w:hAnsi="Arial" w:cs="Arial"/>
                <w:noProof w:val="0"/>
                <w:color w:val="000000"/>
                <w:sz w:val="22"/>
                <w:szCs w:val="22"/>
              </w:rPr>
              <w:t xml:space="preserve">HR for OS </w:t>
            </w:r>
            <w:r>
              <w:rPr>
                <w:rFonts w:ascii="Arial" w:hAnsi="Arial" w:cs="Arial" w:hint="eastAsia"/>
                <w:noProof w:val="0"/>
                <w:color w:val="000000"/>
                <w:sz w:val="22"/>
                <w:szCs w:val="22"/>
              </w:rPr>
              <w:t xml:space="preserve">is </w:t>
            </w:r>
            <w:r w:rsidR="006D1E89" w:rsidRPr="00D27434">
              <w:rPr>
                <w:rFonts w:ascii="Arial" w:eastAsia="Times New Roman" w:hAnsi="Arial" w:cs="Arial"/>
                <w:noProof w:val="0"/>
                <w:color w:val="000000"/>
                <w:sz w:val="22"/>
                <w:szCs w:val="22"/>
              </w:rPr>
              <w:t>in boundary area</w:t>
            </w:r>
            <w:r>
              <w:rPr>
                <w:rFonts w:ascii="Arial" w:hAnsi="Arial" w:cs="Arial" w:hint="eastAsia"/>
                <w:noProof w:val="0"/>
                <w:color w:val="000000"/>
                <w:sz w:val="22"/>
                <w:szCs w:val="22"/>
              </w:rPr>
              <w:t xml:space="preserve"> or not</w:t>
            </w:r>
            <w:r w:rsidR="006D1E89" w:rsidRPr="00D27434">
              <w:rPr>
                <w:rFonts w:ascii="Arial" w:eastAsia="Times New Roman" w:hAnsi="Arial" w:cs="Arial"/>
                <w:noProof w:val="0"/>
                <w:color w:val="000000"/>
                <w:sz w:val="22"/>
                <w:szCs w:val="22"/>
              </w:rPr>
              <w:t xml:space="preserve"> </w:t>
            </w:r>
          </w:p>
          <w:p w14:paraId="48A6D67F" w14:textId="0178119F" w:rsidR="00BF5BBA" w:rsidRPr="00D27434" w:rsidRDefault="006D1E89" w:rsidP="0070527A">
            <w:pPr>
              <w:spacing w:after="0" w:line="240" w:lineRule="auto"/>
              <w:jc w:val="center"/>
              <w:rPr>
                <w:rFonts w:ascii="Arial" w:eastAsia="Times New Roman" w:hAnsi="Arial" w:cs="Arial"/>
                <w:noProof w:val="0"/>
                <w:color w:val="000000"/>
                <w:sz w:val="22"/>
                <w:szCs w:val="22"/>
              </w:rPr>
            </w:pPr>
            <w:r w:rsidRPr="00D27434">
              <w:rPr>
                <w:rFonts w:ascii="Arial" w:eastAsia="Times New Roman" w:hAnsi="Arial" w:cs="Arial"/>
                <w:noProof w:val="0"/>
                <w:color w:val="000000"/>
                <w:sz w:val="22"/>
                <w:szCs w:val="22"/>
              </w:rPr>
              <w:t xml:space="preserve">(HR 0.74 - 0.86) </w:t>
            </w:r>
          </w:p>
        </w:tc>
        <w:tc>
          <w:tcPr>
            <w:tcW w:w="1730" w:type="dxa"/>
            <w:tcBorders>
              <w:top w:val="single" w:sz="4" w:space="0" w:color="auto"/>
              <w:left w:val="nil"/>
              <w:bottom w:val="nil"/>
              <w:right w:val="nil"/>
            </w:tcBorders>
            <w:shd w:val="clear" w:color="000000" w:fill="FFFFFF"/>
            <w:noWrap/>
            <w:vAlign w:val="bottom"/>
            <w:hideMark/>
          </w:tcPr>
          <w:p w14:paraId="437FB242" w14:textId="77777777" w:rsidR="00BF5BBA" w:rsidRPr="00D27434" w:rsidRDefault="006D1E89" w:rsidP="0070527A">
            <w:pPr>
              <w:spacing w:after="0" w:line="240" w:lineRule="auto"/>
              <w:rPr>
                <w:rFonts w:ascii="Arial" w:eastAsia="Times New Roman" w:hAnsi="Arial" w:cs="Arial"/>
                <w:noProof w:val="0"/>
                <w:color w:val="000000"/>
                <w:sz w:val="22"/>
                <w:szCs w:val="22"/>
              </w:rPr>
            </w:pPr>
            <w:r w:rsidRPr="00D27434">
              <w:rPr>
                <w:rFonts w:ascii="Arial" w:eastAsia="Times New Roman" w:hAnsi="Arial" w:cs="Arial"/>
                <w:noProof w:val="0"/>
                <w:color w:val="000000"/>
                <w:sz w:val="22"/>
                <w:szCs w:val="22"/>
              </w:rPr>
              <w:t> </w:t>
            </w:r>
          </w:p>
        </w:tc>
      </w:tr>
      <w:tr w:rsidR="00F13AC4" w14:paraId="19EDED5A" w14:textId="77777777" w:rsidTr="0070527A">
        <w:trPr>
          <w:trHeight w:val="300"/>
          <w:jc w:val="center"/>
        </w:trPr>
        <w:tc>
          <w:tcPr>
            <w:tcW w:w="4060" w:type="dxa"/>
            <w:tcBorders>
              <w:top w:val="nil"/>
              <w:left w:val="nil"/>
              <w:bottom w:val="double" w:sz="6" w:space="0" w:color="auto"/>
              <w:right w:val="nil"/>
            </w:tcBorders>
            <w:shd w:val="clear" w:color="000000" w:fill="FFFFFF"/>
            <w:vAlign w:val="bottom"/>
            <w:hideMark/>
          </w:tcPr>
          <w:p w14:paraId="66C7A77C" w14:textId="77777777" w:rsidR="00BF5BBA" w:rsidRPr="00D27434" w:rsidRDefault="006D1E89" w:rsidP="0070527A">
            <w:pPr>
              <w:spacing w:after="0" w:line="240" w:lineRule="auto"/>
              <w:rPr>
                <w:rFonts w:ascii="Arial" w:eastAsia="Times New Roman" w:hAnsi="Arial" w:cs="Arial"/>
                <w:noProof w:val="0"/>
                <w:color w:val="000000"/>
                <w:sz w:val="22"/>
                <w:szCs w:val="22"/>
              </w:rPr>
            </w:pPr>
            <w:r w:rsidRPr="00D27434">
              <w:rPr>
                <w:rFonts w:ascii="Arial" w:eastAsia="Times New Roman" w:hAnsi="Arial" w:cs="Arial"/>
                <w:noProof w:val="0"/>
                <w:color w:val="000000"/>
                <w:sz w:val="22"/>
                <w:szCs w:val="22"/>
              </w:rPr>
              <w:t> </w:t>
            </w:r>
          </w:p>
        </w:tc>
        <w:tc>
          <w:tcPr>
            <w:tcW w:w="2150" w:type="dxa"/>
            <w:tcBorders>
              <w:top w:val="nil"/>
              <w:left w:val="nil"/>
              <w:bottom w:val="double" w:sz="6" w:space="0" w:color="auto"/>
              <w:right w:val="nil"/>
            </w:tcBorders>
            <w:shd w:val="clear" w:color="000000" w:fill="FFFFFF"/>
            <w:vAlign w:val="center"/>
            <w:hideMark/>
          </w:tcPr>
          <w:p w14:paraId="14711CF6" w14:textId="77777777" w:rsidR="00BF5BBA" w:rsidRPr="00D27434" w:rsidRDefault="006D1E89" w:rsidP="0070527A">
            <w:pPr>
              <w:spacing w:after="0" w:line="240" w:lineRule="auto"/>
              <w:jc w:val="center"/>
              <w:rPr>
                <w:rFonts w:ascii="Arial" w:eastAsia="Times New Roman" w:hAnsi="Arial" w:cs="Arial"/>
                <w:noProof w:val="0"/>
                <w:color w:val="000000"/>
                <w:sz w:val="22"/>
                <w:szCs w:val="22"/>
              </w:rPr>
            </w:pPr>
            <w:r w:rsidRPr="00D27434">
              <w:rPr>
                <w:rFonts w:ascii="Arial" w:eastAsia="Times New Roman" w:hAnsi="Arial" w:cs="Arial"/>
                <w:noProof w:val="0"/>
                <w:color w:val="000000"/>
                <w:sz w:val="22"/>
                <w:szCs w:val="22"/>
              </w:rPr>
              <w:t>Yes</w:t>
            </w:r>
          </w:p>
        </w:tc>
        <w:tc>
          <w:tcPr>
            <w:tcW w:w="2050" w:type="dxa"/>
            <w:tcBorders>
              <w:top w:val="nil"/>
              <w:left w:val="nil"/>
              <w:bottom w:val="double" w:sz="6" w:space="0" w:color="auto"/>
              <w:right w:val="nil"/>
            </w:tcBorders>
            <w:shd w:val="clear" w:color="000000" w:fill="FFFFFF"/>
            <w:vAlign w:val="center"/>
            <w:hideMark/>
          </w:tcPr>
          <w:p w14:paraId="5270C5D5" w14:textId="77777777" w:rsidR="00BF5BBA" w:rsidRPr="00D27434" w:rsidRDefault="006D1E89" w:rsidP="0070527A">
            <w:pPr>
              <w:spacing w:after="0" w:line="240" w:lineRule="auto"/>
              <w:jc w:val="center"/>
              <w:rPr>
                <w:rFonts w:ascii="Arial" w:eastAsia="Times New Roman" w:hAnsi="Arial" w:cs="Arial"/>
                <w:noProof w:val="0"/>
                <w:color w:val="000000"/>
                <w:sz w:val="22"/>
                <w:szCs w:val="22"/>
              </w:rPr>
            </w:pPr>
            <w:r w:rsidRPr="00D27434">
              <w:rPr>
                <w:rFonts w:ascii="Arial" w:eastAsia="Times New Roman" w:hAnsi="Arial" w:cs="Arial"/>
                <w:noProof w:val="0"/>
                <w:color w:val="000000"/>
                <w:sz w:val="22"/>
                <w:szCs w:val="22"/>
              </w:rPr>
              <w:t>No</w:t>
            </w:r>
          </w:p>
        </w:tc>
        <w:tc>
          <w:tcPr>
            <w:tcW w:w="1730" w:type="dxa"/>
            <w:tcBorders>
              <w:top w:val="nil"/>
              <w:left w:val="nil"/>
              <w:bottom w:val="double" w:sz="6" w:space="0" w:color="auto"/>
              <w:right w:val="nil"/>
            </w:tcBorders>
            <w:shd w:val="clear" w:color="000000" w:fill="FFFFFF"/>
            <w:noWrap/>
            <w:vAlign w:val="center"/>
            <w:hideMark/>
          </w:tcPr>
          <w:p w14:paraId="4B626C9F" w14:textId="77777777" w:rsidR="00BF5BBA" w:rsidRPr="00D27434" w:rsidRDefault="006D1E89" w:rsidP="0070527A">
            <w:pPr>
              <w:spacing w:after="0" w:line="240" w:lineRule="auto"/>
              <w:jc w:val="center"/>
              <w:rPr>
                <w:rFonts w:ascii="Arial" w:eastAsia="Times New Roman" w:hAnsi="Arial" w:cs="Arial"/>
                <w:noProof w:val="0"/>
                <w:color w:val="000000"/>
                <w:sz w:val="22"/>
                <w:szCs w:val="22"/>
              </w:rPr>
            </w:pPr>
            <w:r w:rsidRPr="00D27434">
              <w:rPr>
                <w:rFonts w:ascii="Arial" w:eastAsia="Times New Roman" w:hAnsi="Arial" w:cs="Arial"/>
                <w:noProof w:val="0"/>
                <w:color w:val="000000"/>
                <w:sz w:val="22"/>
                <w:szCs w:val="22"/>
              </w:rPr>
              <w:t>Total</w:t>
            </w:r>
          </w:p>
        </w:tc>
      </w:tr>
      <w:tr w:rsidR="00F13AC4" w14:paraId="1ACF61E6" w14:textId="77777777" w:rsidTr="0070527A">
        <w:trPr>
          <w:trHeight w:val="300"/>
          <w:jc w:val="center"/>
        </w:trPr>
        <w:tc>
          <w:tcPr>
            <w:tcW w:w="4060" w:type="dxa"/>
            <w:tcBorders>
              <w:top w:val="nil"/>
              <w:left w:val="nil"/>
              <w:bottom w:val="nil"/>
              <w:right w:val="nil"/>
            </w:tcBorders>
            <w:shd w:val="clear" w:color="000000" w:fill="FFFFFF"/>
            <w:vAlign w:val="bottom"/>
            <w:hideMark/>
          </w:tcPr>
          <w:p w14:paraId="57B74426" w14:textId="77777777" w:rsidR="00BF5BBA" w:rsidRPr="00D27434" w:rsidRDefault="006D1E89" w:rsidP="0070527A">
            <w:pPr>
              <w:spacing w:after="0" w:line="240" w:lineRule="auto"/>
              <w:rPr>
                <w:rFonts w:ascii="Arial" w:eastAsia="Times New Roman" w:hAnsi="Arial" w:cs="Arial"/>
                <w:noProof w:val="0"/>
                <w:color w:val="000000"/>
                <w:sz w:val="22"/>
                <w:szCs w:val="22"/>
              </w:rPr>
            </w:pPr>
            <w:r w:rsidRPr="00D27434">
              <w:rPr>
                <w:rFonts w:ascii="Arial" w:eastAsia="Times New Roman" w:hAnsi="Arial" w:cs="Arial"/>
                <w:noProof w:val="0"/>
                <w:color w:val="000000"/>
                <w:sz w:val="22"/>
                <w:szCs w:val="22"/>
              </w:rPr>
              <w:t>FDA consulted with ODAC</w:t>
            </w:r>
          </w:p>
        </w:tc>
        <w:tc>
          <w:tcPr>
            <w:tcW w:w="2150" w:type="dxa"/>
            <w:tcBorders>
              <w:top w:val="nil"/>
              <w:left w:val="nil"/>
              <w:bottom w:val="nil"/>
              <w:right w:val="nil"/>
            </w:tcBorders>
            <w:shd w:val="clear" w:color="000000" w:fill="FFFFFF"/>
            <w:noWrap/>
            <w:vAlign w:val="bottom"/>
            <w:hideMark/>
          </w:tcPr>
          <w:p w14:paraId="2CBE5753" w14:textId="77777777" w:rsidR="00BF5BBA" w:rsidRPr="00D27434" w:rsidRDefault="006D1E89" w:rsidP="0070527A">
            <w:pPr>
              <w:spacing w:after="0" w:line="240" w:lineRule="auto"/>
              <w:jc w:val="right"/>
              <w:rPr>
                <w:rFonts w:ascii="Arial" w:eastAsia="Times New Roman" w:hAnsi="Arial" w:cs="Arial"/>
                <w:noProof w:val="0"/>
                <w:color w:val="000000"/>
                <w:sz w:val="22"/>
                <w:szCs w:val="22"/>
              </w:rPr>
            </w:pPr>
            <w:r w:rsidRPr="00D27434">
              <w:rPr>
                <w:rFonts w:ascii="Arial" w:eastAsia="Times New Roman" w:hAnsi="Arial" w:cs="Arial"/>
                <w:noProof w:val="0"/>
                <w:color w:val="000000"/>
                <w:sz w:val="22"/>
                <w:szCs w:val="22"/>
              </w:rPr>
              <w:t>5 [11.9%]</w:t>
            </w:r>
          </w:p>
        </w:tc>
        <w:tc>
          <w:tcPr>
            <w:tcW w:w="2050" w:type="dxa"/>
            <w:tcBorders>
              <w:top w:val="nil"/>
              <w:left w:val="nil"/>
              <w:bottom w:val="nil"/>
              <w:right w:val="nil"/>
            </w:tcBorders>
            <w:shd w:val="clear" w:color="000000" w:fill="FFFFFF"/>
            <w:noWrap/>
            <w:vAlign w:val="bottom"/>
            <w:hideMark/>
          </w:tcPr>
          <w:p w14:paraId="1D28C5C0" w14:textId="77777777" w:rsidR="00BF5BBA" w:rsidRPr="00D27434" w:rsidRDefault="006D1E89" w:rsidP="0070527A">
            <w:pPr>
              <w:spacing w:after="0" w:line="240" w:lineRule="auto"/>
              <w:jc w:val="right"/>
              <w:rPr>
                <w:rFonts w:ascii="Arial" w:eastAsia="Times New Roman" w:hAnsi="Arial" w:cs="Arial"/>
                <w:noProof w:val="0"/>
                <w:color w:val="000000"/>
                <w:sz w:val="22"/>
                <w:szCs w:val="22"/>
              </w:rPr>
            </w:pPr>
            <w:r w:rsidRPr="00D27434">
              <w:rPr>
                <w:rFonts w:ascii="Arial" w:eastAsia="Times New Roman" w:hAnsi="Arial" w:cs="Arial"/>
                <w:noProof w:val="0"/>
                <w:color w:val="000000"/>
                <w:sz w:val="22"/>
                <w:szCs w:val="22"/>
              </w:rPr>
              <w:t>1 [0.6%]</w:t>
            </w:r>
          </w:p>
        </w:tc>
        <w:tc>
          <w:tcPr>
            <w:tcW w:w="1730" w:type="dxa"/>
            <w:tcBorders>
              <w:top w:val="nil"/>
              <w:left w:val="nil"/>
              <w:bottom w:val="nil"/>
              <w:right w:val="nil"/>
            </w:tcBorders>
            <w:shd w:val="clear" w:color="000000" w:fill="FFFFFF"/>
            <w:noWrap/>
            <w:vAlign w:val="bottom"/>
            <w:hideMark/>
          </w:tcPr>
          <w:p w14:paraId="40370BE0" w14:textId="77777777" w:rsidR="00BF5BBA" w:rsidRPr="00D27434" w:rsidRDefault="006D1E89" w:rsidP="0070527A">
            <w:pPr>
              <w:spacing w:after="0" w:line="240" w:lineRule="auto"/>
              <w:jc w:val="right"/>
              <w:rPr>
                <w:rFonts w:ascii="Arial" w:eastAsia="Times New Roman" w:hAnsi="Arial" w:cs="Arial"/>
                <w:noProof w:val="0"/>
                <w:color w:val="000000"/>
                <w:sz w:val="22"/>
                <w:szCs w:val="22"/>
              </w:rPr>
            </w:pPr>
            <w:r w:rsidRPr="00D27434">
              <w:rPr>
                <w:rFonts w:ascii="Arial" w:eastAsia="Times New Roman" w:hAnsi="Arial" w:cs="Arial"/>
                <w:noProof w:val="0"/>
                <w:color w:val="000000"/>
                <w:sz w:val="22"/>
                <w:szCs w:val="22"/>
              </w:rPr>
              <w:t>6</w:t>
            </w:r>
          </w:p>
        </w:tc>
      </w:tr>
      <w:tr w:rsidR="00F13AC4" w14:paraId="456CAB4F" w14:textId="77777777" w:rsidTr="0070527A">
        <w:trPr>
          <w:trHeight w:val="290"/>
          <w:jc w:val="center"/>
        </w:trPr>
        <w:tc>
          <w:tcPr>
            <w:tcW w:w="4060" w:type="dxa"/>
            <w:tcBorders>
              <w:top w:val="nil"/>
              <w:left w:val="nil"/>
              <w:right w:val="nil"/>
            </w:tcBorders>
            <w:shd w:val="clear" w:color="000000" w:fill="FFFFFF"/>
            <w:vAlign w:val="bottom"/>
            <w:hideMark/>
          </w:tcPr>
          <w:p w14:paraId="20EB8002" w14:textId="77777777" w:rsidR="00BF5BBA" w:rsidRPr="00D27434" w:rsidRDefault="006D1E89" w:rsidP="0070527A">
            <w:pPr>
              <w:spacing w:after="0" w:line="240" w:lineRule="auto"/>
              <w:rPr>
                <w:rFonts w:ascii="Arial" w:eastAsia="Times New Roman" w:hAnsi="Arial" w:cs="Arial"/>
                <w:noProof w:val="0"/>
                <w:color w:val="000000"/>
                <w:sz w:val="22"/>
                <w:szCs w:val="22"/>
              </w:rPr>
            </w:pPr>
            <w:r w:rsidRPr="00D27434">
              <w:rPr>
                <w:rFonts w:ascii="Arial" w:eastAsia="Times New Roman" w:hAnsi="Arial" w:cs="Arial"/>
                <w:noProof w:val="0"/>
                <w:color w:val="000000"/>
                <w:sz w:val="22"/>
                <w:szCs w:val="22"/>
              </w:rPr>
              <w:t>FDA did not consult with ODAC</w:t>
            </w:r>
          </w:p>
        </w:tc>
        <w:tc>
          <w:tcPr>
            <w:tcW w:w="2150" w:type="dxa"/>
            <w:tcBorders>
              <w:top w:val="nil"/>
              <w:left w:val="nil"/>
              <w:right w:val="nil"/>
            </w:tcBorders>
            <w:shd w:val="clear" w:color="000000" w:fill="FFFFFF"/>
            <w:noWrap/>
            <w:vAlign w:val="bottom"/>
            <w:hideMark/>
          </w:tcPr>
          <w:p w14:paraId="059AA333" w14:textId="77777777" w:rsidR="00BF5BBA" w:rsidRPr="00D27434" w:rsidRDefault="006D1E89" w:rsidP="0070527A">
            <w:pPr>
              <w:spacing w:after="0" w:line="240" w:lineRule="auto"/>
              <w:jc w:val="right"/>
              <w:rPr>
                <w:rFonts w:ascii="Arial" w:eastAsia="Times New Roman" w:hAnsi="Arial" w:cs="Arial"/>
                <w:noProof w:val="0"/>
                <w:color w:val="000000"/>
                <w:sz w:val="22"/>
                <w:szCs w:val="22"/>
              </w:rPr>
            </w:pPr>
            <w:r w:rsidRPr="00D27434">
              <w:rPr>
                <w:rFonts w:ascii="Arial" w:eastAsia="Times New Roman" w:hAnsi="Arial" w:cs="Arial"/>
                <w:noProof w:val="0"/>
                <w:color w:val="000000"/>
                <w:sz w:val="22"/>
                <w:szCs w:val="22"/>
              </w:rPr>
              <w:t>37 [88.1%]</w:t>
            </w:r>
          </w:p>
        </w:tc>
        <w:tc>
          <w:tcPr>
            <w:tcW w:w="2050" w:type="dxa"/>
            <w:tcBorders>
              <w:top w:val="nil"/>
              <w:left w:val="nil"/>
              <w:right w:val="nil"/>
            </w:tcBorders>
            <w:shd w:val="clear" w:color="000000" w:fill="FFFFFF"/>
            <w:noWrap/>
            <w:vAlign w:val="bottom"/>
            <w:hideMark/>
          </w:tcPr>
          <w:p w14:paraId="1873802C" w14:textId="77777777" w:rsidR="00BF5BBA" w:rsidRPr="00D27434" w:rsidRDefault="006D1E89" w:rsidP="0070527A">
            <w:pPr>
              <w:spacing w:after="0" w:line="240" w:lineRule="auto"/>
              <w:jc w:val="right"/>
              <w:rPr>
                <w:rFonts w:ascii="Arial" w:eastAsia="Times New Roman" w:hAnsi="Arial" w:cs="Arial"/>
                <w:noProof w:val="0"/>
                <w:color w:val="000000"/>
                <w:sz w:val="22"/>
                <w:szCs w:val="22"/>
              </w:rPr>
            </w:pPr>
            <w:r w:rsidRPr="00D27434">
              <w:rPr>
                <w:rFonts w:ascii="Arial" w:eastAsia="Times New Roman" w:hAnsi="Arial" w:cs="Arial"/>
                <w:noProof w:val="0"/>
                <w:color w:val="000000"/>
                <w:sz w:val="22"/>
                <w:szCs w:val="22"/>
              </w:rPr>
              <w:t>165 [99.4%]</w:t>
            </w:r>
          </w:p>
        </w:tc>
        <w:tc>
          <w:tcPr>
            <w:tcW w:w="1730" w:type="dxa"/>
            <w:tcBorders>
              <w:top w:val="nil"/>
              <w:left w:val="nil"/>
              <w:right w:val="nil"/>
            </w:tcBorders>
            <w:shd w:val="clear" w:color="000000" w:fill="FFFFFF"/>
            <w:noWrap/>
            <w:vAlign w:val="bottom"/>
            <w:hideMark/>
          </w:tcPr>
          <w:p w14:paraId="2208C4A5" w14:textId="77777777" w:rsidR="00BF5BBA" w:rsidRPr="00D27434" w:rsidRDefault="006D1E89" w:rsidP="0070527A">
            <w:pPr>
              <w:spacing w:after="0" w:line="240" w:lineRule="auto"/>
              <w:jc w:val="right"/>
              <w:rPr>
                <w:rFonts w:ascii="Arial" w:eastAsia="Times New Roman" w:hAnsi="Arial" w:cs="Arial"/>
                <w:noProof w:val="0"/>
                <w:color w:val="000000"/>
                <w:sz w:val="22"/>
                <w:szCs w:val="22"/>
              </w:rPr>
            </w:pPr>
            <w:r w:rsidRPr="00D27434">
              <w:rPr>
                <w:rFonts w:ascii="Arial" w:eastAsia="Times New Roman" w:hAnsi="Arial" w:cs="Arial"/>
                <w:noProof w:val="0"/>
                <w:color w:val="000000"/>
                <w:sz w:val="22"/>
                <w:szCs w:val="22"/>
              </w:rPr>
              <w:t>202</w:t>
            </w:r>
          </w:p>
        </w:tc>
      </w:tr>
      <w:tr w:rsidR="00F13AC4" w14:paraId="0E35C27A" w14:textId="77777777" w:rsidTr="0070527A">
        <w:trPr>
          <w:trHeight w:val="290"/>
          <w:jc w:val="center"/>
        </w:trPr>
        <w:tc>
          <w:tcPr>
            <w:tcW w:w="4060" w:type="dxa"/>
            <w:tcBorders>
              <w:top w:val="nil"/>
              <w:left w:val="nil"/>
              <w:right w:val="nil"/>
            </w:tcBorders>
            <w:shd w:val="clear" w:color="000000" w:fill="FFFFFF"/>
            <w:noWrap/>
            <w:vAlign w:val="bottom"/>
            <w:hideMark/>
          </w:tcPr>
          <w:p w14:paraId="74F4C678" w14:textId="77777777" w:rsidR="00BF5BBA" w:rsidRPr="00D27434" w:rsidRDefault="006D1E89" w:rsidP="0070527A">
            <w:pPr>
              <w:spacing w:after="0" w:line="240" w:lineRule="auto"/>
              <w:rPr>
                <w:rFonts w:ascii="Arial" w:eastAsia="Times New Roman" w:hAnsi="Arial" w:cs="Arial"/>
                <w:noProof w:val="0"/>
                <w:color w:val="000000"/>
                <w:sz w:val="22"/>
                <w:szCs w:val="22"/>
              </w:rPr>
            </w:pPr>
            <w:r w:rsidRPr="00D27434">
              <w:rPr>
                <w:rFonts w:ascii="Arial" w:eastAsia="Times New Roman" w:hAnsi="Arial" w:cs="Arial"/>
                <w:noProof w:val="0"/>
                <w:color w:val="000000"/>
                <w:sz w:val="22"/>
                <w:szCs w:val="22"/>
              </w:rPr>
              <w:t>Total</w:t>
            </w:r>
          </w:p>
        </w:tc>
        <w:tc>
          <w:tcPr>
            <w:tcW w:w="2150" w:type="dxa"/>
            <w:tcBorders>
              <w:top w:val="nil"/>
              <w:left w:val="nil"/>
              <w:right w:val="nil"/>
            </w:tcBorders>
            <w:shd w:val="clear" w:color="000000" w:fill="FFFFFF"/>
            <w:noWrap/>
            <w:vAlign w:val="bottom"/>
            <w:hideMark/>
          </w:tcPr>
          <w:p w14:paraId="6D6EE273" w14:textId="77777777" w:rsidR="00BF5BBA" w:rsidRPr="00D27434" w:rsidRDefault="006D1E89" w:rsidP="0070527A">
            <w:pPr>
              <w:spacing w:after="0" w:line="240" w:lineRule="auto"/>
              <w:jc w:val="right"/>
              <w:rPr>
                <w:rFonts w:ascii="Arial" w:eastAsia="Times New Roman" w:hAnsi="Arial" w:cs="Arial"/>
                <w:noProof w:val="0"/>
                <w:color w:val="000000"/>
                <w:sz w:val="22"/>
                <w:szCs w:val="22"/>
              </w:rPr>
            </w:pPr>
            <w:r w:rsidRPr="00D27434">
              <w:rPr>
                <w:rFonts w:ascii="Arial" w:eastAsia="Times New Roman" w:hAnsi="Arial" w:cs="Arial"/>
                <w:noProof w:val="0"/>
                <w:color w:val="000000"/>
                <w:sz w:val="22"/>
                <w:szCs w:val="22"/>
              </w:rPr>
              <w:t>42 [100%]</w:t>
            </w:r>
          </w:p>
        </w:tc>
        <w:tc>
          <w:tcPr>
            <w:tcW w:w="2050" w:type="dxa"/>
            <w:tcBorders>
              <w:top w:val="nil"/>
              <w:left w:val="nil"/>
              <w:right w:val="nil"/>
            </w:tcBorders>
            <w:shd w:val="clear" w:color="000000" w:fill="FFFFFF"/>
            <w:noWrap/>
            <w:vAlign w:val="bottom"/>
            <w:hideMark/>
          </w:tcPr>
          <w:p w14:paraId="51F25588" w14:textId="77777777" w:rsidR="00BF5BBA" w:rsidRPr="00D27434" w:rsidRDefault="006D1E89" w:rsidP="0070527A">
            <w:pPr>
              <w:spacing w:after="0" w:line="240" w:lineRule="auto"/>
              <w:jc w:val="right"/>
              <w:rPr>
                <w:rFonts w:ascii="Arial" w:eastAsia="Times New Roman" w:hAnsi="Arial" w:cs="Arial"/>
                <w:noProof w:val="0"/>
                <w:color w:val="000000"/>
                <w:sz w:val="22"/>
                <w:szCs w:val="22"/>
              </w:rPr>
            </w:pPr>
            <w:r w:rsidRPr="00D27434">
              <w:rPr>
                <w:rFonts w:ascii="Arial" w:eastAsia="Times New Roman" w:hAnsi="Arial" w:cs="Arial"/>
                <w:noProof w:val="0"/>
                <w:color w:val="000000"/>
                <w:sz w:val="22"/>
                <w:szCs w:val="22"/>
              </w:rPr>
              <w:t>166 [100%]</w:t>
            </w:r>
          </w:p>
        </w:tc>
        <w:tc>
          <w:tcPr>
            <w:tcW w:w="1730" w:type="dxa"/>
            <w:tcBorders>
              <w:top w:val="nil"/>
              <w:left w:val="nil"/>
              <w:right w:val="nil"/>
            </w:tcBorders>
            <w:shd w:val="clear" w:color="000000" w:fill="FFFFFF"/>
            <w:noWrap/>
            <w:vAlign w:val="bottom"/>
            <w:hideMark/>
          </w:tcPr>
          <w:p w14:paraId="58C810B5" w14:textId="77777777" w:rsidR="00BF5BBA" w:rsidRPr="00D27434" w:rsidRDefault="006D1E89" w:rsidP="0070527A">
            <w:pPr>
              <w:spacing w:after="0" w:line="240" w:lineRule="auto"/>
              <w:jc w:val="right"/>
              <w:rPr>
                <w:rFonts w:ascii="Arial" w:eastAsia="Times New Roman" w:hAnsi="Arial" w:cs="Arial"/>
                <w:noProof w:val="0"/>
                <w:color w:val="000000"/>
                <w:sz w:val="22"/>
                <w:szCs w:val="22"/>
              </w:rPr>
            </w:pPr>
            <w:r w:rsidRPr="00D27434">
              <w:rPr>
                <w:rFonts w:ascii="Arial" w:eastAsia="Times New Roman" w:hAnsi="Arial" w:cs="Arial"/>
                <w:noProof w:val="0"/>
                <w:color w:val="000000"/>
                <w:sz w:val="22"/>
                <w:szCs w:val="22"/>
              </w:rPr>
              <w:t>208</w:t>
            </w:r>
          </w:p>
        </w:tc>
      </w:tr>
      <w:tr w:rsidR="00F13AC4" w14:paraId="27AA1FBD" w14:textId="77777777" w:rsidTr="0070527A">
        <w:trPr>
          <w:trHeight w:val="290"/>
          <w:jc w:val="center"/>
        </w:trPr>
        <w:tc>
          <w:tcPr>
            <w:tcW w:w="4060" w:type="dxa"/>
            <w:shd w:val="clear" w:color="000000" w:fill="FFFFFF"/>
            <w:noWrap/>
            <w:vAlign w:val="bottom"/>
          </w:tcPr>
          <w:p w14:paraId="3F728A2D" w14:textId="77777777" w:rsidR="00BF5BBA" w:rsidRPr="00D27434" w:rsidRDefault="006D1E89" w:rsidP="0070527A">
            <w:pPr>
              <w:spacing w:after="0" w:line="240" w:lineRule="auto"/>
              <w:rPr>
                <w:rFonts w:ascii="Arial" w:eastAsia="Times New Roman" w:hAnsi="Arial" w:cs="Arial"/>
                <w:noProof w:val="0"/>
                <w:color w:val="000000"/>
                <w:sz w:val="22"/>
                <w:szCs w:val="22"/>
              </w:rPr>
            </w:pPr>
            <w:r w:rsidRPr="00D27434">
              <w:rPr>
                <w:rFonts w:ascii="Arial" w:eastAsia="Times New Roman" w:hAnsi="Arial" w:cs="Arial"/>
                <w:noProof w:val="0"/>
                <w:color w:val="000000"/>
                <w:sz w:val="22"/>
                <w:szCs w:val="22"/>
              </w:rPr>
              <w:t>Odds ratio</w:t>
            </w:r>
          </w:p>
        </w:tc>
        <w:tc>
          <w:tcPr>
            <w:tcW w:w="4200" w:type="dxa"/>
            <w:gridSpan w:val="2"/>
            <w:shd w:val="clear" w:color="000000" w:fill="FFFFFF"/>
            <w:noWrap/>
            <w:vAlign w:val="bottom"/>
          </w:tcPr>
          <w:p w14:paraId="282BC19B" w14:textId="77777777" w:rsidR="00BF5BBA" w:rsidRPr="00D27434" w:rsidRDefault="006D1E89" w:rsidP="0070527A">
            <w:pPr>
              <w:spacing w:after="0" w:line="240" w:lineRule="auto"/>
              <w:jc w:val="right"/>
              <w:rPr>
                <w:rFonts w:ascii="Arial" w:eastAsia="Times New Roman" w:hAnsi="Arial" w:cs="Arial"/>
                <w:noProof w:val="0"/>
                <w:color w:val="000000"/>
                <w:sz w:val="22"/>
                <w:szCs w:val="22"/>
              </w:rPr>
            </w:pPr>
            <w:r w:rsidRPr="00D27434">
              <w:rPr>
                <w:rFonts w:ascii="Arial" w:eastAsia="Times New Roman" w:hAnsi="Arial" w:cs="Arial"/>
                <w:noProof w:val="0"/>
                <w:color w:val="000000"/>
                <w:sz w:val="22"/>
                <w:szCs w:val="22"/>
              </w:rPr>
              <w:t>22.3</w:t>
            </w:r>
          </w:p>
        </w:tc>
        <w:tc>
          <w:tcPr>
            <w:tcW w:w="1730" w:type="dxa"/>
            <w:shd w:val="clear" w:color="000000" w:fill="FFFFFF"/>
            <w:noWrap/>
            <w:vAlign w:val="bottom"/>
          </w:tcPr>
          <w:p w14:paraId="31AF284F" w14:textId="77777777" w:rsidR="00BF5BBA" w:rsidRPr="00D27434" w:rsidRDefault="00BF5BBA" w:rsidP="0070527A">
            <w:pPr>
              <w:spacing w:after="0" w:line="240" w:lineRule="auto"/>
              <w:jc w:val="right"/>
              <w:rPr>
                <w:rFonts w:ascii="Arial" w:eastAsia="Times New Roman" w:hAnsi="Arial" w:cs="Arial"/>
                <w:noProof w:val="0"/>
                <w:color w:val="000000"/>
                <w:sz w:val="22"/>
                <w:szCs w:val="22"/>
              </w:rPr>
            </w:pPr>
          </w:p>
        </w:tc>
      </w:tr>
      <w:tr w:rsidR="00F13AC4" w14:paraId="3355864D" w14:textId="77777777" w:rsidTr="0070527A">
        <w:trPr>
          <w:trHeight w:val="290"/>
          <w:jc w:val="center"/>
        </w:trPr>
        <w:tc>
          <w:tcPr>
            <w:tcW w:w="4060" w:type="dxa"/>
            <w:tcBorders>
              <w:bottom w:val="single" w:sz="4" w:space="0" w:color="auto"/>
            </w:tcBorders>
            <w:shd w:val="clear" w:color="000000" w:fill="FFFFFF"/>
            <w:noWrap/>
            <w:vAlign w:val="bottom"/>
          </w:tcPr>
          <w:p w14:paraId="4490629D" w14:textId="77777777" w:rsidR="00BF5BBA" w:rsidRPr="00D27434" w:rsidRDefault="006D1E89" w:rsidP="0070527A">
            <w:pPr>
              <w:spacing w:after="0" w:line="240" w:lineRule="auto"/>
              <w:rPr>
                <w:rFonts w:ascii="Arial" w:eastAsia="Times New Roman" w:hAnsi="Arial" w:cs="Arial"/>
                <w:noProof w:val="0"/>
                <w:color w:val="000000"/>
                <w:sz w:val="22"/>
                <w:szCs w:val="22"/>
              </w:rPr>
            </w:pPr>
            <w:r w:rsidRPr="00D27434">
              <w:rPr>
                <w:rFonts w:ascii="Arial" w:eastAsia="Times New Roman" w:hAnsi="Arial" w:cs="Arial"/>
                <w:noProof w:val="0"/>
                <w:color w:val="000000"/>
                <w:sz w:val="22"/>
                <w:szCs w:val="22"/>
              </w:rPr>
              <w:t>p-value (Pearson's chi-squared test)</w:t>
            </w:r>
          </w:p>
        </w:tc>
        <w:tc>
          <w:tcPr>
            <w:tcW w:w="4200" w:type="dxa"/>
            <w:gridSpan w:val="2"/>
            <w:tcBorders>
              <w:bottom w:val="single" w:sz="4" w:space="0" w:color="auto"/>
            </w:tcBorders>
            <w:shd w:val="clear" w:color="000000" w:fill="FFFFFF"/>
            <w:noWrap/>
            <w:vAlign w:val="bottom"/>
          </w:tcPr>
          <w:p w14:paraId="7223E96A" w14:textId="77777777" w:rsidR="00BF5BBA" w:rsidRPr="00D27434" w:rsidRDefault="006D1E89" w:rsidP="0070527A">
            <w:pPr>
              <w:spacing w:after="0" w:line="240" w:lineRule="auto"/>
              <w:jc w:val="right"/>
              <w:rPr>
                <w:rFonts w:ascii="Arial" w:eastAsia="Times New Roman" w:hAnsi="Arial" w:cs="Arial"/>
                <w:noProof w:val="0"/>
                <w:color w:val="000000"/>
                <w:sz w:val="22"/>
                <w:szCs w:val="22"/>
              </w:rPr>
            </w:pPr>
            <w:r w:rsidRPr="00D27434">
              <w:rPr>
                <w:rFonts w:ascii="Arial" w:eastAsia="Times New Roman" w:hAnsi="Arial" w:cs="Arial"/>
                <w:noProof w:val="0"/>
                <w:color w:val="000000"/>
                <w:sz w:val="22"/>
                <w:szCs w:val="22"/>
              </w:rPr>
              <w:t>0.0001</w:t>
            </w:r>
          </w:p>
        </w:tc>
        <w:tc>
          <w:tcPr>
            <w:tcW w:w="1730" w:type="dxa"/>
            <w:tcBorders>
              <w:bottom w:val="single" w:sz="4" w:space="0" w:color="auto"/>
            </w:tcBorders>
            <w:shd w:val="clear" w:color="000000" w:fill="FFFFFF"/>
            <w:noWrap/>
            <w:vAlign w:val="bottom"/>
          </w:tcPr>
          <w:p w14:paraId="66BE732E" w14:textId="77777777" w:rsidR="00BF5BBA" w:rsidRPr="00D27434" w:rsidRDefault="00BF5BBA" w:rsidP="0070527A">
            <w:pPr>
              <w:spacing w:after="0" w:line="240" w:lineRule="auto"/>
              <w:jc w:val="right"/>
              <w:rPr>
                <w:rFonts w:ascii="Arial" w:eastAsia="Times New Roman" w:hAnsi="Arial" w:cs="Arial"/>
                <w:noProof w:val="0"/>
                <w:color w:val="000000"/>
                <w:sz w:val="22"/>
                <w:szCs w:val="22"/>
              </w:rPr>
            </w:pPr>
          </w:p>
        </w:tc>
      </w:tr>
    </w:tbl>
    <w:p w14:paraId="67F4DB6D" w14:textId="77777777" w:rsidR="00BF5BBA" w:rsidRPr="00E32366" w:rsidRDefault="00BF5BBA">
      <w:pPr>
        <w:rPr>
          <w:rFonts w:ascii="Arial" w:hAnsi="Arial" w:cs="Arial"/>
          <w:sz w:val="22"/>
          <w:szCs w:val="22"/>
        </w:rPr>
      </w:pPr>
    </w:p>
    <w:sectPr w:rsidR="00BF5BBA" w:rsidRPr="00E32366" w:rsidSect="00C7556C">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80C18D" w14:textId="77777777" w:rsidR="00542C3C" w:rsidRDefault="00542C3C" w:rsidP="00542C3C">
      <w:pPr>
        <w:spacing w:after="0" w:line="240" w:lineRule="auto"/>
      </w:pPr>
      <w:r>
        <w:separator/>
      </w:r>
    </w:p>
  </w:endnote>
  <w:endnote w:type="continuationSeparator" w:id="0">
    <w:p w14:paraId="64E2C42B" w14:textId="77777777" w:rsidR="00542C3C" w:rsidRDefault="00542C3C" w:rsidP="00542C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noProof w:val="0"/>
      </w:rPr>
      <w:id w:val="-1786339819"/>
      <w:docPartObj>
        <w:docPartGallery w:val="Page Numbers (Bottom of Page)"/>
        <w:docPartUnique/>
      </w:docPartObj>
    </w:sdtPr>
    <w:sdtEndPr>
      <w:rPr>
        <w:rFonts w:ascii="Arial" w:hAnsi="Arial" w:cs="Arial"/>
        <w:noProof/>
      </w:rPr>
    </w:sdtEndPr>
    <w:sdtContent>
      <w:p w14:paraId="17FA866B" w14:textId="12D225F3" w:rsidR="00187AE9" w:rsidRPr="00187AE9" w:rsidRDefault="00187AE9">
        <w:pPr>
          <w:pStyle w:val="Footer"/>
          <w:jc w:val="center"/>
          <w:rPr>
            <w:rFonts w:ascii="Arial" w:hAnsi="Arial" w:cs="Arial"/>
          </w:rPr>
        </w:pPr>
        <w:r w:rsidRPr="00187AE9">
          <w:rPr>
            <w:rFonts w:ascii="Arial" w:hAnsi="Arial" w:cs="Arial"/>
            <w:noProof w:val="0"/>
          </w:rPr>
          <w:fldChar w:fldCharType="begin"/>
        </w:r>
        <w:r w:rsidRPr="00187AE9">
          <w:rPr>
            <w:rFonts w:ascii="Arial" w:hAnsi="Arial" w:cs="Arial"/>
          </w:rPr>
          <w:instrText xml:space="preserve"> PAGE   \* MERGEFORMAT </w:instrText>
        </w:r>
        <w:r w:rsidRPr="00187AE9">
          <w:rPr>
            <w:rFonts w:ascii="Arial" w:hAnsi="Arial" w:cs="Arial"/>
            <w:noProof w:val="0"/>
          </w:rPr>
          <w:fldChar w:fldCharType="separate"/>
        </w:r>
        <w:r w:rsidRPr="00187AE9">
          <w:rPr>
            <w:rFonts w:ascii="Arial" w:hAnsi="Arial" w:cs="Arial"/>
          </w:rPr>
          <w:t>2</w:t>
        </w:r>
        <w:r w:rsidRPr="00187AE9">
          <w:rPr>
            <w:rFonts w:ascii="Arial" w:hAnsi="Arial" w:cs="Arial"/>
          </w:rPr>
          <w:fldChar w:fldCharType="end"/>
        </w:r>
      </w:p>
    </w:sdtContent>
  </w:sdt>
  <w:p w14:paraId="06B56FDE" w14:textId="77777777" w:rsidR="00187AE9" w:rsidRDefault="00187A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314932" w14:textId="77777777" w:rsidR="00542C3C" w:rsidRDefault="00542C3C" w:rsidP="00542C3C">
      <w:pPr>
        <w:spacing w:after="0" w:line="240" w:lineRule="auto"/>
      </w:pPr>
      <w:r>
        <w:separator/>
      </w:r>
    </w:p>
  </w:footnote>
  <w:footnote w:type="continuationSeparator" w:id="0">
    <w:p w14:paraId="38BD334E" w14:textId="77777777" w:rsidR="00542C3C" w:rsidRDefault="00542C3C" w:rsidP="00542C3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7810C6"/>
    <w:multiLevelType w:val="hybridMultilevel"/>
    <w:tmpl w:val="3CBA30F6"/>
    <w:lvl w:ilvl="0" w:tplc="C5C476BE">
      <w:start w:val="1"/>
      <w:numFmt w:val="bullet"/>
      <w:lvlText w:val=""/>
      <w:lvlJc w:val="left"/>
      <w:pPr>
        <w:ind w:left="720" w:hanging="360"/>
      </w:pPr>
      <w:rPr>
        <w:rFonts w:ascii="Symbol" w:hAnsi="Symbol" w:hint="default"/>
      </w:rPr>
    </w:lvl>
    <w:lvl w:ilvl="1" w:tplc="EA92725A" w:tentative="1">
      <w:start w:val="1"/>
      <w:numFmt w:val="bullet"/>
      <w:lvlText w:val="o"/>
      <w:lvlJc w:val="left"/>
      <w:pPr>
        <w:ind w:left="1440" w:hanging="360"/>
      </w:pPr>
      <w:rPr>
        <w:rFonts w:ascii="Courier New" w:hAnsi="Courier New" w:cs="Courier New" w:hint="default"/>
      </w:rPr>
    </w:lvl>
    <w:lvl w:ilvl="2" w:tplc="7142662E" w:tentative="1">
      <w:start w:val="1"/>
      <w:numFmt w:val="bullet"/>
      <w:lvlText w:val=""/>
      <w:lvlJc w:val="left"/>
      <w:pPr>
        <w:ind w:left="2160" w:hanging="360"/>
      </w:pPr>
      <w:rPr>
        <w:rFonts w:ascii="Wingdings" w:hAnsi="Wingdings" w:hint="default"/>
      </w:rPr>
    </w:lvl>
    <w:lvl w:ilvl="3" w:tplc="857A1F24" w:tentative="1">
      <w:start w:val="1"/>
      <w:numFmt w:val="bullet"/>
      <w:lvlText w:val=""/>
      <w:lvlJc w:val="left"/>
      <w:pPr>
        <w:ind w:left="2880" w:hanging="360"/>
      </w:pPr>
      <w:rPr>
        <w:rFonts w:ascii="Symbol" w:hAnsi="Symbol" w:hint="default"/>
      </w:rPr>
    </w:lvl>
    <w:lvl w:ilvl="4" w:tplc="F45AB188" w:tentative="1">
      <w:start w:val="1"/>
      <w:numFmt w:val="bullet"/>
      <w:lvlText w:val="o"/>
      <w:lvlJc w:val="left"/>
      <w:pPr>
        <w:ind w:left="3600" w:hanging="360"/>
      </w:pPr>
      <w:rPr>
        <w:rFonts w:ascii="Courier New" w:hAnsi="Courier New" w:cs="Courier New" w:hint="default"/>
      </w:rPr>
    </w:lvl>
    <w:lvl w:ilvl="5" w:tplc="53823A9E" w:tentative="1">
      <w:start w:val="1"/>
      <w:numFmt w:val="bullet"/>
      <w:lvlText w:val=""/>
      <w:lvlJc w:val="left"/>
      <w:pPr>
        <w:ind w:left="4320" w:hanging="360"/>
      </w:pPr>
      <w:rPr>
        <w:rFonts w:ascii="Wingdings" w:hAnsi="Wingdings" w:hint="default"/>
      </w:rPr>
    </w:lvl>
    <w:lvl w:ilvl="6" w:tplc="18D04F16" w:tentative="1">
      <w:start w:val="1"/>
      <w:numFmt w:val="bullet"/>
      <w:lvlText w:val=""/>
      <w:lvlJc w:val="left"/>
      <w:pPr>
        <w:ind w:left="5040" w:hanging="360"/>
      </w:pPr>
      <w:rPr>
        <w:rFonts w:ascii="Symbol" w:hAnsi="Symbol" w:hint="default"/>
      </w:rPr>
    </w:lvl>
    <w:lvl w:ilvl="7" w:tplc="67E63E2A" w:tentative="1">
      <w:start w:val="1"/>
      <w:numFmt w:val="bullet"/>
      <w:lvlText w:val="o"/>
      <w:lvlJc w:val="left"/>
      <w:pPr>
        <w:ind w:left="5760" w:hanging="360"/>
      </w:pPr>
      <w:rPr>
        <w:rFonts w:ascii="Courier New" w:hAnsi="Courier New" w:cs="Courier New" w:hint="default"/>
      </w:rPr>
    </w:lvl>
    <w:lvl w:ilvl="8" w:tplc="5D645F14" w:tentative="1">
      <w:start w:val="1"/>
      <w:numFmt w:val="bullet"/>
      <w:lvlText w:val=""/>
      <w:lvlJc w:val="left"/>
      <w:pPr>
        <w:ind w:left="6480" w:hanging="360"/>
      </w:pPr>
      <w:rPr>
        <w:rFonts w:ascii="Wingdings" w:hAnsi="Wingdings" w:hint="default"/>
      </w:rPr>
    </w:lvl>
  </w:abstractNum>
  <w:abstractNum w:abstractNumId="1" w15:restartNumberingAfterBreak="0">
    <w:nsid w:val="0DBA5673"/>
    <w:multiLevelType w:val="hybridMultilevel"/>
    <w:tmpl w:val="F4061692"/>
    <w:lvl w:ilvl="0" w:tplc="F08E05FC">
      <w:start w:val="1"/>
      <w:numFmt w:val="lowerLetter"/>
      <w:lvlText w:val="(%1)"/>
      <w:lvlJc w:val="left"/>
      <w:pPr>
        <w:ind w:left="720" w:hanging="360"/>
      </w:pPr>
      <w:rPr>
        <w:rFonts w:hint="default"/>
      </w:rPr>
    </w:lvl>
    <w:lvl w:ilvl="1" w:tplc="E0D0416E" w:tentative="1">
      <w:start w:val="1"/>
      <w:numFmt w:val="lowerLetter"/>
      <w:lvlText w:val="%2."/>
      <w:lvlJc w:val="left"/>
      <w:pPr>
        <w:ind w:left="1440" w:hanging="360"/>
      </w:pPr>
    </w:lvl>
    <w:lvl w:ilvl="2" w:tplc="692411CC" w:tentative="1">
      <w:start w:val="1"/>
      <w:numFmt w:val="lowerRoman"/>
      <w:lvlText w:val="%3."/>
      <w:lvlJc w:val="right"/>
      <w:pPr>
        <w:ind w:left="2160" w:hanging="180"/>
      </w:pPr>
    </w:lvl>
    <w:lvl w:ilvl="3" w:tplc="3A984552" w:tentative="1">
      <w:start w:val="1"/>
      <w:numFmt w:val="decimal"/>
      <w:lvlText w:val="%4."/>
      <w:lvlJc w:val="left"/>
      <w:pPr>
        <w:ind w:left="2880" w:hanging="360"/>
      </w:pPr>
    </w:lvl>
    <w:lvl w:ilvl="4" w:tplc="E4041990" w:tentative="1">
      <w:start w:val="1"/>
      <w:numFmt w:val="lowerLetter"/>
      <w:lvlText w:val="%5."/>
      <w:lvlJc w:val="left"/>
      <w:pPr>
        <w:ind w:left="3600" w:hanging="360"/>
      </w:pPr>
    </w:lvl>
    <w:lvl w:ilvl="5" w:tplc="FBA46778" w:tentative="1">
      <w:start w:val="1"/>
      <w:numFmt w:val="lowerRoman"/>
      <w:lvlText w:val="%6."/>
      <w:lvlJc w:val="right"/>
      <w:pPr>
        <w:ind w:left="4320" w:hanging="180"/>
      </w:pPr>
    </w:lvl>
    <w:lvl w:ilvl="6" w:tplc="CAAE13FA" w:tentative="1">
      <w:start w:val="1"/>
      <w:numFmt w:val="decimal"/>
      <w:lvlText w:val="%7."/>
      <w:lvlJc w:val="left"/>
      <w:pPr>
        <w:ind w:left="5040" w:hanging="360"/>
      </w:pPr>
    </w:lvl>
    <w:lvl w:ilvl="7" w:tplc="E4761A26" w:tentative="1">
      <w:start w:val="1"/>
      <w:numFmt w:val="lowerLetter"/>
      <w:lvlText w:val="%8."/>
      <w:lvlJc w:val="left"/>
      <w:pPr>
        <w:ind w:left="5760" w:hanging="360"/>
      </w:pPr>
    </w:lvl>
    <w:lvl w:ilvl="8" w:tplc="9E42BD06" w:tentative="1">
      <w:start w:val="1"/>
      <w:numFmt w:val="lowerRoman"/>
      <w:lvlText w:val="%9."/>
      <w:lvlJc w:val="right"/>
      <w:pPr>
        <w:ind w:left="6480" w:hanging="180"/>
      </w:pPr>
    </w:lvl>
  </w:abstractNum>
  <w:abstractNum w:abstractNumId="2" w15:restartNumberingAfterBreak="0">
    <w:nsid w:val="1B553B4F"/>
    <w:multiLevelType w:val="hybridMultilevel"/>
    <w:tmpl w:val="F4061692"/>
    <w:lvl w:ilvl="0" w:tplc="E51022C2">
      <w:start w:val="1"/>
      <w:numFmt w:val="lowerLetter"/>
      <w:lvlText w:val="(%1)"/>
      <w:lvlJc w:val="left"/>
      <w:pPr>
        <w:ind w:left="720" w:hanging="360"/>
      </w:pPr>
      <w:rPr>
        <w:rFonts w:hint="default"/>
      </w:rPr>
    </w:lvl>
    <w:lvl w:ilvl="1" w:tplc="BDA26A7A" w:tentative="1">
      <w:start w:val="1"/>
      <w:numFmt w:val="lowerLetter"/>
      <w:lvlText w:val="%2."/>
      <w:lvlJc w:val="left"/>
      <w:pPr>
        <w:ind w:left="1440" w:hanging="360"/>
      </w:pPr>
    </w:lvl>
    <w:lvl w:ilvl="2" w:tplc="49443068" w:tentative="1">
      <w:start w:val="1"/>
      <w:numFmt w:val="lowerRoman"/>
      <w:lvlText w:val="%3."/>
      <w:lvlJc w:val="right"/>
      <w:pPr>
        <w:ind w:left="2160" w:hanging="180"/>
      </w:pPr>
    </w:lvl>
    <w:lvl w:ilvl="3" w:tplc="6CEC1666" w:tentative="1">
      <w:start w:val="1"/>
      <w:numFmt w:val="decimal"/>
      <w:lvlText w:val="%4."/>
      <w:lvlJc w:val="left"/>
      <w:pPr>
        <w:ind w:left="2880" w:hanging="360"/>
      </w:pPr>
    </w:lvl>
    <w:lvl w:ilvl="4" w:tplc="9FE6AB76" w:tentative="1">
      <w:start w:val="1"/>
      <w:numFmt w:val="lowerLetter"/>
      <w:lvlText w:val="%5."/>
      <w:lvlJc w:val="left"/>
      <w:pPr>
        <w:ind w:left="3600" w:hanging="360"/>
      </w:pPr>
    </w:lvl>
    <w:lvl w:ilvl="5" w:tplc="53A8E0B2" w:tentative="1">
      <w:start w:val="1"/>
      <w:numFmt w:val="lowerRoman"/>
      <w:lvlText w:val="%6."/>
      <w:lvlJc w:val="right"/>
      <w:pPr>
        <w:ind w:left="4320" w:hanging="180"/>
      </w:pPr>
    </w:lvl>
    <w:lvl w:ilvl="6" w:tplc="B6DA79E8" w:tentative="1">
      <w:start w:val="1"/>
      <w:numFmt w:val="decimal"/>
      <w:lvlText w:val="%7."/>
      <w:lvlJc w:val="left"/>
      <w:pPr>
        <w:ind w:left="5040" w:hanging="360"/>
      </w:pPr>
    </w:lvl>
    <w:lvl w:ilvl="7" w:tplc="3F364778" w:tentative="1">
      <w:start w:val="1"/>
      <w:numFmt w:val="lowerLetter"/>
      <w:lvlText w:val="%8."/>
      <w:lvlJc w:val="left"/>
      <w:pPr>
        <w:ind w:left="5760" w:hanging="360"/>
      </w:pPr>
    </w:lvl>
    <w:lvl w:ilvl="8" w:tplc="36AE4424" w:tentative="1">
      <w:start w:val="1"/>
      <w:numFmt w:val="lowerRoman"/>
      <w:lvlText w:val="%9."/>
      <w:lvlJc w:val="right"/>
      <w:pPr>
        <w:ind w:left="6480" w:hanging="180"/>
      </w:pPr>
    </w:lvl>
  </w:abstractNum>
  <w:abstractNum w:abstractNumId="3" w15:restartNumberingAfterBreak="0">
    <w:nsid w:val="75E05C5B"/>
    <w:multiLevelType w:val="hybridMultilevel"/>
    <w:tmpl w:val="F4061692"/>
    <w:lvl w:ilvl="0" w:tplc="F56E3932">
      <w:start w:val="1"/>
      <w:numFmt w:val="lowerLetter"/>
      <w:lvlText w:val="(%1)"/>
      <w:lvlJc w:val="left"/>
      <w:pPr>
        <w:ind w:left="720" w:hanging="360"/>
      </w:pPr>
      <w:rPr>
        <w:rFonts w:hint="default"/>
      </w:rPr>
    </w:lvl>
    <w:lvl w:ilvl="1" w:tplc="B7640CB6" w:tentative="1">
      <w:start w:val="1"/>
      <w:numFmt w:val="lowerLetter"/>
      <w:lvlText w:val="%2."/>
      <w:lvlJc w:val="left"/>
      <w:pPr>
        <w:ind w:left="1440" w:hanging="360"/>
      </w:pPr>
    </w:lvl>
    <w:lvl w:ilvl="2" w:tplc="262E21FA" w:tentative="1">
      <w:start w:val="1"/>
      <w:numFmt w:val="lowerRoman"/>
      <w:lvlText w:val="%3."/>
      <w:lvlJc w:val="right"/>
      <w:pPr>
        <w:ind w:left="2160" w:hanging="180"/>
      </w:pPr>
    </w:lvl>
    <w:lvl w:ilvl="3" w:tplc="ECA07C6A" w:tentative="1">
      <w:start w:val="1"/>
      <w:numFmt w:val="decimal"/>
      <w:lvlText w:val="%4."/>
      <w:lvlJc w:val="left"/>
      <w:pPr>
        <w:ind w:left="2880" w:hanging="360"/>
      </w:pPr>
    </w:lvl>
    <w:lvl w:ilvl="4" w:tplc="639CCF1A" w:tentative="1">
      <w:start w:val="1"/>
      <w:numFmt w:val="lowerLetter"/>
      <w:lvlText w:val="%5."/>
      <w:lvlJc w:val="left"/>
      <w:pPr>
        <w:ind w:left="3600" w:hanging="360"/>
      </w:pPr>
    </w:lvl>
    <w:lvl w:ilvl="5" w:tplc="ABE85BBA" w:tentative="1">
      <w:start w:val="1"/>
      <w:numFmt w:val="lowerRoman"/>
      <w:lvlText w:val="%6."/>
      <w:lvlJc w:val="right"/>
      <w:pPr>
        <w:ind w:left="4320" w:hanging="180"/>
      </w:pPr>
    </w:lvl>
    <w:lvl w:ilvl="6" w:tplc="5C64F172" w:tentative="1">
      <w:start w:val="1"/>
      <w:numFmt w:val="decimal"/>
      <w:lvlText w:val="%7."/>
      <w:lvlJc w:val="left"/>
      <w:pPr>
        <w:ind w:left="5040" w:hanging="360"/>
      </w:pPr>
    </w:lvl>
    <w:lvl w:ilvl="7" w:tplc="2126F288" w:tentative="1">
      <w:start w:val="1"/>
      <w:numFmt w:val="lowerLetter"/>
      <w:lvlText w:val="%8."/>
      <w:lvlJc w:val="left"/>
      <w:pPr>
        <w:ind w:left="5760" w:hanging="360"/>
      </w:pPr>
    </w:lvl>
    <w:lvl w:ilvl="8" w:tplc="F2E6F1E2" w:tentative="1">
      <w:start w:val="1"/>
      <w:numFmt w:val="lowerRoman"/>
      <w:lvlText w:val="%9."/>
      <w:lvlJc w:val="right"/>
      <w:pPr>
        <w:ind w:left="6480" w:hanging="180"/>
      </w:pPr>
    </w:lvl>
  </w:abstractNum>
  <w:num w:numId="1" w16cid:durableId="292104527">
    <w:abstractNumId w:val="0"/>
  </w:num>
  <w:num w:numId="2" w16cid:durableId="1825395698">
    <w:abstractNumId w:val="2"/>
  </w:num>
  <w:num w:numId="3" w16cid:durableId="1516110643">
    <w:abstractNumId w:val="3"/>
  </w:num>
  <w:num w:numId="4" w16cid:durableId="10434020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3E53"/>
    <w:rsid w:val="00000EA9"/>
    <w:rsid w:val="00001B51"/>
    <w:rsid w:val="00002D02"/>
    <w:rsid w:val="0000390E"/>
    <w:rsid w:val="000048E8"/>
    <w:rsid w:val="00005371"/>
    <w:rsid w:val="00005BBB"/>
    <w:rsid w:val="000062A5"/>
    <w:rsid w:val="0000644C"/>
    <w:rsid w:val="000068CE"/>
    <w:rsid w:val="00006BE6"/>
    <w:rsid w:val="00006E9A"/>
    <w:rsid w:val="00007A6D"/>
    <w:rsid w:val="00007A7F"/>
    <w:rsid w:val="00010053"/>
    <w:rsid w:val="0001005A"/>
    <w:rsid w:val="000106EE"/>
    <w:rsid w:val="00011428"/>
    <w:rsid w:val="00011431"/>
    <w:rsid w:val="000121B6"/>
    <w:rsid w:val="0001296C"/>
    <w:rsid w:val="0001330A"/>
    <w:rsid w:val="0001353F"/>
    <w:rsid w:val="00013545"/>
    <w:rsid w:val="00013CD6"/>
    <w:rsid w:val="0001400A"/>
    <w:rsid w:val="0001432E"/>
    <w:rsid w:val="00014778"/>
    <w:rsid w:val="0001477D"/>
    <w:rsid w:val="000159DA"/>
    <w:rsid w:val="00015BB4"/>
    <w:rsid w:val="00016A49"/>
    <w:rsid w:val="00016C51"/>
    <w:rsid w:val="00016E1D"/>
    <w:rsid w:val="000172E7"/>
    <w:rsid w:val="00017854"/>
    <w:rsid w:val="0002115D"/>
    <w:rsid w:val="000217BA"/>
    <w:rsid w:val="00021907"/>
    <w:rsid w:val="00023679"/>
    <w:rsid w:val="000236BB"/>
    <w:rsid w:val="00023C59"/>
    <w:rsid w:val="00026473"/>
    <w:rsid w:val="0002655F"/>
    <w:rsid w:val="00026847"/>
    <w:rsid w:val="00026DBD"/>
    <w:rsid w:val="000279A3"/>
    <w:rsid w:val="000279EA"/>
    <w:rsid w:val="00027E44"/>
    <w:rsid w:val="0003122A"/>
    <w:rsid w:val="00031E0E"/>
    <w:rsid w:val="000322AA"/>
    <w:rsid w:val="00032DEC"/>
    <w:rsid w:val="000330FF"/>
    <w:rsid w:val="0003342E"/>
    <w:rsid w:val="00034AC0"/>
    <w:rsid w:val="00034CC4"/>
    <w:rsid w:val="00035BC8"/>
    <w:rsid w:val="00035BEF"/>
    <w:rsid w:val="00035C8C"/>
    <w:rsid w:val="00035FF0"/>
    <w:rsid w:val="00036097"/>
    <w:rsid w:val="00036EAA"/>
    <w:rsid w:val="000374C7"/>
    <w:rsid w:val="000403E0"/>
    <w:rsid w:val="000406BA"/>
    <w:rsid w:val="00041333"/>
    <w:rsid w:val="00041978"/>
    <w:rsid w:val="00041CB0"/>
    <w:rsid w:val="00043DA3"/>
    <w:rsid w:val="00043ED7"/>
    <w:rsid w:val="000441D8"/>
    <w:rsid w:val="0004449D"/>
    <w:rsid w:val="00044603"/>
    <w:rsid w:val="00044FD8"/>
    <w:rsid w:val="00045913"/>
    <w:rsid w:val="000469EC"/>
    <w:rsid w:val="00046C8F"/>
    <w:rsid w:val="000473F3"/>
    <w:rsid w:val="00050F23"/>
    <w:rsid w:val="00050F6A"/>
    <w:rsid w:val="000513D2"/>
    <w:rsid w:val="0005278C"/>
    <w:rsid w:val="00052AD4"/>
    <w:rsid w:val="00052FAB"/>
    <w:rsid w:val="00053AFA"/>
    <w:rsid w:val="00053C7D"/>
    <w:rsid w:val="00054016"/>
    <w:rsid w:val="000545DC"/>
    <w:rsid w:val="000548DB"/>
    <w:rsid w:val="000550FE"/>
    <w:rsid w:val="0005545C"/>
    <w:rsid w:val="00055F60"/>
    <w:rsid w:val="0005625E"/>
    <w:rsid w:val="00056F67"/>
    <w:rsid w:val="0005725E"/>
    <w:rsid w:val="000576FA"/>
    <w:rsid w:val="00057B3D"/>
    <w:rsid w:val="00057B62"/>
    <w:rsid w:val="00061316"/>
    <w:rsid w:val="00061CB4"/>
    <w:rsid w:val="00061FB0"/>
    <w:rsid w:val="00061FB2"/>
    <w:rsid w:val="000620B5"/>
    <w:rsid w:val="000621D9"/>
    <w:rsid w:val="000624D4"/>
    <w:rsid w:val="00062C53"/>
    <w:rsid w:val="00062D90"/>
    <w:rsid w:val="00063884"/>
    <w:rsid w:val="00063C28"/>
    <w:rsid w:val="00063DDF"/>
    <w:rsid w:val="00064173"/>
    <w:rsid w:val="00064E43"/>
    <w:rsid w:val="0006562F"/>
    <w:rsid w:val="0006592C"/>
    <w:rsid w:val="00066146"/>
    <w:rsid w:val="00066291"/>
    <w:rsid w:val="00066818"/>
    <w:rsid w:val="00066FF1"/>
    <w:rsid w:val="00067842"/>
    <w:rsid w:val="0006790A"/>
    <w:rsid w:val="000703DA"/>
    <w:rsid w:val="00070D48"/>
    <w:rsid w:val="000729B5"/>
    <w:rsid w:val="00072A61"/>
    <w:rsid w:val="0007418D"/>
    <w:rsid w:val="000742AB"/>
    <w:rsid w:val="000742AF"/>
    <w:rsid w:val="00074650"/>
    <w:rsid w:val="00074D1B"/>
    <w:rsid w:val="00075383"/>
    <w:rsid w:val="00075466"/>
    <w:rsid w:val="0007766F"/>
    <w:rsid w:val="000779A1"/>
    <w:rsid w:val="00077A6C"/>
    <w:rsid w:val="00077AF7"/>
    <w:rsid w:val="00080606"/>
    <w:rsid w:val="000817BD"/>
    <w:rsid w:val="000819FE"/>
    <w:rsid w:val="00081B56"/>
    <w:rsid w:val="00082178"/>
    <w:rsid w:val="00082195"/>
    <w:rsid w:val="000833E8"/>
    <w:rsid w:val="000834BD"/>
    <w:rsid w:val="00083516"/>
    <w:rsid w:val="00083A3E"/>
    <w:rsid w:val="00084833"/>
    <w:rsid w:val="00084A18"/>
    <w:rsid w:val="00084DC2"/>
    <w:rsid w:val="0008665A"/>
    <w:rsid w:val="00086D22"/>
    <w:rsid w:val="00087130"/>
    <w:rsid w:val="00090978"/>
    <w:rsid w:val="00091676"/>
    <w:rsid w:val="0009202B"/>
    <w:rsid w:val="00092206"/>
    <w:rsid w:val="00092E64"/>
    <w:rsid w:val="0009309F"/>
    <w:rsid w:val="000942C9"/>
    <w:rsid w:val="00094557"/>
    <w:rsid w:val="000946F7"/>
    <w:rsid w:val="0009544B"/>
    <w:rsid w:val="000957EB"/>
    <w:rsid w:val="00095B30"/>
    <w:rsid w:val="000961C3"/>
    <w:rsid w:val="000962D0"/>
    <w:rsid w:val="00097468"/>
    <w:rsid w:val="000A131D"/>
    <w:rsid w:val="000A1A1A"/>
    <w:rsid w:val="000A2552"/>
    <w:rsid w:val="000A259B"/>
    <w:rsid w:val="000A2E56"/>
    <w:rsid w:val="000A33CE"/>
    <w:rsid w:val="000A39FD"/>
    <w:rsid w:val="000A4505"/>
    <w:rsid w:val="000A4CF9"/>
    <w:rsid w:val="000A4E81"/>
    <w:rsid w:val="000A5690"/>
    <w:rsid w:val="000A5A1F"/>
    <w:rsid w:val="000A5B7D"/>
    <w:rsid w:val="000A5BD0"/>
    <w:rsid w:val="000A60EB"/>
    <w:rsid w:val="000A680F"/>
    <w:rsid w:val="000A7EA4"/>
    <w:rsid w:val="000B0BAA"/>
    <w:rsid w:val="000B0C0B"/>
    <w:rsid w:val="000B21B0"/>
    <w:rsid w:val="000B3E73"/>
    <w:rsid w:val="000B3F7C"/>
    <w:rsid w:val="000B4453"/>
    <w:rsid w:val="000B482C"/>
    <w:rsid w:val="000B5380"/>
    <w:rsid w:val="000B5B07"/>
    <w:rsid w:val="000B6EFD"/>
    <w:rsid w:val="000B74AD"/>
    <w:rsid w:val="000B786B"/>
    <w:rsid w:val="000C18FE"/>
    <w:rsid w:val="000C1D2A"/>
    <w:rsid w:val="000C2389"/>
    <w:rsid w:val="000C2841"/>
    <w:rsid w:val="000C29EF"/>
    <w:rsid w:val="000C2D74"/>
    <w:rsid w:val="000C352B"/>
    <w:rsid w:val="000C37F9"/>
    <w:rsid w:val="000C3876"/>
    <w:rsid w:val="000C39FA"/>
    <w:rsid w:val="000C3CB3"/>
    <w:rsid w:val="000C3E3E"/>
    <w:rsid w:val="000C453D"/>
    <w:rsid w:val="000C493C"/>
    <w:rsid w:val="000C4BC9"/>
    <w:rsid w:val="000C5859"/>
    <w:rsid w:val="000C5AB4"/>
    <w:rsid w:val="000C5E56"/>
    <w:rsid w:val="000C62B3"/>
    <w:rsid w:val="000C6DA4"/>
    <w:rsid w:val="000C7C71"/>
    <w:rsid w:val="000D11FA"/>
    <w:rsid w:val="000D137B"/>
    <w:rsid w:val="000D162F"/>
    <w:rsid w:val="000D189C"/>
    <w:rsid w:val="000D1E2D"/>
    <w:rsid w:val="000D207D"/>
    <w:rsid w:val="000D21F4"/>
    <w:rsid w:val="000D2382"/>
    <w:rsid w:val="000D2EC6"/>
    <w:rsid w:val="000D303A"/>
    <w:rsid w:val="000D39C9"/>
    <w:rsid w:val="000D3CE3"/>
    <w:rsid w:val="000D3E76"/>
    <w:rsid w:val="000D5C7B"/>
    <w:rsid w:val="000D60BD"/>
    <w:rsid w:val="000D734B"/>
    <w:rsid w:val="000D7C6B"/>
    <w:rsid w:val="000D7E82"/>
    <w:rsid w:val="000E0B50"/>
    <w:rsid w:val="000E149D"/>
    <w:rsid w:val="000E1CEE"/>
    <w:rsid w:val="000E206B"/>
    <w:rsid w:val="000E2719"/>
    <w:rsid w:val="000E2922"/>
    <w:rsid w:val="000E2B19"/>
    <w:rsid w:val="000E2D74"/>
    <w:rsid w:val="000E2FAE"/>
    <w:rsid w:val="000E334C"/>
    <w:rsid w:val="000E397B"/>
    <w:rsid w:val="000E3BC0"/>
    <w:rsid w:val="000E3E30"/>
    <w:rsid w:val="000E40CC"/>
    <w:rsid w:val="000E4199"/>
    <w:rsid w:val="000E4B73"/>
    <w:rsid w:val="000E4C1C"/>
    <w:rsid w:val="000E5435"/>
    <w:rsid w:val="000E5649"/>
    <w:rsid w:val="000E6704"/>
    <w:rsid w:val="000E7D5F"/>
    <w:rsid w:val="000F05E1"/>
    <w:rsid w:val="000F0F90"/>
    <w:rsid w:val="000F10D1"/>
    <w:rsid w:val="000F146C"/>
    <w:rsid w:val="000F1674"/>
    <w:rsid w:val="000F17BE"/>
    <w:rsid w:val="000F24F2"/>
    <w:rsid w:val="000F25ED"/>
    <w:rsid w:val="000F2B6A"/>
    <w:rsid w:val="000F4146"/>
    <w:rsid w:val="000F47D5"/>
    <w:rsid w:val="000F50E5"/>
    <w:rsid w:val="000F51FE"/>
    <w:rsid w:val="000F5670"/>
    <w:rsid w:val="000F56D1"/>
    <w:rsid w:val="000F5829"/>
    <w:rsid w:val="000F68AA"/>
    <w:rsid w:val="000F6FDE"/>
    <w:rsid w:val="00100375"/>
    <w:rsid w:val="00100709"/>
    <w:rsid w:val="00100A9B"/>
    <w:rsid w:val="00100F76"/>
    <w:rsid w:val="001015B5"/>
    <w:rsid w:val="0010189C"/>
    <w:rsid w:val="001024C8"/>
    <w:rsid w:val="00104B7D"/>
    <w:rsid w:val="00105531"/>
    <w:rsid w:val="00106672"/>
    <w:rsid w:val="00106ECA"/>
    <w:rsid w:val="00107038"/>
    <w:rsid w:val="001073C6"/>
    <w:rsid w:val="001073D2"/>
    <w:rsid w:val="00107404"/>
    <w:rsid w:val="00107435"/>
    <w:rsid w:val="001074BF"/>
    <w:rsid w:val="00107564"/>
    <w:rsid w:val="0010775D"/>
    <w:rsid w:val="0011014B"/>
    <w:rsid w:val="0011099C"/>
    <w:rsid w:val="00111920"/>
    <w:rsid w:val="00111A8E"/>
    <w:rsid w:val="00111F3C"/>
    <w:rsid w:val="00111F64"/>
    <w:rsid w:val="0011214C"/>
    <w:rsid w:val="0011331E"/>
    <w:rsid w:val="00113E6A"/>
    <w:rsid w:val="001142A3"/>
    <w:rsid w:val="00114702"/>
    <w:rsid w:val="001157BC"/>
    <w:rsid w:val="00115D56"/>
    <w:rsid w:val="001163BC"/>
    <w:rsid w:val="001167F1"/>
    <w:rsid w:val="00116B7E"/>
    <w:rsid w:val="00116D63"/>
    <w:rsid w:val="001171EE"/>
    <w:rsid w:val="00123268"/>
    <w:rsid w:val="00124A0B"/>
    <w:rsid w:val="00124E9D"/>
    <w:rsid w:val="00124F08"/>
    <w:rsid w:val="001253DC"/>
    <w:rsid w:val="0012650B"/>
    <w:rsid w:val="00126AA1"/>
    <w:rsid w:val="00126E0B"/>
    <w:rsid w:val="00127666"/>
    <w:rsid w:val="00127B61"/>
    <w:rsid w:val="00130252"/>
    <w:rsid w:val="001302D6"/>
    <w:rsid w:val="00130462"/>
    <w:rsid w:val="00130812"/>
    <w:rsid w:val="00131EF9"/>
    <w:rsid w:val="001329F3"/>
    <w:rsid w:val="00132D05"/>
    <w:rsid w:val="001332AD"/>
    <w:rsid w:val="00134F20"/>
    <w:rsid w:val="0013535B"/>
    <w:rsid w:val="00135450"/>
    <w:rsid w:val="00135D49"/>
    <w:rsid w:val="001360A0"/>
    <w:rsid w:val="00137499"/>
    <w:rsid w:val="00137A79"/>
    <w:rsid w:val="001402E0"/>
    <w:rsid w:val="0014053B"/>
    <w:rsid w:val="00140CB6"/>
    <w:rsid w:val="00140D3E"/>
    <w:rsid w:val="00140DFC"/>
    <w:rsid w:val="00140E81"/>
    <w:rsid w:val="00141E64"/>
    <w:rsid w:val="00142FE2"/>
    <w:rsid w:val="00143008"/>
    <w:rsid w:val="001437F5"/>
    <w:rsid w:val="00143AB1"/>
    <w:rsid w:val="0014427B"/>
    <w:rsid w:val="00144770"/>
    <w:rsid w:val="00144A46"/>
    <w:rsid w:val="00144AE1"/>
    <w:rsid w:val="00144B66"/>
    <w:rsid w:val="00144DC2"/>
    <w:rsid w:val="001453A9"/>
    <w:rsid w:val="0014681C"/>
    <w:rsid w:val="0014757D"/>
    <w:rsid w:val="00147A2B"/>
    <w:rsid w:val="0015039C"/>
    <w:rsid w:val="0015060D"/>
    <w:rsid w:val="001508F4"/>
    <w:rsid w:val="00150D8B"/>
    <w:rsid w:val="001519FF"/>
    <w:rsid w:val="00151F15"/>
    <w:rsid w:val="00153513"/>
    <w:rsid w:val="00153724"/>
    <w:rsid w:val="00153B86"/>
    <w:rsid w:val="0015471E"/>
    <w:rsid w:val="00154983"/>
    <w:rsid w:val="00155E37"/>
    <w:rsid w:val="001568A0"/>
    <w:rsid w:val="001569D3"/>
    <w:rsid w:val="00157237"/>
    <w:rsid w:val="001577A4"/>
    <w:rsid w:val="00157F4A"/>
    <w:rsid w:val="00160403"/>
    <w:rsid w:val="0016055A"/>
    <w:rsid w:val="0016074E"/>
    <w:rsid w:val="001612B4"/>
    <w:rsid w:val="00161360"/>
    <w:rsid w:val="00161B2B"/>
    <w:rsid w:val="00161E54"/>
    <w:rsid w:val="0016325A"/>
    <w:rsid w:val="001632BA"/>
    <w:rsid w:val="00163979"/>
    <w:rsid w:val="001639F2"/>
    <w:rsid w:val="001648A4"/>
    <w:rsid w:val="00164C80"/>
    <w:rsid w:val="00164D14"/>
    <w:rsid w:val="00164D56"/>
    <w:rsid w:val="0016574D"/>
    <w:rsid w:val="00166736"/>
    <w:rsid w:val="00166CA2"/>
    <w:rsid w:val="0016761E"/>
    <w:rsid w:val="001678CE"/>
    <w:rsid w:val="00167941"/>
    <w:rsid w:val="00167C71"/>
    <w:rsid w:val="0017021D"/>
    <w:rsid w:val="0017029C"/>
    <w:rsid w:val="00170FA1"/>
    <w:rsid w:val="0017113D"/>
    <w:rsid w:val="0017184E"/>
    <w:rsid w:val="001729B8"/>
    <w:rsid w:val="00172FCC"/>
    <w:rsid w:val="0017306E"/>
    <w:rsid w:val="00173A1B"/>
    <w:rsid w:val="00173BC1"/>
    <w:rsid w:val="00174108"/>
    <w:rsid w:val="001743CE"/>
    <w:rsid w:val="001744B8"/>
    <w:rsid w:val="001747DA"/>
    <w:rsid w:val="001748E8"/>
    <w:rsid w:val="00174E7C"/>
    <w:rsid w:val="001751F7"/>
    <w:rsid w:val="001764F7"/>
    <w:rsid w:val="00176945"/>
    <w:rsid w:val="00176A42"/>
    <w:rsid w:val="00176D0B"/>
    <w:rsid w:val="00176FB0"/>
    <w:rsid w:val="00176FBE"/>
    <w:rsid w:val="001771ED"/>
    <w:rsid w:val="00181124"/>
    <w:rsid w:val="0018175F"/>
    <w:rsid w:val="0018199E"/>
    <w:rsid w:val="00181FBB"/>
    <w:rsid w:val="00182153"/>
    <w:rsid w:val="00182718"/>
    <w:rsid w:val="00182765"/>
    <w:rsid w:val="0018339C"/>
    <w:rsid w:val="0018357A"/>
    <w:rsid w:val="00183603"/>
    <w:rsid w:val="00183E3C"/>
    <w:rsid w:val="00183E4D"/>
    <w:rsid w:val="00183F20"/>
    <w:rsid w:val="0018536E"/>
    <w:rsid w:val="00185FCE"/>
    <w:rsid w:val="001861B5"/>
    <w:rsid w:val="00186B2B"/>
    <w:rsid w:val="00187705"/>
    <w:rsid w:val="00187AE9"/>
    <w:rsid w:val="00187FE6"/>
    <w:rsid w:val="00190126"/>
    <w:rsid w:val="00190970"/>
    <w:rsid w:val="00190C80"/>
    <w:rsid w:val="00191D55"/>
    <w:rsid w:val="001921C1"/>
    <w:rsid w:val="0019233C"/>
    <w:rsid w:val="00194326"/>
    <w:rsid w:val="001947E6"/>
    <w:rsid w:val="00194C63"/>
    <w:rsid w:val="00195046"/>
    <w:rsid w:val="001950BB"/>
    <w:rsid w:val="0019688C"/>
    <w:rsid w:val="0019691A"/>
    <w:rsid w:val="00196A2B"/>
    <w:rsid w:val="001976B3"/>
    <w:rsid w:val="001977B2"/>
    <w:rsid w:val="00197CB1"/>
    <w:rsid w:val="001A03E3"/>
    <w:rsid w:val="001A08E0"/>
    <w:rsid w:val="001A10DF"/>
    <w:rsid w:val="001A13FF"/>
    <w:rsid w:val="001A162D"/>
    <w:rsid w:val="001A1D4A"/>
    <w:rsid w:val="001A2733"/>
    <w:rsid w:val="001A2ECB"/>
    <w:rsid w:val="001A313A"/>
    <w:rsid w:val="001A3AB8"/>
    <w:rsid w:val="001A3C0D"/>
    <w:rsid w:val="001A4421"/>
    <w:rsid w:val="001A4626"/>
    <w:rsid w:val="001A5C2C"/>
    <w:rsid w:val="001A687C"/>
    <w:rsid w:val="001A6FDC"/>
    <w:rsid w:val="001A766A"/>
    <w:rsid w:val="001B0BA3"/>
    <w:rsid w:val="001B0E4A"/>
    <w:rsid w:val="001B0FC8"/>
    <w:rsid w:val="001B1459"/>
    <w:rsid w:val="001B1D8C"/>
    <w:rsid w:val="001B2035"/>
    <w:rsid w:val="001B3B52"/>
    <w:rsid w:val="001B444D"/>
    <w:rsid w:val="001B4DD5"/>
    <w:rsid w:val="001B5331"/>
    <w:rsid w:val="001B5D71"/>
    <w:rsid w:val="001B7C0C"/>
    <w:rsid w:val="001B7EE3"/>
    <w:rsid w:val="001C039B"/>
    <w:rsid w:val="001C07AC"/>
    <w:rsid w:val="001C1114"/>
    <w:rsid w:val="001C2204"/>
    <w:rsid w:val="001C2944"/>
    <w:rsid w:val="001C32B6"/>
    <w:rsid w:val="001C369C"/>
    <w:rsid w:val="001C429F"/>
    <w:rsid w:val="001C44FE"/>
    <w:rsid w:val="001C4A16"/>
    <w:rsid w:val="001C4E73"/>
    <w:rsid w:val="001C5290"/>
    <w:rsid w:val="001C55C0"/>
    <w:rsid w:val="001C55D5"/>
    <w:rsid w:val="001C58A5"/>
    <w:rsid w:val="001C5ACB"/>
    <w:rsid w:val="001C63D8"/>
    <w:rsid w:val="001C7D75"/>
    <w:rsid w:val="001D0564"/>
    <w:rsid w:val="001D0FD7"/>
    <w:rsid w:val="001D1490"/>
    <w:rsid w:val="001D1CBD"/>
    <w:rsid w:val="001D2178"/>
    <w:rsid w:val="001D2FE8"/>
    <w:rsid w:val="001D3920"/>
    <w:rsid w:val="001D4483"/>
    <w:rsid w:val="001D5C99"/>
    <w:rsid w:val="001D6037"/>
    <w:rsid w:val="001D6DD4"/>
    <w:rsid w:val="001E0F4C"/>
    <w:rsid w:val="001E1228"/>
    <w:rsid w:val="001E1777"/>
    <w:rsid w:val="001E18DD"/>
    <w:rsid w:val="001E1B2A"/>
    <w:rsid w:val="001E215C"/>
    <w:rsid w:val="001E262F"/>
    <w:rsid w:val="001E34D6"/>
    <w:rsid w:val="001E3A00"/>
    <w:rsid w:val="001E3BA3"/>
    <w:rsid w:val="001E4122"/>
    <w:rsid w:val="001E4894"/>
    <w:rsid w:val="001E6505"/>
    <w:rsid w:val="001F0723"/>
    <w:rsid w:val="001F1012"/>
    <w:rsid w:val="001F1436"/>
    <w:rsid w:val="001F1C46"/>
    <w:rsid w:val="001F2363"/>
    <w:rsid w:val="001F2543"/>
    <w:rsid w:val="001F25E5"/>
    <w:rsid w:val="001F3380"/>
    <w:rsid w:val="001F394C"/>
    <w:rsid w:val="001F3C4F"/>
    <w:rsid w:val="001F3D37"/>
    <w:rsid w:val="001F4130"/>
    <w:rsid w:val="001F44AF"/>
    <w:rsid w:val="001F54BD"/>
    <w:rsid w:val="001F6789"/>
    <w:rsid w:val="001F696E"/>
    <w:rsid w:val="001F758C"/>
    <w:rsid w:val="001F7ADE"/>
    <w:rsid w:val="002008ED"/>
    <w:rsid w:val="00200E57"/>
    <w:rsid w:val="002027C6"/>
    <w:rsid w:val="00203083"/>
    <w:rsid w:val="00203112"/>
    <w:rsid w:val="00203609"/>
    <w:rsid w:val="00203D78"/>
    <w:rsid w:val="002049B3"/>
    <w:rsid w:val="0020500B"/>
    <w:rsid w:val="00205880"/>
    <w:rsid w:val="0020599C"/>
    <w:rsid w:val="002061B9"/>
    <w:rsid w:val="00206A15"/>
    <w:rsid w:val="00206C3E"/>
    <w:rsid w:val="00206D8C"/>
    <w:rsid w:val="002071E9"/>
    <w:rsid w:val="0021045F"/>
    <w:rsid w:val="002108B5"/>
    <w:rsid w:val="0021118D"/>
    <w:rsid w:val="00211A7B"/>
    <w:rsid w:val="00211FA6"/>
    <w:rsid w:val="00212103"/>
    <w:rsid w:val="00213F00"/>
    <w:rsid w:val="00214050"/>
    <w:rsid w:val="00214088"/>
    <w:rsid w:val="00214A7F"/>
    <w:rsid w:val="002155E8"/>
    <w:rsid w:val="00215600"/>
    <w:rsid w:val="0021691B"/>
    <w:rsid w:val="00217574"/>
    <w:rsid w:val="002178FD"/>
    <w:rsid w:val="00217C90"/>
    <w:rsid w:val="00217E48"/>
    <w:rsid w:val="00221175"/>
    <w:rsid w:val="002222D6"/>
    <w:rsid w:val="0022232D"/>
    <w:rsid w:val="002230B2"/>
    <w:rsid w:val="002233FB"/>
    <w:rsid w:val="0022376C"/>
    <w:rsid w:val="00223A44"/>
    <w:rsid w:val="00224348"/>
    <w:rsid w:val="00224B4A"/>
    <w:rsid w:val="00224F75"/>
    <w:rsid w:val="00225E04"/>
    <w:rsid w:val="00226143"/>
    <w:rsid w:val="00230A8D"/>
    <w:rsid w:val="00230B65"/>
    <w:rsid w:val="002310CE"/>
    <w:rsid w:val="00231F87"/>
    <w:rsid w:val="00232C29"/>
    <w:rsid w:val="00234348"/>
    <w:rsid w:val="002344CD"/>
    <w:rsid w:val="00234A1F"/>
    <w:rsid w:val="00234DE9"/>
    <w:rsid w:val="002353CC"/>
    <w:rsid w:val="002360C3"/>
    <w:rsid w:val="00236287"/>
    <w:rsid w:val="00236528"/>
    <w:rsid w:val="0023656C"/>
    <w:rsid w:val="00236B23"/>
    <w:rsid w:val="00236CC8"/>
    <w:rsid w:val="00236D6A"/>
    <w:rsid w:val="00236DCA"/>
    <w:rsid w:val="00237030"/>
    <w:rsid w:val="0023770A"/>
    <w:rsid w:val="002377DF"/>
    <w:rsid w:val="00237D95"/>
    <w:rsid w:val="00240E4C"/>
    <w:rsid w:val="00241119"/>
    <w:rsid w:val="00241156"/>
    <w:rsid w:val="00241282"/>
    <w:rsid w:val="00242EA2"/>
    <w:rsid w:val="00243316"/>
    <w:rsid w:val="002437E7"/>
    <w:rsid w:val="00244D27"/>
    <w:rsid w:val="00244DF0"/>
    <w:rsid w:val="00244DFB"/>
    <w:rsid w:val="002463F8"/>
    <w:rsid w:val="00246448"/>
    <w:rsid w:val="00246B78"/>
    <w:rsid w:val="00247263"/>
    <w:rsid w:val="002472DF"/>
    <w:rsid w:val="002502ED"/>
    <w:rsid w:val="00250550"/>
    <w:rsid w:val="002505B1"/>
    <w:rsid w:val="002508E2"/>
    <w:rsid w:val="00250CF1"/>
    <w:rsid w:val="00250FBE"/>
    <w:rsid w:val="0025174A"/>
    <w:rsid w:val="00251C0E"/>
    <w:rsid w:val="002520E2"/>
    <w:rsid w:val="00252224"/>
    <w:rsid w:val="00253142"/>
    <w:rsid w:val="0025356B"/>
    <w:rsid w:val="00253688"/>
    <w:rsid w:val="00253EC2"/>
    <w:rsid w:val="002545C6"/>
    <w:rsid w:val="00254C0D"/>
    <w:rsid w:val="00254F30"/>
    <w:rsid w:val="002553AD"/>
    <w:rsid w:val="00255508"/>
    <w:rsid w:val="00255C5E"/>
    <w:rsid w:val="002565FC"/>
    <w:rsid w:val="002573AE"/>
    <w:rsid w:val="00257613"/>
    <w:rsid w:val="00257804"/>
    <w:rsid w:val="00257E82"/>
    <w:rsid w:val="002611A0"/>
    <w:rsid w:val="00261782"/>
    <w:rsid w:val="0026225B"/>
    <w:rsid w:val="002623D5"/>
    <w:rsid w:val="0026299A"/>
    <w:rsid w:val="00263798"/>
    <w:rsid w:val="00263889"/>
    <w:rsid w:val="00263C69"/>
    <w:rsid w:val="0026412A"/>
    <w:rsid w:val="00264558"/>
    <w:rsid w:val="00264645"/>
    <w:rsid w:val="00264E1B"/>
    <w:rsid w:val="00265720"/>
    <w:rsid w:val="002674C0"/>
    <w:rsid w:val="002679D4"/>
    <w:rsid w:val="00270267"/>
    <w:rsid w:val="00270B5C"/>
    <w:rsid w:val="0027146A"/>
    <w:rsid w:val="002733D1"/>
    <w:rsid w:val="00273713"/>
    <w:rsid w:val="002740D4"/>
    <w:rsid w:val="00274351"/>
    <w:rsid w:val="00274596"/>
    <w:rsid w:val="00274B9E"/>
    <w:rsid w:val="0027515C"/>
    <w:rsid w:val="00275228"/>
    <w:rsid w:val="00275D3F"/>
    <w:rsid w:val="00275F75"/>
    <w:rsid w:val="0027607E"/>
    <w:rsid w:val="002760A3"/>
    <w:rsid w:val="00276859"/>
    <w:rsid w:val="002769B5"/>
    <w:rsid w:val="00276A4B"/>
    <w:rsid w:val="00276E02"/>
    <w:rsid w:val="00277091"/>
    <w:rsid w:val="00277C73"/>
    <w:rsid w:val="00277D54"/>
    <w:rsid w:val="00277E96"/>
    <w:rsid w:val="00280244"/>
    <w:rsid w:val="002804AC"/>
    <w:rsid w:val="00280B02"/>
    <w:rsid w:val="00281031"/>
    <w:rsid w:val="002811F2"/>
    <w:rsid w:val="00281289"/>
    <w:rsid w:val="00281F29"/>
    <w:rsid w:val="002828BE"/>
    <w:rsid w:val="00282EBA"/>
    <w:rsid w:val="00282F36"/>
    <w:rsid w:val="002836F6"/>
    <w:rsid w:val="0028430F"/>
    <w:rsid w:val="00284877"/>
    <w:rsid w:val="00284A8F"/>
    <w:rsid w:val="002853E9"/>
    <w:rsid w:val="00285712"/>
    <w:rsid w:val="00286CB1"/>
    <w:rsid w:val="00286FD5"/>
    <w:rsid w:val="00287C59"/>
    <w:rsid w:val="00287DEE"/>
    <w:rsid w:val="002906E8"/>
    <w:rsid w:val="002913FC"/>
    <w:rsid w:val="0029301A"/>
    <w:rsid w:val="002935CC"/>
    <w:rsid w:val="00293ACA"/>
    <w:rsid w:val="00293AF5"/>
    <w:rsid w:val="002949DA"/>
    <w:rsid w:val="002951FE"/>
    <w:rsid w:val="00295470"/>
    <w:rsid w:val="00295533"/>
    <w:rsid w:val="002959AF"/>
    <w:rsid w:val="00295BB2"/>
    <w:rsid w:val="002967A1"/>
    <w:rsid w:val="00296D45"/>
    <w:rsid w:val="00297971"/>
    <w:rsid w:val="00297F31"/>
    <w:rsid w:val="002A1AD1"/>
    <w:rsid w:val="002A1DEA"/>
    <w:rsid w:val="002A2CB3"/>
    <w:rsid w:val="002A3415"/>
    <w:rsid w:val="002A39E3"/>
    <w:rsid w:val="002A3A7C"/>
    <w:rsid w:val="002A3DF5"/>
    <w:rsid w:val="002A46E1"/>
    <w:rsid w:val="002A4724"/>
    <w:rsid w:val="002A4BB7"/>
    <w:rsid w:val="002A509E"/>
    <w:rsid w:val="002A5774"/>
    <w:rsid w:val="002A60B9"/>
    <w:rsid w:val="002A72BF"/>
    <w:rsid w:val="002A73DD"/>
    <w:rsid w:val="002A7403"/>
    <w:rsid w:val="002B0B52"/>
    <w:rsid w:val="002B128C"/>
    <w:rsid w:val="002B12D2"/>
    <w:rsid w:val="002B1325"/>
    <w:rsid w:val="002B1909"/>
    <w:rsid w:val="002B2A22"/>
    <w:rsid w:val="002B2CD0"/>
    <w:rsid w:val="002B2E68"/>
    <w:rsid w:val="002B3BE9"/>
    <w:rsid w:val="002B44E9"/>
    <w:rsid w:val="002B5FB5"/>
    <w:rsid w:val="002B635D"/>
    <w:rsid w:val="002B6B07"/>
    <w:rsid w:val="002B6E59"/>
    <w:rsid w:val="002B719B"/>
    <w:rsid w:val="002B7577"/>
    <w:rsid w:val="002B76DF"/>
    <w:rsid w:val="002B7F47"/>
    <w:rsid w:val="002C0039"/>
    <w:rsid w:val="002C03AD"/>
    <w:rsid w:val="002C0A1E"/>
    <w:rsid w:val="002C1557"/>
    <w:rsid w:val="002C15B1"/>
    <w:rsid w:val="002C2406"/>
    <w:rsid w:val="002C2581"/>
    <w:rsid w:val="002C2758"/>
    <w:rsid w:val="002C2950"/>
    <w:rsid w:val="002C2AFD"/>
    <w:rsid w:val="002C2D14"/>
    <w:rsid w:val="002C2EA6"/>
    <w:rsid w:val="002C373E"/>
    <w:rsid w:val="002C3CCF"/>
    <w:rsid w:val="002C466F"/>
    <w:rsid w:val="002C54DB"/>
    <w:rsid w:val="002C59A6"/>
    <w:rsid w:val="002C5C83"/>
    <w:rsid w:val="002C5D2A"/>
    <w:rsid w:val="002C5D2B"/>
    <w:rsid w:val="002C6404"/>
    <w:rsid w:val="002C696B"/>
    <w:rsid w:val="002C69C2"/>
    <w:rsid w:val="002C6D1B"/>
    <w:rsid w:val="002C77A2"/>
    <w:rsid w:val="002D013C"/>
    <w:rsid w:val="002D0236"/>
    <w:rsid w:val="002D0950"/>
    <w:rsid w:val="002D1206"/>
    <w:rsid w:val="002D1347"/>
    <w:rsid w:val="002D16E1"/>
    <w:rsid w:val="002D183D"/>
    <w:rsid w:val="002D1BA0"/>
    <w:rsid w:val="002D2071"/>
    <w:rsid w:val="002D2939"/>
    <w:rsid w:val="002D2FC7"/>
    <w:rsid w:val="002D348E"/>
    <w:rsid w:val="002D34E6"/>
    <w:rsid w:val="002D37CE"/>
    <w:rsid w:val="002D3807"/>
    <w:rsid w:val="002D3DE7"/>
    <w:rsid w:val="002D4075"/>
    <w:rsid w:val="002D4842"/>
    <w:rsid w:val="002D4E22"/>
    <w:rsid w:val="002D57B3"/>
    <w:rsid w:val="002D5A63"/>
    <w:rsid w:val="002D5F1B"/>
    <w:rsid w:val="002D7525"/>
    <w:rsid w:val="002D7696"/>
    <w:rsid w:val="002D7CFB"/>
    <w:rsid w:val="002D7DAC"/>
    <w:rsid w:val="002E03D1"/>
    <w:rsid w:val="002E0BDC"/>
    <w:rsid w:val="002E0D5E"/>
    <w:rsid w:val="002E14FF"/>
    <w:rsid w:val="002E1666"/>
    <w:rsid w:val="002E1826"/>
    <w:rsid w:val="002E197D"/>
    <w:rsid w:val="002E1C16"/>
    <w:rsid w:val="002E2883"/>
    <w:rsid w:val="002E4003"/>
    <w:rsid w:val="002E411E"/>
    <w:rsid w:val="002E4501"/>
    <w:rsid w:val="002E4799"/>
    <w:rsid w:val="002E567F"/>
    <w:rsid w:val="002E590A"/>
    <w:rsid w:val="002E5A8B"/>
    <w:rsid w:val="002E5E27"/>
    <w:rsid w:val="002E60C3"/>
    <w:rsid w:val="002E6443"/>
    <w:rsid w:val="002E6A82"/>
    <w:rsid w:val="002E6D99"/>
    <w:rsid w:val="002E7294"/>
    <w:rsid w:val="002E781C"/>
    <w:rsid w:val="002F02BB"/>
    <w:rsid w:val="002F1349"/>
    <w:rsid w:val="002F135A"/>
    <w:rsid w:val="002F2CDF"/>
    <w:rsid w:val="002F2FB2"/>
    <w:rsid w:val="002F32B3"/>
    <w:rsid w:val="002F3461"/>
    <w:rsid w:val="002F370A"/>
    <w:rsid w:val="002F3820"/>
    <w:rsid w:val="002F3BB2"/>
    <w:rsid w:val="002F3FCB"/>
    <w:rsid w:val="002F4482"/>
    <w:rsid w:val="002F47F4"/>
    <w:rsid w:val="002F5798"/>
    <w:rsid w:val="002F6685"/>
    <w:rsid w:val="002F6833"/>
    <w:rsid w:val="002F6874"/>
    <w:rsid w:val="002F7308"/>
    <w:rsid w:val="002F74F8"/>
    <w:rsid w:val="002F7877"/>
    <w:rsid w:val="002F7C3C"/>
    <w:rsid w:val="00300BB7"/>
    <w:rsid w:val="0030164F"/>
    <w:rsid w:val="00301DBD"/>
    <w:rsid w:val="003031CF"/>
    <w:rsid w:val="00303676"/>
    <w:rsid w:val="00303C9C"/>
    <w:rsid w:val="003040C5"/>
    <w:rsid w:val="0030451F"/>
    <w:rsid w:val="003050D8"/>
    <w:rsid w:val="00305F80"/>
    <w:rsid w:val="003065EB"/>
    <w:rsid w:val="003069C1"/>
    <w:rsid w:val="00306E0D"/>
    <w:rsid w:val="00307131"/>
    <w:rsid w:val="00307296"/>
    <w:rsid w:val="00307413"/>
    <w:rsid w:val="003077E2"/>
    <w:rsid w:val="00310E6A"/>
    <w:rsid w:val="00311368"/>
    <w:rsid w:val="00311516"/>
    <w:rsid w:val="003119A1"/>
    <w:rsid w:val="00311B13"/>
    <w:rsid w:val="00311CE1"/>
    <w:rsid w:val="003132D8"/>
    <w:rsid w:val="00314DE5"/>
    <w:rsid w:val="00315066"/>
    <w:rsid w:val="0031592A"/>
    <w:rsid w:val="00315BFD"/>
    <w:rsid w:val="00316025"/>
    <w:rsid w:val="0031667C"/>
    <w:rsid w:val="003172FA"/>
    <w:rsid w:val="00320040"/>
    <w:rsid w:val="00320571"/>
    <w:rsid w:val="00321163"/>
    <w:rsid w:val="00321B47"/>
    <w:rsid w:val="00322C15"/>
    <w:rsid w:val="00323F9E"/>
    <w:rsid w:val="0032400A"/>
    <w:rsid w:val="0032428F"/>
    <w:rsid w:val="00324559"/>
    <w:rsid w:val="003248D7"/>
    <w:rsid w:val="003260EF"/>
    <w:rsid w:val="003261E6"/>
    <w:rsid w:val="0032757B"/>
    <w:rsid w:val="0032757D"/>
    <w:rsid w:val="00327990"/>
    <w:rsid w:val="003279D1"/>
    <w:rsid w:val="00327CD6"/>
    <w:rsid w:val="0033053B"/>
    <w:rsid w:val="00330A35"/>
    <w:rsid w:val="00330F30"/>
    <w:rsid w:val="003314DE"/>
    <w:rsid w:val="003317A1"/>
    <w:rsid w:val="00331E6E"/>
    <w:rsid w:val="003326C3"/>
    <w:rsid w:val="00332ED2"/>
    <w:rsid w:val="003333F3"/>
    <w:rsid w:val="00333C9B"/>
    <w:rsid w:val="00334414"/>
    <w:rsid w:val="003349BE"/>
    <w:rsid w:val="00334AF9"/>
    <w:rsid w:val="0033518A"/>
    <w:rsid w:val="00335909"/>
    <w:rsid w:val="003359F4"/>
    <w:rsid w:val="00336614"/>
    <w:rsid w:val="00336632"/>
    <w:rsid w:val="00336733"/>
    <w:rsid w:val="00337211"/>
    <w:rsid w:val="0034065F"/>
    <w:rsid w:val="00340B5D"/>
    <w:rsid w:val="00341306"/>
    <w:rsid w:val="00341427"/>
    <w:rsid w:val="00341B1D"/>
    <w:rsid w:val="00342672"/>
    <w:rsid w:val="0034279C"/>
    <w:rsid w:val="00342CE4"/>
    <w:rsid w:val="003436DF"/>
    <w:rsid w:val="003436E1"/>
    <w:rsid w:val="00343BFE"/>
    <w:rsid w:val="00343C1B"/>
    <w:rsid w:val="00344E19"/>
    <w:rsid w:val="00346027"/>
    <w:rsid w:val="003464D8"/>
    <w:rsid w:val="003477BD"/>
    <w:rsid w:val="0034780D"/>
    <w:rsid w:val="00347889"/>
    <w:rsid w:val="00347BCA"/>
    <w:rsid w:val="00350049"/>
    <w:rsid w:val="003501BC"/>
    <w:rsid w:val="00350253"/>
    <w:rsid w:val="003505A7"/>
    <w:rsid w:val="0035099A"/>
    <w:rsid w:val="00350B7D"/>
    <w:rsid w:val="00350CBD"/>
    <w:rsid w:val="00351922"/>
    <w:rsid w:val="00352726"/>
    <w:rsid w:val="003530AE"/>
    <w:rsid w:val="003535A9"/>
    <w:rsid w:val="00353746"/>
    <w:rsid w:val="003543B9"/>
    <w:rsid w:val="00354764"/>
    <w:rsid w:val="003548E9"/>
    <w:rsid w:val="003549C6"/>
    <w:rsid w:val="00354D42"/>
    <w:rsid w:val="003555BA"/>
    <w:rsid w:val="00355A8C"/>
    <w:rsid w:val="003560F2"/>
    <w:rsid w:val="0035651D"/>
    <w:rsid w:val="0035675F"/>
    <w:rsid w:val="0035693A"/>
    <w:rsid w:val="003569C2"/>
    <w:rsid w:val="00356E96"/>
    <w:rsid w:val="003572F3"/>
    <w:rsid w:val="00357394"/>
    <w:rsid w:val="0036019E"/>
    <w:rsid w:val="00361632"/>
    <w:rsid w:val="00361CF7"/>
    <w:rsid w:val="0036291F"/>
    <w:rsid w:val="00362D6E"/>
    <w:rsid w:val="00362EBF"/>
    <w:rsid w:val="00363241"/>
    <w:rsid w:val="003632A7"/>
    <w:rsid w:val="00363473"/>
    <w:rsid w:val="00363E0B"/>
    <w:rsid w:val="0036447A"/>
    <w:rsid w:val="00364F8C"/>
    <w:rsid w:val="00365103"/>
    <w:rsid w:val="0036657E"/>
    <w:rsid w:val="003667CE"/>
    <w:rsid w:val="00366803"/>
    <w:rsid w:val="00366EE9"/>
    <w:rsid w:val="0036718E"/>
    <w:rsid w:val="00367231"/>
    <w:rsid w:val="0036790C"/>
    <w:rsid w:val="0037057A"/>
    <w:rsid w:val="0037117B"/>
    <w:rsid w:val="00372F37"/>
    <w:rsid w:val="00373929"/>
    <w:rsid w:val="003740B4"/>
    <w:rsid w:val="00374316"/>
    <w:rsid w:val="00374E2D"/>
    <w:rsid w:val="0037673B"/>
    <w:rsid w:val="003773A9"/>
    <w:rsid w:val="00377612"/>
    <w:rsid w:val="00380030"/>
    <w:rsid w:val="00380A06"/>
    <w:rsid w:val="00380ED7"/>
    <w:rsid w:val="00381489"/>
    <w:rsid w:val="003814AB"/>
    <w:rsid w:val="003815B5"/>
    <w:rsid w:val="0038188F"/>
    <w:rsid w:val="003820E6"/>
    <w:rsid w:val="00382F07"/>
    <w:rsid w:val="0038417B"/>
    <w:rsid w:val="0038474E"/>
    <w:rsid w:val="003849DD"/>
    <w:rsid w:val="00384CBD"/>
    <w:rsid w:val="00385283"/>
    <w:rsid w:val="00385733"/>
    <w:rsid w:val="00385958"/>
    <w:rsid w:val="00385A03"/>
    <w:rsid w:val="00385D32"/>
    <w:rsid w:val="00385F60"/>
    <w:rsid w:val="003861D3"/>
    <w:rsid w:val="0038667C"/>
    <w:rsid w:val="00386C9A"/>
    <w:rsid w:val="003870FB"/>
    <w:rsid w:val="003877DC"/>
    <w:rsid w:val="00387E45"/>
    <w:rsid w:val="00390B5A"/>
    <w:rsid w:val="003911DF"/>
    <w:rsid w:val="00391587"/>
    <w:rsid w:val="003915A9"/>
    <w:rsid w:val="00391797"/>
    <w:rsid w:val="00391ADC"/>
    <w:rsid w:val="00392328"/>
    <w:rsid w:val="00393686"/>
    <w:rsid w:val="00393687"/>
    <w:rsid w:val="00393DE1"/>
    <w:rsid w:val="00394134"/>
    <w:rsid w:val="00395733"/>
    <w:rsid w:val="00396349"/>
    <w:rsid w:val="0039714A"/>
    <w:rsid w:val="003A0AA0"/>
    <w:rsid w:val="003A1124"/>
    <w:rsid w:val="003A177F"/>
    <w:rsid w:val="003A17D5"/>
    <w:rsid w:val="003A1A2D"/>
    <w:rsid w:val="003A1B7A"/>
    <w:rsid w:val="003A24CE"/>
    <w:rsid w:val="003A25B4"/>
    <w:rsid w:val="003A2656"/>
    <w:rsid w:val="003A2AEA"/>
    <w:rsid w:val="003A3574"/>
    <w:rsid w:val="003A42C0"/>
    <w:rsid w:val="003A4629"/>
    <w:rsid w:val="003A4E94"/>
    <w:rsid w:val="003A5065"/>
    <w:rsid w:val="003A5098"/>
    <w:rsid w:val="003A5D30"/>
    <w:rsid w:val="003A5DA5"/>
    <w:rsid w:val="003A66F2"/>
    <w:rsid w:val="003A6C1B"/>
    <w:rsid w:val="003A71B5"/>
    <w:rsid w:val="003A743F"/>
    <w:rsid w:val="003A7CA1"/>
    <w:rsid w:val="003B0400"/>
    <w:rsid w:val="003B04B9"/>
    <w:rsid w:val="003B0A84"/>
    <w:rsid w:val="003B0C4B"/>
    <w:rsid w:val="003B19A3"/>
    <w:rsid w:val="003B1A9A"/>
    <w:rsid w:val="003B1F0D"/>
    <w:rsid w:val="003B2595"/>
    <w:rsid w:val="003B286D"/>
    <w:rsid w:val="003B2C96"/>
    <w:rsid w:val="003B328C"/>
    <w:rsid w:val="003B3430"/>
    <w:rsid w:val="003B4B51"/>
    <w:rsid w:val="003B4EDF"/>
    <w:rsid w:val="003B53AC"/>
    <w:rsid w:val="003B5A19"/>
    <w:rsid w:val="003B5EE2"/>
    <w:rsid w:val="003B640F"/>
    <w:rsid w:val="003B6CC9"/>
    <w:rsid w:val="003B71FA"/>
    <w:rsid w:val="003B760C"/>
    <w:rsid w:val="003C0A91"/>
    <w:rsid w:val="003C0C5C"/>
    <w:rsid w:val="003C136D"/>
    <w:rsid w:val="003C1D0B"/>
    <w:rsid w:val="003C2476"/>
    <w:rsid w:val="003C26F8"/>
    <w:rsid w:val="003C2BC6"/>
    <w:rsid w:val="003C332C"/>
    <w:rsid w:val="003C434D"/>
    <w:rsid w:val="003C546E"/>
    <w:rsid w:val="003C5F22"/>
    <w:rsid w:val="003C6FC1"/>
    <w:rsid w:val="003C7374"/>
    <w:rsid w:val="003D0C1A"/>
    <w:rsid w:val="003D0C1C"/>
    <w:rsid w:val="003D0F7D"/>
    <w:rsid w:val="003D169A"/>
    <w:rsid w:val="003D17EE"/>
    <w:rsid w:val="003D1F8C"/>
    <w:rsid w:val="003D21AF"/>
    <w:rsid w:val="003D23FD"/>
    <w:rsid w:val="003D267A"/>
    <w:rsid w:val="003D375C"/>
    <w:rsid w:val="003D39EF"/>
    <w:rsid w:val="003D467D"/>
    <w:rsid w:val="003D47E8"/>
    <w:rsid w:val="003D4F81"/>
    <w:rsid w:val="003D4FFF"/>
    <w:rsid w:val="003D5A32"/>
    <w:rsid w:val="003D64BB"/>
    <w:rsid w:val="003D700E"/>
    <w:rsid w:val="003D7994"/>
    <w:rsid w:val="003D7B7D"/>
    <w:rsid w:val="003D7CF3"/>
    <w:rsid w:val="003D7F85"/>
    <w:rsid w:val="003E083E"/>
    <w:rsid w:val="003E0E76"/>
    <w:rsid w:val="003E115F"/>
    <w:rsid w:val="003E3653"/>
    <w:rsid w:val="003E3D2E"/>
    <w:rsid w:val="003E47F7"/>
    <w:rsid w:val="003E4F7C"/>
    <w:rsid w:val="003E50E2"/>
    <w:rsid w:val="003E60F3"/>
    <w:rsid w:val="003E6383"/>
    <w:rsid w:val="003E6656"/>
    <w:rsid w:val="003E6B80"/>
    <w:rsid w:val="003E6F04"/>
    <w:rsid w:val="003E7389"/>
    <w:rsid w:val="003E7460"/>
    <w:rsid w:val="003E758A"/>
    <w:rsid w:val="003F04C4"/>
    <w:rsid w:val="003F0569"/>
    <w:rsid w:val="003F0B16"/>
    <w:rsid w:val="003F1274"/>
    <w:rsid w:val="003F173B"/>
    <w:rsid w:val="003F1858"/>
    <w:rsid w:val="003F1FCC"/>
    <w:rsid w:val="003F201B"/>
    <w:rsid w:val="003F20AD"/>
    <w:rsid w:val="003F24E7"/>
    <w:rsid w:val="003F251F"/>
    <w:rsid w:val="003F31F6"/>
    <w:rsid w:val="003F32A0"/>
    <w:rsid w:val="003F34E7"/>
    <w:rsid w:val="003F36A5"/>
    <w:rsid w:val="003F377E"/>
    <w:rsid w:val="003F4F5A"/>
    <w:rsid w:val="003F5194"/>
    <w:rsid w:val="003F51CF"/>
    <w:rsid w:val="003F5D24"/>
    <w:rsid w:val="003F637C"/>
    <w:rsid w:val="003F6522"/>
    <w:rsid w:val="003F6B77"/>
    <w:rsid w:val="003F6B98"/>
    <w:rsid w:val="003F6F0D"/>
    <w:rsid w:val="003F6F7F"/>
    <w:rsid w:val="003F7420"/>
    <w:rsid w:val="003F7A74"/>
    <w:rsid w:val="003F7DEE"/>
    <w:rsid w:val="00400EB8"/>
    <w:rsid w:val="00401278"/>
    <w:rsid w:val="00401A62"/>
    <w:rsid w:val="004021DA"/>
    <w:rsid w:val="004027FB"/>
    <w:rsid w:val="004029B7"/>
    <w:rsid w:val="00402B6F"/>
    <w:rsid w:val="00402F22"/>
    <w:rsid w:val="0040313D"/>
    <w:rsid w:val="00403188"/>
    <w:rsid w:val="0040331E"/>
    <w:rsid w:val="00403B68"/>
    <w:rsid w:val="00404186"/>
    <w:rsid w:val="00404330"/>
    <w:rsid w:val="004045E5"/>
    <w:rsid w:val="00404A64"/>
    <w:rsid w:val="00404C25"/>
    <w:rsid w:val="00404FEE"/>
    <w:rsid w:val="00405231"/>
    <w:rsid w:val="00405240"/>
    <w:rsid w:val="00406DE7"/>
    <w:rsid w:val="00407894"/>
    <w:rsid w:val="004106A9"/>
    <w:rsid w:val="004117B8"/>
    <w:rsid w:val="00411D5C"/>
    <w:rsid w:val="0041305A"/>
    <w:rsid w:val="004131A2"/>
    <w:rsid w:val="00413314"/>
    <w:rsid w:val="004138C2"/>
    <w:rsid w:val="0041464A"/>
    <w:rsid w:val="004149A6"/>
    <w:rsid w:val="00415752"/>
    <w:rsid w:val="004159E5"/>
    <w:rsid w:val="00415A9D"/>
    <w:rsid w:val="00415CCE"/>
    <w:rsid w:val="00415F58"/>
    <w:rsid w:val="0041752F"/>
    <w:rsid w:val="004175DA"/>
    <w:rsid w:val="00420446"/>
    <w:rsid w:val="00420E42"/>
    <w:rsid w:val="0042117D"/>
    <w:rsid w:val="00422D74"/>
    <w:rsid w:val="00422F30"/>
    <w:rsid w:val="004230DB"/>
    <w:rsid w:val="004235D5"/>
    <w:rsid w:val="00423FED"/>
    <w:rsid w:val="0042419D"/>
    <w:rsid w:val="00424EF8"/>
    <w:rsid w:val="00425082"/>
    <w:rsid w:val="00425F48"/>
    <w:rsid w:val="00426D1B"/>
    <w:rsid w:val="00427803"/>
    <w:rsid w:val="00430319"/>
    <w:rsid w:val="00430C8B"/>
    <w:rsid w:val="00430CE7"/>
    <w:rsid w:val="00431683"/>
    <w:rsid w:val="004317C2"/>
    <w:rsid w:val="0043203E"/>
    <w:rsid w:val="00432500"/>
    <w:rsid w:val="004335D4"/>
    <w:rsid w:val="00433888"/>
    <w:rsid w:val="00433A77"/>
    <w:rsid w:val="00433F9C"/>
    <w:rsid w:val="00434A7C"/>
    <w:rsid w:val="00434CFC"/>
    <w:rsid w:val="00435819"/>
    <w:rsid w:val="004358E7"/>
    <w:rsid w:val="0043673B"/>
    <w:rsid w:val="00437BB1"/>
    <w:rsid w:val="00437E2F"/>
    <w:rsid w:val="00440527"/>
    <w:rsid w:val="00440A4D"/>
    <w:rsid w:val="00440B7E"/>
    <w:rsid w:val="00441545"/>
    <w:rsid w:val="00441F40"/>
    <w:rsid w:val="00442321"/>
    <w:rsid w:val="004431FC"/>
    <w:rsid w:val="004438F1"/>
    <w:rsid w:val="00444CB6"/>
    <w:rsid w:val="004461D2"/>
    <w:rsid w:val="0044672C"/>
    <w:rsid w:val="00446E7C"/>
    <w:rsid w:val="00446FF1"/>
    <w:rsid w:val="0044707E"/>
    <w:rsid w:val="0044786E"/>
    <w:rsid w:val="00447ADA"/>
    <w:rsid w:val="00447CE8"/>
    <w:rsid w:val="00447E79"/>
    <w:rsid w:val="004500C8"/>
    <w:rsid w:val="00450405"/>
    <w:rsid w:val="00451387"/>
    <w:rsid w:val="00451CE4"/>
    <w:rsid w:val="0045209C"/>
    <w:rsid w:val="00452952"/>
    <w:rsid w:val="00453A45"/>
    <w:rsid w:val="00453D26"/>
    <w:rsid w:val="00454ED3"/>
    <w:rsid w:val="004576CB"/>
    <w:rsid w:val="00457714"/>
    <w:rsid w:val="00457A76"/>
    <w:rsid w:val="0046002F"/>
    <w:rsid w:val="004600CD"/>
    <w:rsid w:val="00460F7F"/>
    <w:rsid w:val="00460FC5"/>
    <w:rsid w:val="004612BB"/>
    <w:rsid w:val="00461860"/>
    <w:rsid w:val="00462499"/>
    <w:rsid w:val="004625F9"/>
    <w:rsid w:val="00462867"/>
    <w:rsid w:val="004635BD"/>
    <w:rsid w:val="00463A98"/>
    <w:rsid w:val="00463E4D"/>
    <w:rsid w:val="00463ECB"/>
    <w:rsid w:val="0046561E"/>
    <w:rsid w:val="004658DD"/>
    <w:rsid w:val="00465969"/>
    <w:rsid w:val="00465A18"/>
    <w:rsid w:val="00466A6F"/>
    <w:rsid w:val="00470D15"/>
    <w:rsid w:val="0047223B"/>
    <w:rsid w:val="0047244A"/>
    <w:rsid w:val="00472647"/>
    <w:rsid w:val="00472EE9"/>
    <w:rsid w:val="004739CD"/>
    <w:rsid w:val="0047606E"/>
    <w:rsid w:val="00476481"/>
    <w:rsid w:val="0047682C"/>
    <w:rsid w:val="00476BEF"/>
    <w:rsid w:val="00477033"/>
    <w:rsid w:val="004770BE"/>
    <w:rsid w:val="00477429"/>
    <w:rsid w:val="0047765A"/>
    <w:rsid w:val="00477695"/>
    <w:rsid w:val="00477AF1"/>
    <w:rsid w:val="00480173"/>
    <w:rsid w:val="00480917"/>
    <w:rsid w:val="00480B8D"/>
    <w:rsid w:val="0048115A"/>
    <w:rsid w:val="00481653"/>
    <w:rsid w:val="00481E9D"/>
    <w:rsid w:val="004823AB"/>
    <w:rsid w:val="0048318C"/>
    <w:rsid w:val="0048344B"/>
    <w:rsid w:val="0048345E"/>
    <w:rsid w:val="00483833"/>
    <w:rsid w:val="0048395A"/>
    <w:rsid w:val="00484B9A"/>
    <w:rsid w:val="00485741"/>
    <w:rsid w:val="00485762"/>
    <w:rsid w:val="004859B9"/>
    <w:rsid w:val="00485B07"/>
    <w:rsid w:val="00485ED6"/>
    <w:rsid w:val="00486540"/>
    <w:rsid w:val="0048656E"/>
    <w:rsid w:val="00486644"/>
    <w:rsid w:val="00486BEA"/>
    <w:rsid w:val="00486D30"/>
    <w:rsid w:val="00487188"/>
    <w:rsid w:val="0048740C"/>
    <w:rsid w:val="00487437"/>
    <w:rsid w:val="00490C32"/>
    <w:rsid w:val="0049170A"/>
    <w:rsid w:val="00494249"/>
    <w:rsid w:val="004942E6"/>
    <w:rsid w:val="004944FB"/>
    <w:rsid w:val="004949B2"/>
    <w:rsid w:val="00494B79"/>
    <w:rsid w:val="00494C06"/>
    <w:rsid w:val="004956A5"/>
    <w:rsid w:val="00495771"/>
    <w:rsid w:val="004961AF"/>
    <w:rsid w:val="0049666D"/>
    <w:rsid w:val="00496E75"/>
    <w:rsid w:val="0049749E"/>
    <w:rsid w:val="004A040B"/>
    <w:rsid w:val="004A0416"/>
    <w:rsid w:val="004A0662"/>
    <w:rsid w:val="004A0CAB"/>
    <w:rsid w:val="004A110D"/>
    <w:rsid w:val="004A129D"/>
    <w:rsid w:val="004A1E77"/>
    <w:rsid w:val="004A238F"/>
    <w:rsid w:val="004A27BE"/>
    <w:rsid w:val="004A2D91"/>
    <w:rsid w:val="004A2EA5"/>
    <w:rsid w:val="004A3D08"/>
    <w:rsid w:val="004A3DC6"/>
    <w:rsid w:val="004A44DA"/>
    <w:rsid w:val="004A4949"/>
    <w:rsid w:val="004A4D16"/>
    <w:rsid w:val="004A4EFF"/>
    <w:rsid w:val="004A5491"/>
    <w:rsid w:val="004A5C22"/>
    <w:rsid w:val="004A71F3"/>
    <w:rsid w:val="004A7379"/>
    <w:rsid w:val="004A77B9"/>
    <w:rsid w:val="004A79D3"/>
    <w:rsid w:val="004A7A51"/>
    <w:rsid w:val="004A7B4A"/>
    <w:rsid w:val="004A7D37"/>
    <w:rsid w:val="004B04BC"/>
    <w:rsid w:val="004B09E5"/>
    <w:rsid w:val="004B2180"/>
    <w:rsid w:val="004B21A9"/>
    <w:rsid w:val="004B2320"/>
    <w:rsid w:val="004B2399"/>
    <w:rsid w:val="004B3FC8"/>
    <w:rsid w:val="004B5EFF"/>
    <w:rsid w:val="004B65F9"/>
    <w:rsid w:val="004B6B92"/>
    <w:rsid w:val="004B7A69"/>
    <w:rsid w:val="004C0B0D"/>
    <w:rsid w:val="004C18C4"/>
    <w:rsid w:val="004C1A32"/>
    <w:rsid w:val="004C31EA"/>
    <w:rsid w:val="004C390C"/>
    <w:rsid w:val="004C3B6A"/>
    <w:rsid w:val="004C3C49"/>
    <w:rsid w:val="004C54F1"/>
    <w:rsid w:val="004C5514"/>
    <w:rsid w:val="004C5551"/>
    <w:rsid w:val="004C598C"/>
    <w:rsid w:val="004C604A"/>
    <w:rsid w:val="004C6253"/>
    <w:rsid w:val="004C6CA6"/>
    <w:rsid w:val="004C70E3"/>
    <w:rsid w:val="004C724A"/>
    <w:rsid w:val="004C74AC"/>
    <w:rsid w:val="004D02A5"/>
    <w:rsid w:val="004D06EB"/>
    <w:rsid w:val="004D0991"/>
    <w:rsid w:val="004D0D7E"/>
    <w:rsid w:val="004D0F2B"/>
    <w:rsid w:val="004D1174"/>
    <w:rsid w:val="004D1A2F"/>
    <w:rsid w:val="004D1D52"/>
    <w:rsid w:val="004D2599"/>
    <w:rsid w:val="004D35B9"/>
    <w:rsid w:val="004D4D94"/>
    <w:rsid w:val="004D4F64"/>
    <w:rsid w:val="004D5928"/>
    <w:rsid w:val="004D5F48"/>
    <w:rsid w:val="004D73D6"/>
    <w:rsid w:val="004D74F2"/>
    <w:rsid w:val="004D75DD"/>
    <w:rsid w:val="004D7B80"/>
    <w:rsid w:val="004E036B"/>
    <w:rsid w:val="004E05B4"/>
    <w:rsid w:val="004E1284"/>
    <w:rsid w:val="004E174D"/>
    <w:rsid w:val="004E1952"/>
    <w:rsid w:val="004E19A0"/>
    <w:rsid w:val="004E2DEA"/>
    <w:rsid w:val="004E31E8"/>
    <w:rsid w:val="004E53DB"/>
    <w:rsid w:val="004E5959"/>
    <w:rsid w:val="004E603A"/>
    <w:rsid w:val="004E659F"/>
    <w:rsid w:val="004E6614"/>
    <w:rsid w:val="004E73CF"/>
    <w:rsid w:val="004E7804"/>
    <w:rsid w:val="004E7D74"/>
    <w:rsid w:val="004E7FC4"/>
    <w:rsid w:val="004F18C1"/>
    <w:rsid w:val="004F19CE"/>
    <w:rsid w:val="004F2039"/>
    <w:rsid w:val="004F2755"/>
    <w:rsid w:val="004F2CAA"/>
    <w:rsid w:val="004F2EC0"/>
    <w:rsid w:val="004F3FE6"/>
    <w:rsid w:val="004F4239"/>
    <w:rsid w:val="004F4671"/>
    <w:rsid w:val="004F46C7"/>
    <w:rsid w:val="004F53BE"/>
    <w:rsid w:val="004F5B97"/>
    <w:rsid w:val="004F5EF4"/>
    <w:rsid w:val="004F68F6"/>
    <w:rsid w:val="004F6A6D"/>
    <w:rsid w:val="004F6B0E"/>
    <w:rsid w:val="004F71C8"/>
    <w:rsid w:val="004F7967"/>
    <w:rsid w:val="004F79D2"/>
    <w:rsid w:val="004F7AD4"/>
    <w:rsid w:val="005003D4"/>
    <w:rsid w:val="00500559"/>
    <w:rsid w:val="005006AC"/>
    <w:rsid w:val="005011FB"/>
    <w:rsid w:val="005015B7"/>
    <w:rsid w:val="0050202A"/>
    <w:rsid w:val="0050228E"/>
    <w:rsid w:val="0050233B"/>
    <w:rsid w:val="00502D00"/>
    <w:rsid w:val="00503492"/>
    <w:rsid w:val="005039CF"/>
    <w:rsid w:val="00504023"/>
    <w:rsid w:val="00504477"/>
    <w:rsid w:val="00504D8B"/>
    <w:rsid w:val="00505614"/>
    <w:rsid w:val="00505A2A"/>
    <w:rsid w:val="00506739"/>
    <w:rsid w:val="005067E1"/>
    <w:rsid w:val="00506978"/>
    <w:rsid w:val="00506DBC"/>
    <w:rsid w:val="00507268"/>
    <w:rsid w:val="00507DD4"/>
    <w:rsid w:val="00510298"/>
    <w:rsid w:val="005104A1"/>
    <w:rsid w:val="00511011"/>
    <w:rsid w:val="0051146E"/>
    <w:rsid w:val="005128D4"/>
    <w:rsid w:val="00512ECF"/>
    <w:rsid w:val="005133A6"/>
    <w:rsid w:val="00513CBE"/>
    <w:rsid w:val="00514059"/>
    <w:rsid w:val="00514105"/>
    <w:rsid w:val="00514A22"/>
    <w:rsid w:val="00514C14"/>
    <w:rsid w:val="00514E0F"/>
    <w:rsid w:val="00514F90"/>
    <w:rsid w:val="00515178"/>
    <w:rsid w:val="00515719"/>
    <w:rsid w:val="00515A31"/>
    <w:rsid w:val="005166C3"/>
    <w:rsid w:val="00516E29"/>
    <w:rsid w:val="005172E6"/>
    <w:rsid w:val="00520639"/>
    <w:rsid w:val="00521778"/>
    <w:rsid w:val="0052273F"/>
    <w:rsid w:val="00523EBC"/>
    <w:rsid w:val="00524280"/>
    <w:rsid w:val="005242AA"/>
    <w:rsid w:val="00524AD3"/>
    <w:rsid w:val="00525491"/>
    <w:rsid w:val="005258E4"/>
    <w:rsid w:val="0052648B"/>
    <w:rsid w:val="00526E6D"/>
    <w:rsid w:val="00527150"/>
    <w:rsid w:val="0052721B"/>
    <w:rsid w:val="00527312"/>
    <w:rsid w:val="00527FFE"/>
    <w:rsid w:val="00531005"/>
    <w:rsid w:val="0053140D"/>
    <w:rsid w:val="00531D13"/>
    <w:rsid w:val="00531DE6"/>
    <w:rsid w:val="00532DF4"/>
    <w:rsid w:val="005336FF"/>
    <w:rsid w:val="005337CB"/>
    <w:rsid w:val="00534690"/>
    <w:rsid w:val="00534A3B"/>
    <w:rsid w:val="005354B1"/>
    <w:rsid w:val="005356E7"/>
    <w:rsid w:val="00535E18"/>
    <w:rsid w:val="00537746"/>
    <w:rsid w:val="00537ECE"/>
    <w:rsid w:val="00540090"/>
    <w:rsid w:val="00540B7E"/>
    <w:rsid w:val="0054145E"/>
    <w:rsid w:val="00541AFD"/>
    <w:rsid w:val="00541F9A"/>
    <w:rsid w:val="00541FAE"/>
    <w:rsid w:val="005429D5"/>
    <w:rsid w:val="00542C3C"/>
    <w:rsid w:val="00542D2B"/>
    <w:rsid w:val="00542EA7"/>
    <w:rsid w:val="005432B9"/>
    <w:rsid w:val="00543988"/>
    <w:rsid w:val="00543C40"/>
    <w:rsid w:val="00543F2E"/>
    <w:rsid w:val="00544243"/>
    <w:rsid w:val="0054513C"/>
    <w:rsid w:val="00545977"/>
    <w:rsid w:val="005464F5"/>
    <w:rsid w:val="00546CFC"/>
    <w:rsid w:val="0054711B"/>
    <w:rsid w:val="00547812"/>
    <w:rsid w:val="0054782A"/>
    <w:rsid w:val="00547E50"/>
    <w:rsid w:val="00550F6D"/>
    <w:rsid w:val="005513BD"/>
    <w:rsid w:val="0055154E"/>
    <w:rsid w:val="0055173C"/>
    <w:rsid w:val="005518EC"/>
    <w:rsid w:val="00552073"/>
    <w:rsid w:val="00552BD9"/>
    <w:rsid w:val="005531D4"/>
    <w:rsid w:val="0055338A"/>
    <w:rsid w:val="00553899"/>
    <w:rsid w:val="005547D7"/>
    <w:rsid w:val="005548C9"/>
    <w:rsid w:val="00554904"/>
    <w:rsid w:val="00554963"/>
    <w:rsid w:val="00554F69"/>
    <w:rsid w:val="00554F82"/>
    <w:rsid w:val="005554CC"/>
    <w:rsid w:val="00555A5A"/>
    <w:rsid w:val="0055670A"/>
    <w:rsid w:val="00556B2C"/>
    <w:rsid w:val="00557366"/>
    <w:rsid w:val="0055757D"/>
    <w:rsid w:val="00560454"/>
    <w:rsid w:val="00560692"/>
    <w:rsid w:val="00560DE7"/>
    <w:rsid w:val="00561119"/>
    <w:rsid w:val="005612C0"/>
    <w:rsid w:val="00561488"/>
    <w:rsid w:val="005621C9"/>
    <w:rsid w:val="0056244D"/>
    <w:rsid w:val="00563EEE"/>
    <w:rsid w:val="00564878"/>
    <w:rsid w:val="00564AA8"/>
    <w:rsid w:val="00564E94"/>
    <w:rsid w:val="00565479"/>
    <w:rsid w:val="00565510"/>
    <w:rsid w:val="005656AA"/>
    <w:rsid w:val="005659EF"/>
    <w:rsid w:val="00565EAF"/>
    <w:rsid w:val="0056674F"/>
    <w:rsid w:val="00566A5A"/>
    <w:rsid w:val="00566DD8"/>
    <w:rsid w:val="0056713D"/>
    <w:rsid w:val="005678CB"/>
    <w:rsid w:val="00567B59"/>
    <w:rsid w:val="005703C1"/>
    <w:rsid w:val="00571309"/>
    <w:rsid w:val="0057147E"/>
    <w:rsid w:val="00571C08"/>
    <w:rsid w:val="00572CAC"/>
    <w:rsid w:val="00573428"/>
    <w:rsid w:val="00573C17"/>
    <w:rsid w:val="005741A6"/>
    <w:rsid w:val="005754F0"/>
    <w:rsid w:val="00575E99"/>
    <w:rsid w:val="005760DF"/>
    <w:rsid w:val="00580125"/>
    <w:rsid w:val="00581C7F"/>
    <w:rsid w:val="00582DDA"/>
    <w:rsid w:val="00582EF5"/>
    <w:rsid w:val="0058332F"/>
    <w:rsid w:val="00584571"/>
    <w:rsid w:val="00585A13"/>
    <w:rsid w:val="00585BE3"/>
    <w:rsid w:val="00586822"/>
    <w:rsid w:val="005871F6"/>
    <w:rsid w:val="00587200"/>
    <w:rsid w:val="005878F5"/>
    <w:rsid w:val="00587B91"/>
    <w:rsid w:val="005903C1"/>
    <w:rsid w:val="005903D8"/>
    <w:rsid w:val="00590876"/>
    <w:rsid w:val="005919EF"/>
    <w:rsid w:val="00591E67"/>
    <w:rsid w:val="005928FC"/>
    <w:rsid w:val="00593348"/>
    <w:rsid w:val="0059342C"/>
    <w:rsid w:val="00593B33"/>
    <w:rsid w:val="00593E21"/>
    <w:rsid w:val="00594061"/>
    <w:rsid w:val="00594355"/>
    <w:rsid w:val="00594833"/>
    <w:rsid w:val="0059490D"/>
    <w:rsid w:val="005950FC"/>
    <w:rsid w:val="00595A51"/>
    <w:rsid w:val="005967F8"/>
    <w:rsid w:val="00596BDA"/>
    <w:rsid w:val="00597361"/>
    <w:rsid w:val="00597DB2"/>
    <w:rsid w:val="005A0AF7"/>
    <w:rsid w:val="005A1A3B"/>
    <w:rsid w:val="005A1D51"/>
    <w:rsid w:val="005A2096"/>
    <w:rsid w:val="005A29DC"/>
    <w:rsid w:val="005A2CCE"/>
    <w:rsid w:val="005A3347"/>
    <w:rsid w:val="005A3411"/>
    <w:rsid w:val="005A341A"/>
    <w:rsid w:val="005A4216"/>
    <w:rsid w:val="005A4EB3"/>
    <w:rsid w:val="005A5234"/>
    <w:rsid w:val="005A56E4"/>
    <w:rsid w:val="005A57BE"/>
    <w:rsid w:val="005A58F3"/>
    <w:rsid w:val="005A649C"/>
    <w:rsid w:val="005A6FDE"/>
    <w:rsid w:val="005A73E2"/>
    <w:rsid w:val="005A77E4"/>
    <w:rsid w:val="005B04A4"/>
    <w:rsid w:val="005B0B7B"/>
    <w:rsid w:val="005B173A"/>
    <w:rsid w:val="005B1A45"/>
    <w:rsid w:val="005B1CCB"/>
    <w:rsid w:val="005B1D58"/>
    <w:rsid w:val="005B3008"/>
    <w:rsid w:val="005B4016"/>
    <w:rsid w:val="005B459B"/>
    <w:rsid w:val="005B4B39"/>
    <w:rsid w:val="005B4C48"/>
    <w:rsid w:val="005B599E"/>
    <w:rsid w:val="005B601B"/>
    <w:rsid w:val="005B7D16"/>
    <w:rsid w:val="005B7E15"/>
    <w:rsid w:val="005B7FA0"/>
    <w:rsid w:val="005C032A"/>
    <w:rsid w:val="005C0DA3"/>
    <w:rsid w:val="005C1111"/>
    <w:rsid w:val="005C2A2A"/>
    <w:rsid w:val="005C2A87"/>
    <w:rsid w:val="005C369A"/>
    <w:rsid w:val="005C3A8D"/>
    <w:rsid w:val="005C3C5C"/>
    <w:rsid w:val="005C3F0C"/>
    <w:rsid w:val="005C45D9"/>
    <w:rsid w:val="005C4DB8"/>
    <w:rsid w:val="005C5EDC"/>
    <w:rsid w:val="005C6C92"/>
    <w:rsid w:val="005C6DEA"/>
    <w:rsid w:val="005C7249"/>
    <w:rsid w:val="005C74C9"/>
    <w:rsid w:val="005C7550"/>
    <w:rsid w:val="005C76D3"/>
    <w:rsid w:val="005C7957"/>
    <w:rsid w:val="005D0433"/>
    <w:rsid w:val="005D0564"/>
    <w:rsid w:val="005D119C"/>
    <w:rsid w:val="005D12F3"/>
    <w:rsid w:val="005D13BF"/>
    <w:rsid w:val="005D1475"/>
    <w:rsid w:val="005D1AEB"/>
    <w:rsid w:val="005D25EE"/>
    <w:rsid w:val="005D2CC8"/>
    <w:rsid w:val="005D2DC8"/>
    <w:rsid w:val="005D2E0E"/>
    <w:rsid w:val="005D31DF"/>
    <w:rsid w:val="005D3754"/>
    <w:rsid w:val="005D3C9E"/>
    <w:rsid w:val="005D3D68"/>
    <w:rsid w:val="005D401D"/>
    <w:rsid w:val="005D4BC4"/>
    <w:rsid w:val="005D4DF0"/>
    <w:rsid w:val="005D5613"/>
    <w:rsid w:val="005D5DBB"/>
    <w:rsid w:val="005D6729"/>
    <w:rsid w:val="005D6BDF"/>
    <w:rsid w:val="005D7B84"/>
    <w:rsid w:val="005D7C23"/>
    <w:rsid w:val="005E051E"/>
    <w:rsid w:val="005E0CDA"/>
    <w:rsid w:val="005E1EA2"/>
    <w:rsid w:val="005E263C"/>
    <w:rsid w:val="005E30D7"/>
    <w:rsid w:val="005E4239"/>
    <w:rsid w:val="005E4285"/>
    <w:rsid w:val="005E4955"/>
    <w:rsid w:val="005E4A3E"/>
    <w:rsid w:val="005E4F28"/>
    <w:rsid w:val="005E53C5"/>
    <w:rsid w:val="005E613A"/>
    <w:rsid w:val="005E61EC"/>
    <w:rsid w:val="005E64F1"/>
    <w:rsid w:val="005E65D7"/>
    <w:rsid w:val="005E72D2"/>
    <w:rsid w:val="005E7CC5"/>
    <w:rsid w:val="005F01C4"/>
    <w:rsid w:val="005F1605"/>
    <w:rsid w:val="005F168B"/>
    <w:rsid w:val="005F1C4D"/>
    <w:rsid w:val="005F21E9"/>
    <w:rsid w:val="005F2710"/>
    <w:rsid w:val="005F3459"/>
    <w:rsid w:val="005F421F"/>
    <w:rsid w:val="005F4E14"/>
    <w:rsid w:val="005F5159"/>
    <w:rsid w:val="005F55D5"/>
    <w:rsid w:val="005F5F5C"/>
    <w:rsid w:val="005F64DB"/>
    <w:rsid w:val="005F6574"/>
    <w:rsid w:val="005F6CCF"/>
    <w:rsid w:val="005F72F9"/>
    <w:rsid w:val="00600444"/>
    <w:rsid w:val="00601584"/>
    <w:rsid w:val="00601657"/>
    <w:rsid w:val="00601938"/>
    <w:rsid w:val="00602F2E"/>
    <w:rsid w:val="00602F39"/>
    <w:rsid w:val="00604D66"/>
    <w:rsid w:val="00604E09"/>
    <w:rsid w:val="00604E28"/>
    <w:rsid w:val="0060521B"/>
    <w:rsid w:val="00605B03"/>
    <w:rsid w:val="00605F91"/>
    <w:rsid w:val="00606AC6"/>
    <w:rsid w:val="00606D78"/>
    <w:rsid w:val="00607FD1"/>
    <w:rsid w:val="00610118"/>
    <w:rsid w:val="0061095B"/>
    <w:rsid w:val="0061098B"/>
    <w:rsid w:val="00611E87"/>
    <w:rsid w:val="00612751"/>
    <w:rsid w:val="00613047"/>
    <w:rsid w:val="0061321A"/>
    <w:rsid w:val="006133BD"/>
    <w:rsid w:val="0061393D"/>
    <w:rsid w:val="006139F2"/>
    <w:rsid w:val="00613D02"/>
    <w:rsid w:val="00615A7E"/>
    <w:rsid w:val="00615AE2"/>
    <w:rsid w:val="00616FB2"/>
    <w:rsid w:val="006173B1"/>
    <w:rsid w:val="006176D2"/>
    <w:rsid w:val="00617964"/>
    <w:rsid w:val="00617B5B"/>
    <w:rsid w:val="00621608"/>
    <w:rsid w:val="00622A08"/>
    <w:rsid w:val="00622C3E"/>
    <w:rsid w:val="006230B2"/>
    <w:rsid w:val="006232E8"/>
    <w:rsid w:val="006237D7"/>
    <w:rsid w:val="006239A3"/>
    <w:rsid w:val="006239B1"/>
    <w:rsid w:val="00623F04"/>
    <w:rsid w:val="0062455D"/>
    <w:rsid w:val="006246E6"/>
    <w:rsid w:val="00624BE2"/>
    <w:rsid w:val="00625008"/>
    <w:rsid w:val="00625886"/>
    <w:rsid w:val="00625EA7"/>
    <w:rsid w:val="006263B8"/>
    <w:rsid w:val="00626B6E"/>
    <w:rsid w:val="00627042"/>
    <w:rsid w:val="006276AD"/>
    <w:rsid w:val="00627969"/>
    <w:rsid w:val="00627B58"/>
    <w:rsid w:val="00630C13"/>
    <w:rsid w:val="00631966"/>
    <w:rsid w:val="00631BD1"/>
    <w:rsid w:val="00631BD8"/>
    <w:rsid w:val="00632AF7"/>
    <w:rsid w:val="00632B91"/>
    <w:rsid w:val="0063402B"/>
    <w:rsid w:val="00634B25"/>
    <w:rsid w:val="00635922"/>
    <w:rsid w:val="006364CC"/>
    <w:rsid w:val="006364E1"/>
    <w:rsid w:val="006369D9"/>
    <w:rsid w:val="00636F7A"/>
    <w:rsid w:val="00640392"/>
    <w:rsid w:val="00640B60"/>
    <w:rsid w:val="00640C38"/>
    <w:rsid w:val="00640EAF"/>
    <w:rsid w:val="006411B1"/>
    <w:rsid w:val="0064159A"/>
    <w:rsid w:val="006420E8"/>
    <w:rsid w:val="0064312F"/>
    <w:rsid w:val="00643A24"/>
    <w:rsid w:val="00643E5A"/>
    <w:rsid w:val="0064586E"/>
    <w:rsid w:val="00645A1C"/>
    <w:rsid w:val="00646935"/>
    <w:rsid w:val="006473BD"/>
    <w:rsid w:val="00651407"/>
    <w:rsid w:val="006515C6"/>
    <w:rsid w:val="00651E9E"/>
    <w:rsid w:val="00652CB2"/>
    <w:rsid w:val="006533F8"/>
    <w:rsid w:val="00653D18"/>
    <w:rsid w:val="00653EF9"/>
    <w:rsid w:val="00653F84"/>
    <w:rsid w:val="00654957"/>
    <w:rsid w:val="00655163"/>
    <w:rsid w:val="006560C4"/>
    <w:rsid w:val="006563FD"/>
    <w:rsid w:val="00656895"/>
    <w:rsid w:val="0065690C"/>
    <w:rsid w:val="00656DCA"/>
    <w:rsid w:val="00657AC3"/>
    <w:rsid w:val="006601B0"/>
    <w:rsid w:val="006608A9"/>
    <w:rsid w:val="0066202E"/>
    <w:rsid w:val="006623E0"/>
    <w:rsid w:val="00662EEB"/>
    <w:rsid w:val="006635BD"/>
    <w:rsid w:val="006636BB"/>
    <w:rsid w:val="006637A5"/>
    <w:rsid w:val="00663ADD"/>
    <w:rsid w:val="00664289"/>
    <w:rsid w:val="006658B7"/>
    <w:rsid w:val="00665F9D"/>
    <w:rsid w:val="00665FF1"/>
    <w:rsid w:val="00666283"/>
    <w:rsid w:val="00666B9C"/>
    <w:rsid w:val="00666C8B"/>
    <w:rsid w:val="006670A5"/>
    <w:rsid w:val="00667830"/>
    <w:rsid w:val="00667FB2"/>
    <w:rsid w:val="006700AA"/>
    <w:rsid w:val="006708C8"/>
    <w:rsid w:val="006709B9"/>
    <w:rsid w:val="006719D0"/>
    <w:rsid w:val="00671E0C"/>
    <w:rsid w:val="00673559"/>
    <w:rsid w:val="0067355F"/>
    <w:rsid w:val="006735B8"/>
    <w:rsid w:val="00674161"/>
    <w:rsid w:val="00674570"/>
    <w:rsid w:val="00674E7D"/>
    <w:rsid w:val="006753D1"/>
    <w:rsid w:val="00675F2F"/>
    <w:rsid w:val="00677A0D"/>
    <w:rsid w:val="00680BF6"/>
    <w:rsid w:val="00680FCD"/>
    <w:rsid w:val="00681091"/>
    <w:rsid w:val="00681882"/>
    <w:rsid w:val="006819A3"/>
    <w:rsid w:val="00681E29"/>
    <w:rsid w:val="0068285E"/>
    <w:rsid w:val="00682E03"/>
    <w:rsid w:val="006831DB"/>
    <w:rsid w:val="0068370A"/>
    <w:rsid w:val="0068373B"/>
    <w:rsid w:val="00683BA3"/>
    <w:rsid w:val="00683E56"/>
    <w:rsid w:val="00683ED5"/>
    <w:rsid w:val="00684B98"/>
    <w:rsid w:val="0068568E"/>
    <w:rsid w:val="00686CC7"/>
    <w:rsid w:val="00687DE7"/>
    <w:rsid w:val="00687F99"/>
    <w:rsid w:val="006901AE"/>
    <w:rsid w:val="0069024D"/>
    <w:rsid w:val="006904A6"/>
    <w:rsid w:val="00691E71"/>
    <w:rsid w:val="00693536"/>
    <w:rsid w:val="0069359B"/>
    <w:rsid w:val="0069381F"/>
    <w:rsid w:val="00693B46"/>
    <w:rsid w:val="00694015"/>
    <w:rsid w:val="0069483C"/>
    <w:rsid w:val="006948E5"/>
    <w:rsid w:val="0069490C"/>
    <w:rsid w:val="00694A6B"/>
    <w:rsid w:val="00694BDA"/>
    <w:rsid w:val="006950C3"/>
    <w:rsid w:val="0069625C"/>
    <w:rsid w:val="00696573"/>
    <w:rsid w:val="006978EF"/>
    <w:rsid w:val="00697B15"/>
    <w:rsid w:val="00697C25"/>
    <w:rsid w:val="006A0E33"/>
    <w:rsid w:val="006A1C44"/>
    <w:rsid w:val="006A278E"/>
    <w:rsid w:val="006A2DDF"/>
    <w:rsid w:val="006A2F58"/>
    <w:rsid w:val="006A3274"/>
    <w:rsid w:val="006A43C9"/>
    <w:rsid w:val="006A511F"/>
    <w:rsid w:val="006A55A2"/>
    <w:rsid w:val="006A5A8B"/>
    <w:rsid w:val="006A699D"/>
    <w:rsid w:val="006A6C93"/>
    <w:rsid w:val="006A6CE4"/>
    <w:rsid w:val="006A718A"/>
    <w:rsid w:val="006A793E"/>
    <w:rsid w:val="006B0211"/>
    <w:rsid w:val="006B114F"/>
    <w:rsid w:val="006B1E0A"/>
    <w:rsid w:val="006B22AB"/>
    <w:rsid w:val="006B28D3"/>
    <w:rsid w:val="006B3011"/>
    <w:rsid w:val="006B3236"/>
    <w:rsid w:val="006B386E"/>
    <w:rsid w:val="006B582F"/>
    <w:rsid w:val="006B5F7E"/>
    <w:rsid w:val="006B70BA"/>
    <w:rsid w:val="006C0090"/>
    <w:rsid w:val="006C067B"/>
    <w:rsid w:val="006C0A00"/>
    <w:rsid w:val="006C0A4F"/>
    <w:rsid w:val="006C212C"/>
    <w:rsid w:val="006C2A19"/>
    <w:rsid w:val="006C3032"/>
    <w:rsid w:val="006C30F0"/>
    <w:rsid w:val="006C31D5"/>
    <w:rsid w:val="006C4398"/>
    <w:rsid w:val="006C454B"/>
    <w:rsid w:val="006C4A78"/>
    <w:rsid w:val="006C52A6"/>
    <w:rsid w:val="006C5983"/>
    <w:rsid w:val="006C7E18"/>
    <w:rsid w:val="006D01E8"/>
    <w:rsid w:val="006D16EF"/>
    <w:rsid w:val="006D1C9D"/>
    <w:rsid w:val="006D1E89"/>
    <w:rsid w:val="006D1EE0"/>
    <w:rsid w:val="006D33F3"/>
    <w:rsid w:val="006D3B59"/>
    <w:rsid w:val="006D4BA5"/>
    <w:rsid w:val="006D4CB0"/>
    <w:rsid w:val="006D5EBF"/>
    <w:rsid w:val="006D6437"/>
    <w:rsid w:val="006D68CD"/>
    <w:rsid w:val="006D6C2E"/>
    <w:rsid w:val="006D6F99"/>
    <w:rsid w:val="006D7137"/>
    <w:rsid w:val="006D72FF"/>
    <w:rsid w:val="006D7430"/>
    <w:rsid w:val="006D76E6"/>
    <w:rsid w:val="006D78E4"/>
    <w:rsid w:val="006E062A"/>
    <w:rsid w:val="006E0903"/>
    <w:rsid w:val="006E0EA5"/>
    <w:rsid w:val="006E1209"/>
    <w:rsid w:val="006E18FF"/>
    <w:rsid w:val="006E1A6D"/>
    <w:rsid w:val="006E2280"/>
    <w:rsid w:val="006E2A1E"/>
    <w:rsid w:val="006E2F8E"/>
    <w:rsid w:val="006E32D6"/>
    <w:rsid w:val="006E3C88"/>
    <w:rsid w:val="006E3E53"/>
    <w:rsid w:val="006E40C1"/>
    <w:rsid w:val="006E4A3B"/>
    <w:rsid w:val="006E50A6"/>
    <w:rsid w:val="006E5D6D"/>
    <w:rsid w:val="006E733E"/>
    <w:rsid w:val="006E77FF"/>
    <w:rsid w:val="006F02E4"/>
    <w:rsid w:val="006F02F5"/>
    <w:rsid w:val="006F0906"/>
    <w:rsid w:val="006F1545"/>
    <w:rsid w:val="006F17FD"/>
    <w:rsid w:val="006F1CE2"/>
    <w:rsid w:val="006F1DF6"/>
    <w:rsid w:val="006F431A"/>
    <w:rsid w:val="006F4A0C"/>
    <w:rsid w:val="006F4B17"/>
    <w:rsid w:val="006F633A"/>
    <w:rsid w:val="006F6A71"/>
    <w:rsid w:val="006F6BC7"/>
    <w:rsid w:val="006F70AD"/>
    <w:rsid w:val="006F7B69"/>
    <w:rsid w:val="006F7C23"/>
    <w:rsid w:val="006F7E94"/>
    <w:rsid w:val="00700377"/>
    <w:rsid w:val="007019E6"/>
    <w:rsid w:val="00701DD7"/>
    <w:rsid w:val="00702B93"/>
    <w:rsid w:val="00703463"/>
    <w:rsid w:val="007037E9"/>
    <w:rsid w:val="007045C8"/>
    <w:rsid w:val="00704F43"/>
    <w:rsid w:val="007050D5"/>
    <w:rsid w:val="0070527A"/>
    <w:rsid w:val="00705EF1"/>
    <w:rsid w:val="0070655E"/>
    <w:rsid w:val="00706DB3"/>
    <w:rsid w:val="00710393"/>
    <w:rsid w:val="00710746"/>
    <w:rsid w:val="00710FC4"/>
    <w:rsid w:val="00711171"/>
    <w:rsid w:val="007117F5"/>
    <w:rsid w:val="00711CE0"/>
    <w:rsid w:val="0071262C"/>
    <w:rsid w:val="00712D58"/>
    <w:rsid w:val="0071389C"/>
    <w:rsid w:val="0071575E"/>
    <w:rsid w:val="00715D3D"/>
    <w:rsid w:val="007168C0"/>
    <w:rsid w:val="00716C6C"/>
    <w:rsid w:val="007172C6"/>
    <w:rsid w:val="007173EC"/>
    <w:rsid w:val="0071795A"/>
    <w:rsid w:val="0072010E"/>
    <w:rsid w:val="0072065E"/>
    <w:rsid w:val="0072087E"/>
    <w:rsid w:val="00720D5A"/>
    <w:rsid w:val="0072296C"/>
    <w:rsid w:val="00722CFD"/>
    <w:rsid w:val="0072357A"/>
    <w:rsid w:val="007235FE"/>
    <w:rsid w:val="007240F9"/>
    <w:rsid w:val="00724F29"/>
    <w:rsid w:val="00724F2C"/>
    <w:rsid w:val="0072527A"/>
    <w:rsid w:val="00726074"/>
    <w:rsid w:val="00727104"/>
    <w:rsid w:val="00727A26"/>
    <w:rsid w:val="00727CA3"/>
    <w:rsid w:val="007304EC"/>
    <w:rsid w:val="00731686"/>
    <w:rsid w:val="007320FC"/>
    <w:rsid w:val="00732821"/>
    <w:rsid w:val="00732A5B"/>
    <w:rsid w:val="00733962"/>
    <w:rsid w:val="00733A01"/>
    <w:rsid w:val="00733FD0"/>
    <w:rsid w:val="007343F3"/>
    <w:rsid w:val="0073479C"/>
    <w:rsid w:val="007349AC"/>
    <w:rsid w:val="00735415"/>
    <w:rsid w:val="00735667"/>
    <w:rsid w:val="007359F6"/>
    <w:rsid w:val="00735ACE"/>
    <w:rsid w:val="007362F8"/>
    <w:rsid w:val="00736A10"/>
    <w:rsid w:val="00737328"/>
    <w:rsid w:val="00737525"/>
    <w:rsid w:val="0073756C"/>
    <w:rsid w:val="00737813"/>
    <w:rsid w:val="00737F3B"/>
    <w:rsid w:val="007406DE"/>
    <w:rsid w:val="00741E7B"/>
    <w:rsid w:val="0074233A"/>
    <w:rsid w:val="007428A4"/>
    <w:rsid w:val="00743132"/>
    <w:rsid w:val="00744FBB"/>
    <w:rsid w:val="007450B9"/>
    <w:rsid w:val="007461FF"/>
    <w:rsid w:val="0074638D"/>
    <w:rsid w:val="007467E7"/>
    <w:rsid w:val="00746AAD"/>
    <w:rsid w:val="00750C90"/>
    <w:rsid w:val="00750D13"/>
    <w:rsid w:val="00751573"/>
    <w:rsid w:val="0075222D"/>
    <w:rsid w:val="0075321B"/>
    <w:rsid w:val="00753570"/>
    <w:rsid w:val="007535EC"/>
    <w:rsid w:val="00754077"/>
    <w:rsid w:val="00754406"/>
    <w:rsid w:val="00754742"/>
    <w:rsid w:val="00754A1C"/>
    <w:rsid w:val="0075530C"/>
    <w:rsid w:val="00755EFB"/>
    <w:rsid w:val="00755F05"/>
    <w:rsid w:val="00756BB6"/>
    <w:rsid w:val="00756CF4"/>
    <w:rsid w:val="00756F62"/>
    <w:rsid w:val="00757CBC"/>
    <w:rsid w:val="00757F6F"/>
    <w:rsid w:val="007601F1"/>
    <w:rsid w:val="007604B3"/>
    <w:rsid w:val="00760773"/>
    <w:rsid w:val="0076077D"/>
    <w:rsid w:val="00760FBB"/>
    <w:rsid w:val="00761193"/>
    <w:rsid w:val="00761240"/>
    <w:rsid w:val="00761975"/>
    <w:rsid w:val="00761CFC"/>
    <w:rsid w:val="00762ECA"/>
    <w:rsid w:val="0076309E"/>
    <w:rsid w:val="007633CA"/>
    <w:rsid w:val="007635FD"/>
    <w:rsid w:val="00763B9C"/>
    <w:rsid w:val="00764100"/>
    <w:rsid w:val="007646A3"/>
    <w:rsid w:val="0076490A"/>
    <w:rsid w:val="00764EFB"/>
    <w:rsid w:val="007662E2"/>
    <w:rsid w:val="0076645F"/>
    <w:rsid w:val="00766509"/>
    <w:rsid w:val="00766D43"/>
    <w:rsid w:val="00766EBE"/>
    <w:rsid w:val="00767DDD"/>
    <w:rsid w:val="007700E5"/>
    <w:rsid w:val="00770405"/>
    <w:rsid w:val="00771CB7"/>
    <w:rsid w:val="00772442"/>
    <w:rsid w:val="00773125"/>
    <w:rsid w:val="0077403D"/>
    <w:rsid w:val="00774319"/>
    <w:rsid w:val="00774638"/>
    <w:rsid w:val="00774BA7"/>
    <w:rsid w:val="00775C8B"/>
    <w:rsid w:val="007762AE"/>
    <w:rsid w:val="00776623"/>
    <w:rsid w:val="00776C9E"/>
    <w:rsid w:val="007774F2"/>
    <w:rsid w:val="00777799"/>
    <w:rsid w:val="007806A1"/>
    <w:rsid w:val="00780C37"/>
    <w:rsid w:val="00781231"/>
    <w:rsid w:val="00781708"/>
    <w:rsid w:val="007819BF"/>
    <w:rsid w:val="00781B99"/>
    <w:rsid w:val="00781D13"/>
    <w:rsid w:val="00782C29"/>
    <w:rsid w:val="0078316E"/>
    <w:rsid w:val="007842FE"/>
    <w:rsid w:val="0078456C"/>
    <w:rsid w:val="00784CBA"/>
    <w:rsid w:val="0078502B"/>
    <w:rsid w:val="007850AB"/>
    <w:rsid w:val="0078533A"/>
    <w:rsid w:val="0078548C"/>
    <w:rsid w:val="007854B7"/>
    <w:rsid w:val="007856EB"/>
    <w:rsid w:val="0078613F"/>
    <w:rsid w:val="007865C1"/>
    <w:rsid w:val="00787102"/>
    <w:rsid w:val="007879A6"/>
    <w:rsid w:val="00787BB5"/>
    <w:rsid w:val="007909D1"/>
    <w:rsid w:val="0079192B"/>
    <w:rsid w:val="00791BB8"/>
    <w:rsid w:val="00791F79"/>
    <w:rsid w:val="00792564"/>
    <w:rsid w:val="00792EE0"/>
    <w:rsid w:val="0079322F"/>
    <w:rsid w:val="0079332D"/>
    <w:rsid w:val="007939DB"/>
    <w:rsid w:val="00793D6C"/>
    <w:rsid w:val="00795BD8"/>
    <w:rsid w:val="00796748"/>
    <w:rsid w:val="007967CD"/>
    <w:rsid w:val="007A0D0B"/>
    <w:rsid w:val="007A1F3F"/>
    <w:rsid w:val="007A227C"/>
    <w:rsid w:val="007A2627"/>
    <w:rsid w:val="007A2B98"/>
    <w:rsid w:val="007A328C"/>
    <w:rsid w:val="007A44C2"/>
    <w:rsid w:val="007A4763"/>
    <w:rsid w:val="007A5AE8"/>
    <w:rsid w:val="007A5B22"/>
    <w:rsid w:val="007A6001"/>
    <w:rsid w:val="007A710F"/>
    <w:rsid w:val="007A72D4"/>
    <w:rsid w:val="007A75BA"/>
    <w:rsid w:val="007B0641"/>
    <w:rsid w:val="007B12BC"/>
    <w:rsid w:val="007B14AE"/>
    <w:rsid w:val="007B1BA8"/>
    <w:rsid w:val="007B1EDB"/>
    <w:rsid w:val="007B2FC0"/>
    <w:rsid w:val="007B3416"/>
    <w:rsid w:val="007B3655"/>
    <w:rsid w:val="007B3CCB"/>
    <w:rsid w:val="007B484B"/>
    <w:rsid w:val="007B4FBA"/>
    <w:rsid w:val="007B6744"/>
    <w:rsid w:val="007B6E6D"/>
    <w:rsid w:val="007B6E91"/>
    <w:rsid w:val="007B6FBE"/>
    <w:rsid w:val="007B766F"/>
    <w:rsid w:val="007B7E1E"/>
    <w:rsid w:val="007C0387"/>
    <w:rsid w:val="007C05D5"/>
    <w:rsid w:val="007C06FD"/>
    <w:rsid w:val="007C0807"/>
    <w:rsid w:val="007C0C06"/>
    <w:rsid w:val="007C0E5B"/>
    <w:rsid w:val="007C1EDC"/>
    <w:rsid w:val="007C2EF0"/>
    <w:rsid w:val="007C3A8A"/>
    <w:rsid w:val="007C4602"/>
    <w:rsid w:val="007C46FA"/>
    <w:rsid w:val="007C4B38"/>
    <w:rsid w:val="007C5947"/>
    <w:rsid w:val="007C5DF8"/>
    <w:rsid w:val="007C78A2"/>
    <w:rsid w:val="007D031E"/>
    <w:rsid w:val="007D0777"/>
    <w:rsid w:val="007D174B"/>
    <w:rsid w:val="007D2267"/>
    <w:rsid w:val="007D34E2"/>
    <w:rsid w:val="007D3781"/>
    <w:rsid w:val="007D3C22"/>
    <w:rsid w:val="007D4361"/>
    <w:rsid w:val="007D588F"/>
    <w:rsid w:val="007D599F"/>
    <w:rsid w:val="007D5B79"/>
    <w:rsid w:val="007D6154"/>
    <w:rsid w:val="007D6663"/>
    <w:rsid w:val="007D6759"/>
    <w:rsid w:val="007D6A7C"/>
    <w:rsid w:val="007D714E"/>
    <w:rsid w:val="007D72FF"/>
    <w:rsid w:val="007D7869"/>
    <w:rsid w:val="007E0C4C"/>
    <w:rsid w:val="007E101E"/>
    <w:rsid w:val="007E2655"/>
    <w:rsid w:val="007E2A4B"/>
    <w:rsid w:val="007E2A8D"/>
    <w:rsid w:val="007E2AC4"/>
    <w:rsid w:val="007E2B98"/>
    <w:rsid w:val="007E2F9B"/>
    <w:rsid w:val="007E3328"/>
    <w:rsid w:val="007E4B87"/>
    <w:rsid w:val="007E526F"/>
    <w:rsid w:val="007E5536"/>
    <w:rsid w:val="007E57BB"/>
    <w:rsid w:val="007E6438"/>
    <w:rsid w:val="007E75DF"/>
    <w:rsid w:val="007E77B9"/>
    <w:rsid w:val="007E7986"/>
    <w:rsid w:val="007E7BC1"/>
    <w:rsid w:val="007E7BFA"/>
    <w:rsid w:val="007E7C7F"/>
    <w:rsid w:val="007F018D"/>
    <w:rsid w:val="007F1B6B"/>
    <w:rsid w:val="007F23DE"/>
    <w:rsid w:val="007F2417"/>
    <w:rsid w:val="007F252A"/>
    <w:rsid w:val="007F3420"/>
    <w:rsid w:val="007F3D8C"/>
    <w:rsid w:val="007F4B92"/>
    <w:rsid w:val="007F566A"/>
    <w:rsid w:val="007F64D6"/>
    <w:rsid w:val="007F66C6"/>
    <w:rsid w:val="007F6B2B"/>
    <w:rsid w:val="007F6FF1"/>
    <w:rsid w:val="007F70FF"/>
    <w:rsid w:val="007F7FAF"/>
    <w:rsid w:val="00800705"/>
    <w:rsid w:val="008009E0"/>
    <w:rsid w:val="008025AA"/>
    <w:rsid w:val="00803A87"/>
    <w:rsid w:val="0080418F"/>
    <w:rsid w:val="008049F7"/>
    <w:rsid w:val="00804F0F"/>
    <w:rsid w:val="00805ADC"/>
    <w:rsid w:val="00805EF2"/>
    <w:rsid w:val="0080628A"/>
    <w:rsid w:val="0080635C"/>
    <w:rsid w:val="0080654F"/>
    <w:rsid w:val="00806B3D"/>
    <w:rsid w:val="00807C56"/>
    <w:rsid w:val="00807F84"/>
    <w:rsid w:val="00810232"/>
    <w:rsid w:val="00810428"/>
    <w:rsid w:val="0081052D"/>
    <w:rsid w:val="008105EC"/>
    <w:rsid w:val="0081133E"/>
    <w:rsid w:val="00812C57"/>
    <w:rsid w:val="00812D3D"/>
    <w:rsid w:val="00813C85"/>
    <w:rsid w:val="0081434E"/>
    <w:rsid w:val="00814617"/>
    <w:rsid w:val="0081470A"/>
    <w:rsid w:val="0081488A"/>
    <w:rsid w:val="00814FDD"/>
    <w:rsid w:val="00815C1F"/>
    <w:rsid w:val="00816121"/>
    <w:rsid w:val="008175C8"/>
    <w:rsid w:val="00817ABD"/>
    <w:rsid w:val="00817B9F"/>
    <w:rsid w:val="00817D28"/>
    <w:rsid w:val="008204B3"/>
    <w:rsid w:val="008205AA"/>
    <w:rsid w:val="00820AB6"/>
    <w:rsid w:val="00820CC6"/>
    <w:rsid w:val="00820CDA"/>
    <w:rsid w:val="00820D06"/>
    <w:rsid w:val="008213FE"/>
    <w:rsid w:val="008215F2"/>
    <w:rsid w:val="00821611"/>
    <w:rsid w:val="00821771"/>
    <w:rsid w:val="00821CA5"/>
    <w:rsid w:val="00821CD0"/>
    <w:rsid w:val="0082260A"/>
    <w:rsid w:val="00822670"/>
    <w:rsid w:val="00822713"/>
    <w:rsid w:val="0082396B"/>
    <w:rsid w:val="00823DD1"/>
    <w:rsid w:val="00824AD5"/>
    <w:rsid w:val="008251FF"/>
    <w:rsid w:val="0082565D"/>
    <w:rsid w:val="00825706"/>
    <w:rsid w:val="00825BD4"/>
    <w:rsid w:val="00825CB5"/>
    <w:rsid w:val="00825E3B"/>
    <w:rsid w:val="00826516"/>
    <w:rsid w:val="00826726"/>
    <w:rsid w:val="00826F08"/>
    <w:rsid w:val="0082703E"/>
    <w:rsid w:val="0082741C"/>
    <w:rsid w:val="00827486"/>
    <w:rsid w:val="0082753B"/>
    <w:rsid w:val="00827FBF"/>
    <w:rsid w:val="00831276"/>
    <w:rsid w:val="008315C7"/>
    <w:rsid w:val="008322E9"/>
    <w:rsid w:val="008323F9"/>
    <w:rsid w:val="00832490"/>
    <w:rsid w:val="00832D83"/>
    <w:rsid w:val="008344B8"/>
    <w:rsid w:val="008350FB"/>
    <w:rsid w:val="0083555B"/>
    <w:rsid w:val="00835984"/>
    <w:rsid w:val="00835E0D"/>
    <w:rsid w:val="00835EAD"/>
    <w:rsid w:val="008360A3"/>
    <w:rsid w:val="00836410"/>
    <w:rsid w:val="008367A6"/>
    <w:rsid w:val="008372ED"/>
    <w:rsid w:val="00837EDC"/>
    <w:rsid w:val="00837F77"/>
    <w:rsid w:val="008400BF"/>
    <w:rsid w:val="008401A4"/>
    <w:rsid w:val="00840595"/>
    <w:rsid w:val="00840857"/>
    <w:rsid w:val="00841F84"/>
    <w:rsid w:val="008425CE"/>
    <w:rsid w:val="00842A20"/>
    <w:rsid w:val="00842EFF"/>
    <w:rsid w:val="00843015"/>
    <w:rsid w:val="008456F3"/>
    <w:rsid w:val="00845984"/>
    <w:rsid w:val="00845C4F"/>
    <w:rsid w:val="00845C55"/>
    <w:rsid w:val="008469D9"/>
    <w:rsid w:val="00847127"/>
    <w:rsid w:val="0084777A"/>
    <w:rsid w:val="00847A97"/>
    <w:rsid w:val="00847CF4"/>
    <w:rsid w:val="00847F93"/>
    <w:rsid w:val="008506D9"/>
    <w:rsid w:val="00850F6C"/>
    <w:rsid w:val="00851B92"/>
    <w:rsid w:val="00852C0B"/>
    <w:rsid w:val="008537D5"/>
    <w:rsid w:val="00853AB7"/>
    <w:rsid w:val="00853C0D"/>
    <w:rsid w:val="00853DD2"/>
    <w:rsid w:val="00853F8D"/>
    <w:rsid w:val="00854811"/>
    <w:rsid w:val="00855459"/>
    <w:rsid w:val="00855D5D"/>
    <w:rsid w:val="0085680E"/>
    <w:rsid w:val="008569F3"/>
    <w:rsid w:val="00856BE5"/>
    <w:rsid w:val="00856FD1"/>
    <w:rsid w:val="008573AB"/>
    <w:rsid w:val="00857531"/>
    <w:rsid w:val="0085765E"/>
    <w:rsid w:val="008614DB"/>
    <w:rsid w:val="00861729"/>
    <w:rsid w:val="008617A7"/>
    <w:rsid w:val="00861DFB"/>
    <w:rsid w:val="008621EB"/>
    <w:rsid w:val="00862E20"/>
    <w:rsid w:val="00863910"/>
    <w:rsid w:val="00863B62"/>
    <w:rsid w:val="0086450E"/>
    <w:rsid w:val="008647A2"/>
    <w:rsid w:val="008654A0"/>
    <w:rsid w:val="00865A9A"/>
    <w:rsid w:val="00865AB9"/>
    <w:rsid w:val="00865DBE"/>
    <w:rsid w:val="00865FA3"/>
    <w:rsid w:val="00866D50"/>
    <w:rsid w:val="00867D2C"/>
    <w:rsid w:val="00870C55"/>
    <w:rsid w:val="0087140F"/>
    <w:rsid w:val="008719F4"/>
    <w:rsid w:val="0087349D"/>
    <w:rsid w:val="00873AD6"/>
    <w:rsid w:val="00873B4A"/>
    <w:rsid w:val="00874C6E"/>
    <w:rsid w:val="0087530A"/>
    <w:rsid w:val="00875A5D"/>
    <w:rsid w:val="00875C2D"/>
    <w:rsid w:val="00875FA1"/>
    <w:rsid w:val="008760A5"/>
    <w:rsid w:val="008767A9"/>
    <w:rsid w:val="008823A7"/>
    <w:rsid w:val="00882800"/>
    <w:rsid w:val="0088379B"/>
    <w:rsid w:val="00884E74"/>
    <w:rsid w:val="008857C2"/>
    <w:rsid w:val="00885A5E"/>
    <w:rsid w:val="00886B84"/>
    <w:rsid w:val="00886FF7"/>
    <w:rsid w:val="0088704D"/>
    <w:rsid w:val="00887202"/>
    <w:rsid w:val="0088798F"/>
    <w:rsid w:val="00887C93"/>
    <w:rsid w:val="00887E0F"/>
    <w:rsid w:val="00891470"/>
    <w:rsid w:val="00891658"/>
    <w:rsid w:val="0089188D"/>
    <w:rsid w:val="00892055"/>
    <w:rsid w:val="00892586"/>
    <w:rsid w:val="00893EBB"/>
    <w:rsid w:val="008943EA"/>
    <w:rsid w:val="00894682"/>
    <w:rsid w:val="008946BD"/>
    <w:rsid w:val="00894DE9"/>
    <w:rsid w:val="008951DA"/>
    <w:rsid w:val="00895727"/>
    <w:rsid w:val="00895ED4"/>
    <w:rsid w:val="00896313"/>
    <w:rsid w:val="0089631D"/>
    <w:rsid w:val="0089681E"/>
    <w:rsid w:val="00896A94"/>
    <w:rsid w:val="00896CF9"/>
    <w:rsid w:val="0089744F"/>
    <w:rsid w:val="008A0DD6"/>
    <w:rsid w:val="008A1328"/>
    <w:rsid w:val="008A1B8A"/>
    <w:rsid w:val="008A217A"/>
    <w:rsid w:val="008A21CD"/>
    <w:rsid w:val="008A27AD"/>
    <w:rsid w:val="008A28E6"/>
    <w:rsid w:val="008A2A61"/>
    <w:rsid w:val="008A4DBD"/>
    <w:rsid w:val="008A608B"/>
    <w:rsid w:val="008A74C7"/>
    <w:rsid w:val="008B0FB7"/>
    <w:rsid w:val="008B2500"/>
    <w:rsid w:val="008B280E"/>
    <w:rsid w:val="008B2B7D"/>
    <w:rsid w:val="008B3466"/>
    <w:rsid w:val="008B4468"/>
    <w:rsid w:val="008B45BA"/>
    <w:rsid w:val="008B4643"/>
    <w:rsid w:val="008B4EA5"/>
    <w:rsid w:val="008B5483"/>
    <w:rsid w:val="008B57D3"/>
    <w:rsid w:val="008B595A"/>
    <w:rsid w:val="008B640B"/>
    <w:rsid w:val="008B694C"/>
    <w:rsid w:val="008B71DE"/>
    <w:rsid w:val="008B783D"/>
    <w:rsid w:val="008C031C"/>
    <w:rsid w:val="008C046E"/>
    <w:rsid w:val="008C0F24"/>
    <w:rsid w:val="008C1096"/>
    <w:rsid w:val="008C1345"/>
    <w:rsid w:val="008C153C"/>
    <w:rsid w:val="008C2396"/>
    <w:rsid w:val="008C2772"/>
    <w:rsid w:val="008C3532"/>
    <w:rsid w:val="008C40C8"/>
    <w:rsid w:val="008C4A43"/>
    <w:rsid w:val="008C4F28"/>
    <w:rsid w:val="008C516A"/>
    <w:rsid w:val="008C51F3"/>
    <w:rsid w:val="008C7D23"/>
    <w:rsid w:val="008D03A1"/>
    <w:rsid w:val="008D05F9"/>
    <w:rsid w:val="008D085C"/>
    <w:rsid w:val="008D0EF0"/>
    <w:rsid w:val="008D1E37"/>
    <w:rsid w:val="008D30D5"/>
    <w:rsid w:val="008D5698"/>
    <w:rsid w:val="008D641B"/>
    <w:rsid w:val="008D6457"/>
    <w:rsid w:val="008D64B6"/>
    <w:rsid w:val="008D75E9"/>
    <w:rsid w:val="008D773B"/>
    <w:rsid w:val="008D77D7"/>
    <w:rsid w:val="008D7941"/>
    <w:rsid w:val="008E083E"/>
    <w:rsid w:val="008E0FA0"/>
    <w:rsid w:val="008E17D3"/>
    <w:rsid w:val="008E2591"/>
    <w:rsid w:val="008E2B0A"/>
    <w:rsid w:val="008E41D5"/>
    <w:rsid w:val="008E50A9"/>
    <w:rsid w:val="008E5E4D"/>
    <w:rsid w:val="008E6539"/>
    <w:rsid w:val="008E6665"/>
    <w:rsid w:val="008E73FE"/>
    <w:rsid w:val="008E7851"/>
    <w:rsid w:val="008E78C3"/>
    <w:rsid w:val="008E7AE2"/>
    <w:rsid w:val="008E7CB5"/>
    <w:rsid w:val="008E7D6A"/>
    <w:rsid w:val="008F0549"/>
    <w:rsid w:val="008F05FB"/>
    <w:rsid w:val="008F0961"/>
    <w:rsid w:val="008F0A2B"/>
    <w:rsid w:val="008F1313"/>
    <w:rsid w:val="008F22F8"/>
    <w:rsid w:val="008F29B3"/>
    <w:rsid w:val="008F2BEF"/>
    <w:rsid w:val="008F2D63"/>
    <w:rsid w:val="008F4178"/>
    <w:rsid w:val="008F4555"/>
    <w:rsid w:val="008F5061"/>
    <w:rsid w:val="008F577E"/>
    <w:rsid w:val="008F5E0A"/>
    <w:rsid w:val="008F5F07"/>
    <w:rsid w:val="008F6EAE"/>
    <w:rsid w:val="008F70C3"/>
    <w:rsid w:val="008F7CD5"/>
    <w:rsid w:val="008F7CF5"/>
    <w:rsid w:val="008F7E1F"/>
    <w:rsid w:val="00900406"/>
    <w:rsid w:val="00901C6F"/>
    <w:rsid w:val="009022BA"/>
    <w:rsid w:val="00902C3F"/>
    <w:rsid w:val="00903003"/>
    <w:rsid w:val="0090322E"/>
    <w:rsid w:val="0090386F"/>
    <w:rsid w:val="00903B90"/>
    <w:rsid w:val="00904757"/>
    <w:rsid w:val="00904CF9"/>
    <w:rsid w:val="00904DFF"/>
    <w:rsid w:val="00905553"/>
    <w:rsid w:val="00905F3E"/>
    <w:rsid w:val="00906072"/>
    <w:rsid w:val="009068AE"/>
    <w:rsid w:val="00907230"/>
    <w:rsid w:val="00910401"/>
    <w:rsid w:val="009104EF"/>
    <w:rsid w:val="00911548"/>
    <w:rsid w:val="00912253"/>
    <w:rsid w:val="00912284"/>
    <w:rsid w:val="009124A7"/>
    <w:rsid w:val="00912557"/>
    <w:rsid w:val="009131F1"/>
    <w:rsid w:val="0091371A"/>
    <w:rsid w:val="00913752"/>
    <w:rsid w:val="0091382F"/>
    <w:rsid w:val="00914386"/>
    <w:rsid w:val="00914A56"/>
    <w:rsid w:val="009164F0"/>
    <w:rsid w:val="0091696C"/>
    <w:rsid w:val="00917627"/>
    <w:rsid w:val="00917A45"/>
    <w:rsid w:val="00917BD1"/>
    <w:rsid w:val="00921767"/>
    <w:rsid w:val="00921AF5"/>
    <w:rsid w:val="00921B4E"/>
    <w:rsid w:val="00921F56"/>
    <w:rsid w:val="009220BB"/>
    <w:rsid w:val="00923213"/>
    <w:rsid w:val="009237F6"/>
    <w:rsid w:val="00924443"/>
    <w:rsid w:val="00925EDA"/>
    <w:rsid w:val="00926B46"/>
    <w:rsid w:val="009300E2"/>
    <w:rsid w:val="0093094A"/>
    <w:rsid w:val="00931A56"/>
    <w:rsid w:val="00932145"/>
    <w:rsid w:val="0093242E"/>
    <w:rsid w:val="00932441"/>
    <w:rsid w:val="00932EFC"/>
    <w:rsid w:val="00932F2C"/>
    <w:rsid w:val="00934A4C"/>
    <w:rsid w:val="00934D4D"/>
    <w:rsid w:val="00935C99"/>
    <w:rsid w:val="0093687B"/>
    <w:rsid w:val="00936DFA"/>
    <w:rsid w:val="009371D2"/>
    <w:rsid w:val="009376E5"/>
    <w:rsid w:val="0093773C"/>
    <w:rsid w:val="009377AA"/>
    <w:rsid w:val="00937AE7"/>
    <w:rsid w:val="00940ACD"/>
    <w:rsid w:val="0094142C"/>
    <w:rsid w:val="00941DF3"/>
    <w:rsid w:val="00941F27"/>
    <w:rsid w:val="00942C49"/>
    <w:rsid w:val="00942FEF"/>
    <w:rsid w:val="009431E9"/>
    <w:rsid w:val="00943343"/>
    <w:rsid w:val="00943E08"/>
    <w:rsid w:val="00944712"/>
    <w:rsid w:val="00944AC7"/>
    <w:rsid w:val="00945152"/>
    <w:rsid w:val="00945583"/>
    <w:rsid w:val="00945B2C"/>
    <w:rsid w:val="00945D82"/>
    <w:rsid w:val="00945FDA"/>
    <w:rsid w:val="009465C7"/>
    <w:rsid w:val="0094681F"/>
    <w:rsid w:val="00946899"/>
    <w:rsid w:val="00946A1A"/>
    <w:rsid w:val="00947B0B"/>
    <w:rsid w:val="00947CBF"/>
    <w:rsid w:val="00947EBA"/>
    <w:rsid w:val="00950EDA"/>
    <w:rsid w:val="009510D5"/>
    <w:rsid w:val="00951358"/>
    <w:rsid w:val="00951387"/>
    <w:rsid w:val="00951F8F"/>
    <w:rsid w:val="00952364"/>
    <w:rsid w:val="00952438"/>
    <w:rsid w:val="00952446"/>
    <w:rsid w:val="009533E4"/>
    <w:rsid w:val="00953877"/>
    <w:rsid w:val="00953EFA"/>
    <w:rsid w:val="00954203"/>
    <w:rsid w:val="009543EC"/>
    <w:rsid w:val="00954B0F"/>
    <w:rsid w:val="00954CC5"/>
    <w:rsid w:val="0095593D"/>
    <w:rsid w:val="0095632A"/>
    <w:rsid w:val="00956A9D"/>
    <w:rsid w:val="00957C9B"/>
    <w:rsid w:val="00961542"/>
    <w:rsid w:val="0096199D"/>
    <w:rsid w:val="00961FD1"/>
    <w:rsid w:val="00963194"/>
    <w:rsid w:val="009632D0"/>
    <w:rsid w:val="00963AFA"/>
    <w:rsid w:val="00963C92"/>
    <w:rsid w:val="00963FC7"/>
    <w:rsid w:val="00964262"/>
    <w:rsid w:val="00964496"/>
    <w:rsid w:val="00964503"/>
    <w:rsid w:val="00964847"/>
    <w:rsid w:val="00964CCF"/>
    <w:rsid w:val="00964D46"/>
    <w:rsid w:val="009660B2"/>
    <w:rsid w:val="00966F7F"/>
    <w:rsid w:val="0096766E"/>
    <w:rsid w:val="009701ED"/>
    <w:rsid w:val="00970C75"/>
    <w:rsid w:val="00972237"/>
    <w:rsid w:val="00972B10"/>
    <w:rsid w:val="00973674"/>
    <w:rsid w:val="00975651"/>
    <w:rsid w:val="00975868"/>
    <w:rsid w:val="00975ECD"/>
    <w:rsid w:val="009773F8"/>
    <w:rsid w:val="00980974"/>
    <w:rsid w:val="00981030"/>
    <w:rsid w:val="00981258"/>
    <w:rsid w:val="0098176F"/>
    <w:rsid w:val="00981ED9"/>
    <w:rsid w:val="0098207D"/>
    <w:rsid w:val="00982103"/>
    <w:rsid w:val="009831B9"/>
    <w:rsid w:val="00983359"/>
    <w:rsid w:val="00983818"/>
    <w:rsid w:val="009840DC"/>
    <w:rsid w:val="00984272"/>
    <w:rsid w:val="009843FB"/>
    <w:rsid w:val="00984404"/>
    <w:rsid w:val="00984A77"/>
    <w:rsid w:val="00985182"/>
    <w:rsid w:val="0098527B"/>
    <w:rsid w:val="00985633"/>
    <w:rsid w:val="00985E35"/>
    <w:rsid w:val="00985EB3"/>
    <w:rsid w:val="009861E9"/>
    <w:rsid w:val="00986426"/>
    <w:rsid w:val="009872B6"/>
    <w:rsid w:val="00990550"/>
    <w:rsid w:val="009907C2"/>
    <w:rsid w:val="00990827"/>
    <w:rsid w:val="00991566"/>
    <w:rsid w:val="00991A45"/>
    <w:rsid w:val="009923F5"/>
    <w:rsid w:val="00992DC2"/>
    <w:rsid w:val="009936A2"/>
    <w:rsid w:val="00993704"/>
    <w:rsid w:val="00994D42"/>
    <w:rsid w:val="009951A8"/>
    <w:rsid w:val="009956F2"/>
    <w:rsid w:val="00995A22"/>
    <w:rsid w:val="00996689"/>
    <w:rsid w:val="00996AF9"/>
    <w:rsid w:val="00996C2E"/>
    <w:rsid w:val="00996D04"/>
    <w:rsid w:val="009A155E"/>
    <w:rsid w:val="009A1CF4"/>
    <w:rsid w:val="009A26E5"/>
    <w:rsid w:val="009A31A3"/>
    <w:rsid w:val="009A3843"/>
    <w:rsid w:val="009A39B9"/>
    <w:rsid w:val="009A39EA"/>
    <w:rsid w:val="009A3C4C"/>
    <w:rsid w:val="009A50AC"/>
    <w:rsid w:val="009A6AC9"/>
    <w:rsid w:val="009A6AF1"/>
    <w:rsid w:val="009A6B29"/>
    <w:rsid w:val="009A7790"/>
    <w:rsid w:val="009A7985"/>
    <w:rsid w:val="009B0675"/>
    <w:rsid w:val="009B1074"/>
    <w:rsid w:val="009B1125"/>
    <w:rsid w:val="009B1514"/>
    <w:rsid w:val="009B183C"/>
    <w:rsid w:val="009B322D"/>
    <w:rsid w:val="009B36D9"/>
    <w:rsid w:val="009B3C45"/>
    <w:rsid w:val="009B3C5B"/>
    <w:rsid w:val="009B3EA9"/>
    <w:rsid w:val="009B4CF7"/>
    <w:rsid w:val="009B4F5A"/>
    <w:rsid w:val="009B56E2"/>
    <w:rsid w:val="009B58CC"/>
    <w:rsid w:val="009B67DC"/>
    <w:rsid w:val="009B685C"/>
    <w:rsid w:val="009B77DA"/>
    <w:rsid w:val="009C04AD"/>
    <w:rsid w:val="009C1A19"/>
    <w:rsid w:val="009C23A4"/>
    <w:rsid w:val="009C2B51"/>
    <w:rsid w:val="009C3458"/>
    <w:rsid w:val="009C49AB"/>
    <w:rsid w:val="009C5BEB"/>
    <w:rsid w:val="009C5F58"/>
    <w:rsid w:val="009C61F4"/>
    <w:rsid w:val="009C74F6"/>
    <w:rsid w:val="009C7629"/>
    <w:rsid w:val="009C7E5B"/>
    <w:rsid w:val="009D0102"/>
    <w:rsid w:val="009D1E67"/>
    <w:rsid w:val="009D2C32"/>
    <w:rsid w:val="009D3560"/>
    <w:rsid w:val="009D42B2"/>
    <w:rsid w:val="009D52E7"/>
    <w:rsid w:val="009D56D3"/>
    <w:rsid w:val="009D5B5B"/>
    <w:rsid w:val="009D69AD"/>
    <w:rsid w:val="009D6F27"/>
    <w:rsid w:val="009D76A0"/>
    <w:rsid w:val="009D7EC5"/>
    <w:rsid w:val="009E0091"/>
    <w:rsid w:val="009E0206"/>
    <w:rsid w:val="009E0331"/>
    <w:rsid w:val="009E047A"/>
    <w:rsid w:val="009E06D0"/>
    <w:rsid w:val="009E17EA"/>
    <w:rsid w:val="009E1F0B"/>
    <w:rsid w:val="009E2125"/>
    <w:rsid w:val="009E4579"/>
    <w:rsid w:val="009E49FD"/>
    <w:rsid w:val="009E76ED"/>
    <w:rsid w:val="009F0218"/>
    <w:rsid w:val="009F0C0B"/>
    <w:rsid w:val="009F119D"/>
    <w:rsid w:val="009F1849"/>
    <w:rsid w:val="009F1A22"/>
    <w:rsid w:val="009F3CCF"/>
    <w:rsid w:val="009F3ED8"/>
    <w:rsid w:val="009F42F4"/>
    <w:rsid w:val="009F43E8"/>
    <w:rsid w:val="009F47E1"/>
    <w:rsid w:val="009F5B74"/>
    <w:rsid w:val="009F63E4"/>
    <w:rsid w:val="009F65CB"/>
    <w:rsid w:val="009F6AC6"/>
    <w:rsid w:val="009F7121"/>
    <w:rsid w:val="009F78CF"/>
    <w:rsid w:val="009F7D16"/>
    <w:rsid w:val="009F7E5A"/>
    <w:rsid w:val="00A0122C"/>
    <w:rsid w:val="00A01B21"/>
    <w:rsid w:val="00A01DF7"/>
    <w:rsid w:val="00A024B3"/>
    <w:rsid w:val="00A0263A"/>
    <w:rsid w:val="00A02730"/>
    <w:rsid w:val="00A02D9F"/>
    <w:rsid w:val="00A038B1"/>
    <w:rsid w:val="00A041AD"/>
    <w:rsid w:val="00A0527D"/>
    <w:rsid w:val="00A05FFB"/>
    <w:rsid w:val="00A0681C"/>
    <w:rsid w:val="00A06ECD"/>
    <w:rsid w:val="00A0746C"/>
    <w:rsid w:val="00A07911"/>
    <w:rsid w:val="00A07A5F"/>
    <w:rsid w:val="00A07BAE"/>
    <w:rsid w:val="00A07F0E"/>
    <w:rsid w:val="00A07FA0"/>
    <w:rsid w:val="00A10891"/>
    <w:rsid w:val="00A108B4"/>
    <w:rsid w:val="00A110FC"/>
    <w:rsid w:val="00A1162F"/>
    <w:rsid w:val="00A11B33"/>
    <w:rsid w:val="00A11D4F"/>
    <w:rsid w:val="00A11EE2"/>
    <w:rsid w:val="00A12082"/>
    <w:rsid w:val="00A12297"/>
    <w:rsid w:val="00A12330"/>
    <w:rsid w:val="00A141A6"/>
    <w:rsid w:val="00A15888"/>
    <w:rsid w:val="00A159C9"/>
    <w:rsid w:val="00A1695C"/>
    <w:rsid w:val="00A16A0E"/>
    <w:rsid w:val="00A1704C"/>
    <w:rsid w:val="00A17BCF"/>
    <w:rsid w:val="00A17DF6"/>
    <w:rsid w:val="00A17FE8"/>
    <w:rsid w:val="00A209C1"/>
    <w:rsid w:val="00A20B70"/>
    <w:rsid w:val="00A20ECE"/>
    <w:rsid w:val="00A211FB"/>
    <w:rsid w:val="00A2189C"/>
    <w:rsid w:val="00A218A4"/>
    <w:rsid w:val="00A226D5"/>
    <w:rsid w:val="00A2284E"/>
    <w:rsid w:val="00A22929"/>
    <w:rsid w:val="00A22C60"/>
    <w:rsid w:val="00A22E84"/>
    <w:rsid w:val="00A22F4B"/>
    <w:rsid w:val="00A23213"/>
    <w:rsid w:val="00A2361D"/>
    <w:rsid w:val="00A2615A"/>
    <w:rsid w:val="00A26F32"/>
    <w:rsid w:val="00A27A8C"/>
    <w:rsid w:val="00A303BB"/>
    <w:rsid w:val="00A3075D"/>
    <w:rsid w:val="00A309B6"/>
    <w:rsid w:val="00A30D8F"/>
    <w:rsid w:val="00A311A6"/>
    <w:rsid w:val="00A3157A"/>
    <w:rsid w:val="00A31648"/>
    <w:rsid w:val="00A31C84"/>
    <w:rsid w:val="00A3212C"/>
    <w:rsid w:val="00A331A6"/>
    <w:rsid w:val="00A33A5E"/>
    <w:rsid w:val="00A343C3"/>
    <w:rsid w:val="00A34AA1"/>
    <w:rsid w:val="00A34F65"/>
    <w:rsid w:val="00A366CE"/>
    <w:rsid w:val="00A37EF0"/>
    <w:rsid w:val="00A4048F"/>
    <w:rsid w:val="00A405DB"/>
    <w:rsid w:val="00A4089A"/>
    <w:rsid w:val="00A41A00"/>
    <w:rsid w:val="00A4213F"/>
    <w:rsid w:val="00A42342"/>
    <w:rsid w:val="00A42579"/>
    <w:rsid w:val="00A44D40"/>
    <w:rsid w:val="00A4538E"/>
    <w:rsid w:val="00A45631"/>
    <w:rsid w:val="00A4571E"/>
    <w:rsid w:val="00A468E9"/>
    <w:rsid w:val="00A471C9"/>
    <w:rsid w:val="00A47FF5"/>
    <w:rsid w:val="00A502D1"/>
    <w:rsid w:val="00A50527"/>
    <w:rsid w:val="00A51071"/>
    <w:rsid w:val="00A51490"/>
    <w:rsid w:val="00A517EE"/>
    <w:rsid w:val="00A523AD"/>
    <w:rsid w:val="00A54C06"/>
    <w:rsid w:val="00A54D2E"/>
    <w:rsid w:val="00A55116"/>
    <w:rsid w:val="00A55533"/>
    <w:rsid w:val="00A55AA5"/>
    <w:rsid w:val="00A55D47"/>
    <w:rsid w:val="00A56F47"/>
    <w:rsid w:val="00A60494"/>
    <w:rsid w:val="00A60DB8"/>
    <w:rsid w:val="00A61ABB"/>
    <w:rsid w:val="00A62F73"/>
    <w:rsid w:val="00A6326E"/>
    <w:rsid w:val="00A63F31"/>
    <w:rsid w:val="00A64B83"/>
    <w:rsid w:val="00A65FAB"/>
    <w:rsid w:val="00A6626C"/>
    <w:rsid w:val="00A664CC"/>
    <w:rsid w:val="00A66B71"/>
    <w:rsid w:val="00A66F15"/>
    <w:rsid w:val="00A67060"/>
    <w:rsid w:val="00A673A2"/>
    <w:rsid w:val="00A676C8"/>
    <w:rsid w:val="00A703D4"/>
    <w:rsid w:val="00A7056F"/>
    <w:rsid w:val="00A73B2D"/>
    <w:rsid w:val="00A73F0C"/>
    <w:rsid w:val="00A74251"/>
    <w:rsid w:val="00A745E6"/>
    <w:rsid w:val="00A76448"/>
    <w:rsid w:val="00A769F3"/>
    <w:rsid w:val="00A76D9E"/>
    <w:rsid w:val="00A770F7"/>
    <w:rsid w:val="00A773E1"/>
    <w:rsid w:val="00A777ED"/>
    <w:rsid w:val="00A8191B"/>
    <w:rsid w:val="00A81A43"/>
    <w:rsid w:val="00A81DF9"/>
    <w:rsid w:val="00A82017"/>
    <w:rsid w:val="00A82181"/>
    <w:rsid w:val="00A82422"/>
    <w:rsid w:val="00A82821"/>
    <w:rsid w:val="00A8290B"/>
    <w:rsid w:val="00A82B92"/>
    <w:rsid w:val="00A83EC1"/>
    <w:rsid w:val="00A845D1"/>
    <w:rsid w:val="00A84656"/>
    <w:rsid w:val="00A85709"/>
    <w:rsid w:val="00A862B8"/>
    <w:rsid w:val="00A86547"/>
    <w:rsid w:val="00A86EC0"/>
    <w:rsid w:val="00A87767"/>
    <w:rsid w:val="00A91971"/>
    <w:rsid w:val="00A93274"/>
    <w:rsid w:val="00A93743"/>
    <w:rsid w:val="00A93ED5"/>
    <w:rsid w:val="00A94C81"/>
    <w:rsid w:val="00A95018"/>
    <w:rsid w:val="00A9558D"/>
    <w:rsid w:val="00A9567D"/>
    <w:rsid w:val="00A95E29"/>
    <w:rsid w:val="00A9630D"/>
    <w:rsid w:val="00A96439"/>
    <w:rsid w:val="00A96C06"/>
    <w:rsid w:val="00A973BB"/>
    <w:rsid w:val="00AA08A7"/>
    <w:rsid w:val="00AA1760"/>
    <w:rsid w:val="00AA1B56"/>
    <w:rsid w:val="00AA2C46"/>
    <w:rsid w:val="00AA30EF"/>
    <w:rsid w:val="00AA3801"/>
    <w:rsid w:val="00AA3DAA"/>
    <w:rsid w:val="00AA3EEC"/>
    <w:rsid w:val="00AA3FDB"/>
    <w:rsid w:val="00AA4157"/>
    <w:rsid w:val="00AA45BA"/>
    <w:rsid w:val="00AA46EA"/>
    <w:rsid w:val="00AA5044"/>
    <w:rsid w:val="00AA559E"/>
    <w:rsid w:val="00AA5A9E"/>
    <w:rsid w:val="00AA7780"/>
    <w:rsid w:val="00AA7A4C"/>
    <w:rsid w:val="00AA7EBB"/>
    <w:rsid w:val="00AB001C"/>
    <w:rsid w:val="00AB009D"/>
    <w:rsid w:val="00AB025A"/>
    <w:rsid w:val="00AB0DA7"/>
    <w:rsid w:val="00AB1243"/>
    <w:rsid w:val="00AB1B1D"/>
    <w:rsid w:val="00AB1E95"/>
    <w:rsid w:val="00AB27F4"/>
    <w:rsid w:val="00AB30C0"/>
    <w:rsid w:val="00AB348C"/>
    <w:rsid w:val="00AB36E6"/>
    <w:rsid w:val="00AB3D90"/>
    <w:rsid w:val="00AB3F43"/>
    <w:rsid w:val="00AB45B0"/>
    <w:rsid w:val="00AB47FB"/>
    <w:rsid w:val="00AB4A86"/>
    <w:rsid w:val="00AB526D"/>
    <w:rsid w:val="00AB5895"/>
    <w:rsid w:val="00AB5C28"/>
    <w:rsid w:val="00AB667E"/>
    <w:rsid w:val="00AB683E"/>
    <w:rsid w:val="00AB686F"/>
    <w:rsid w:val="00AB6BDE"/>
    <w:rsid w:val="00AB7513"/>
    <w:rsid w:val="00AB79A7"/>
    <w:rsid w:val="00AC0084"/>
    <w:rsid w:val="00AC294E"/>
    <w:rsid w:val="00AC2980"/>
    <w:rsid w:val="00AC39FF"/>
    <w:rsid w:val="00AC3A3B"/>
    <w:rsid w:val="00AC3FF2"/>
    <w:rsid w:val="00AC4CF8"/>
    <w:rsid w:val="00AC4D11"/>
    <w:rsid w:val="00AC4E16"/>
    <w:rsid w:val="00AC5091"/>
    <w:rsid w:val="00AC515B"/>
    <w:rsid w:val="00AC54A4"/>
    <w:rsid w:val="00AC5BED"/>
    <w:rsid w:val="00AC5E70"/>
    <w:rsid w:val="00AC6159"/>
    <w:rsid w:val="00AC646B"/>
    <w:rsid w:val="00AC6768"/>
    <w:rsid w:val="00AC7009"/>
    <w:rsid w:val="00AC7236"/>
    <w:rsid w:val="00AC7407"/>
    <w:rsid w:val="00AC7A6B"/>
    <w:rsid w:val="00AD0B10"/>
    <w:rsid w:val="00AD149A"/>
    <w:rsid w:val="00AD2B97"/>
    <w:rsid w:val="00AD2D71"/>
    <w:rsid w:val="00AD2E1A"/>
    <w:rsid w:val="00AD3A61"/>
    <w:rsid w:val="00AD46F1"/>
    <w:rsid w:val="00AD4865"/>
    <w:rsid w:val="00AD5795"/>
    <w:rsid w:val="00AD583A"/>
    <w:rsid w:val="00AD61DE"/>
    <w:rsid w:val="00AD6729"/>
    <w:rsid w:val="00AD6BA1"/>
    <w:rsid w:val="00AD6D7E"/>
    <w:rsid w:val="00AD73BE"/>
    <w:rsid w:val="00AD761E"/>
    <w:rsid w:val="00AD7971"/>
    <w:rsid w:val="00AE039C"/>
    <w:rsid w:val="00AE0C2B"/>
    <w:rsid w:val="00AE1C7C"/>
    <w:rsid w:val="00AE2072"/>
    <w:rsid w:val="00AE2156"/>
    <w:rsid w:val="00AE2681"/>
    <w:rsid w:val="00AE2EA0"/>
    <w:rsid w:val="00AE2ED7"/>
    <w:rsid w:val="00AE3AFC"/>
    <w:rsid w:val="00AE3BF7"/>
    <w:rsid w:val="00AE3E83"/>
    <w:rsid w:val="00AE4AF3"/>
    <w:rsid w:val="00AE52C6"/>
    <w:rsid w:val="00AE56DE"/>
    <w:rsid w:val="00AE5EF1"/>
    <w:rsid w:val="00AE5F33"/>
    <w:rsid w:val="00AE72FF"/>
    <w:rsid w:val="00AE76DB"/>
    <w:rsid w:val="00AF0555"/>
    <w:rsid w:val="00AF070D"/>
    <w:rsid w:val="00AF0926"/>
    <w:rsid w:val="00AF26E7"/>
    <w:rsid w:val="00AF26E9"/>
    <w:rsid w:val="00AF29C3"/>
    <w:rsid w:val="00AF3177"/>
    <w:rsid w:val="00AF3447"/>
    <w:rsid w:val="00AF3949"/>
    <w:rsid w:val="00AF4082"/>
    <w:rsid w:val="00AF4725"/>
    <w:rsid w:val="00AF48B7"/>
    <w:rsid w:val="00AF4D26"/>
    <w:rsid w:val="00AF5472"/>
    <w:rsid w:val="00AF5630"/>
    <w:rsid w:val="00AF5689"/>
    <w:rsid w:val="00AF6619"/>
    <w:rsid w:val="00AF7ACA"/>
    <w:rsid w:val="00B002A7"/>
    <w:rsid w:val="00B01127"/>
    <w:rsid w:val="00B0124F"/>
    <w:rsid w:val="00B01491"/>
    <w:rsid w:val="00B02CDC"/>
    <w:rsid w:val="00B033CB"/>
    <w:rsid w:val="00B03E32"/>
    <w:rsid w:val="00B0412F"/>
    <w:rsid w:val="00B04159"/>
    <w:rsid w:val="00B04817"/>
    <w:rsid w:val="00B04A6D"/>
    <w:rsid w:val="00B04D07"/>
    <w:rsid w:val="00B0575B"/>
    <w:rsid w:val="00B0575E"/>
    <w:rsid w:val="00B06888"/>
    <w:rsid w:val="00B06A6D"/>
    <w:rsid w:val="00B073B1"/>
    <w:rsid w:val="00B07835"/>
    <w:rsid w:val="00B07AD0"/>
    <w:rsid w:val="00B101B6"/>
    <w:rsid w:val="00B101C5"/>
    <w:rsid w:val="00B115AE"/>
    <w:rsid w:val="00B11610"/>
    <w:rsid w:val="00B1246B"/>
    <w:rsid w:val="00B13A71"/>
    <w:rsid w:val="00B143E1"/>
    <w:rsid w:val="00B144A8"/>
    <w:rsid w:val="00B1474A"/>
    <w:rsid w:val="00B14847"/>
    <w:rsid w:val="00B15983"/>
    <w:rsid w:val="00B16863"/>
    <w:rsid w:val="00B17936"/>
    <w:rsid w:val="00B17EF7"/>
    <w:rsid w:val="00B20B21"/>
    <w:rsid w:val="00B20BEE"/>
    <w:rsid w:val="00B20F48"/>
    <w:rsid w:val="00B21B86"/>
    <w:rsid w:val="00B21DEA"/>
    <w:rsid w:val="00B21DEB"/>
    <w:rsid w:val="00B21EC5"/>
    <w:rsid w:val="00B22A75"/>
    <w:rsid w:val="00B23271"/>
    <w:rsid w:val="00B23AFD"/>
    <w:rsid w:val="00B25011"/>
    <w:rsid w:val="00B253AE"/>
    <w:rsid w:val="00B25C4C"/>
    <w:rsid w:val="00B260E7"/>
    <w:rsid w:val="00B263C3"/>
    <w:rsid w:val="00B26B63"/>
    <w:rsid w:val="00B2742D"/>
    <w:rsid w:val="00B277BD"/>
    <w:rsid w:val="00B3192D"/>
    <w:rsid w:val="00B31E96"/>
    <w:rsid w:val="00B324FF"/>
    <w:rsid w:val="00B3313A"/>
    <w:rsid w:val="00B33DF5"/>
    <w:rsid w:val="00B3597C"/>
    <w:rsid w:val="00B35B31"/>
    <w:rsid w:val="00B35D15"/>
    <w:rsid w:val="00B35EF2"/>
    <w:rsid w:val="00B361AF"/>
    <w:rsid w:val="00B36EA8"/>
    <w:rsid w:val="00B36EBD"/>
    <w:rsid w:val="00B371B3"/>
    <w:rsid w:val="00B371E8"/>
    <w:rsid w:val="00B37307"/>
    <w:rsid w:val="00B3759E"/>
    <w:rsid w:val="00B375B8"/>
    <w:rsid w:val="00B37B64"/>
    <w:rsid w:val="00B40285"/>
    <w:rsid w:val="00B403E9"/>
    <w:rsid w:val="00B40510"/>
    <w:rsid w:val="00B40DB1"/>
    <w:rsid w:val="00B41682"/>
    <w:rsid w:val="00B4308F"/>
    <w:rsid w:val="00B4432C"/>
    <w:rsid w:val="00B44F5F"/>
    <w:rsid w:val="00B455E1"/>
    <w:rsid w:val="00B458F2"/>
    <w:rsid w:val="00B45F9A"/>
    <w:rsid w:val="00B45FD1"/>
    <w:rsid w:val="00B464B2"/>
    <w:rsid w:val="00B46D91"/>
    <w:rsid w:val="00B46FB5"/>
    <w:rsid w:val="00B5003D"/>
    <w:rsid w:val="00B50500"/>
    <w:rsid w:val="00B508EE"/>
    <w:rsid w:val="00B510A8"/>
    <w:rsid w:val="00B518B3"/>
    <w:rsid w:val="00B51CBE"/>
    <w:rsid w:val="00B51E1F"/>
    <w:rsid w:val="00B51FB7"/>
    <w:rsid w:val="00B52924"/>
    <w:rsid w:val="00B53230"/>
    <w:rsid w:val="00B53595"/>
    <w:rsid w:val="00B5363C"/>
    <w:rsid w:val="00B54405"/>
    <w:rsid w:val="00B54636"/>
    <w:rsid w:val="00B548F4"/>
    <w:rsid w:val="00B54CC7"/>
    <w:rsid w:val="00B56465"/>
    <w:rsid w:val="00B56C5A"/>
    <w:rsid w:val="00B56E56"/>
    <w:rsid w:val="00B61649"/>
    <w:rsid w:val="00B6179F"/>
    <w:rsid w:val="00B6199C"/>
    <w:rsid w:val="00B61A33"/>
    <w:rsid w:val="00B61E1D"/>
    <w:rsid w:val="00B62862"/>
    <w:rsid w:val="00B6308A"/>
    <w:rsid w:val="00B632AF"/>
    <w:rsid w:val="00B63850"/>
    <w:rsid w:val="00B63A69"/>
    <w:rsid w:val="00B63CE8"/>
    <w:rsid w:val="00B63F72"/>
    <w:rsid w:val="00B648C7"/>
    <w:rsid w:val="00B64BEC"/>
    <w:rsid w:val="00B64E88"/>
    <w:rsid w:val="00B64F2A"/>
    <w:rsid w:val="00B65133"/>
    <w:rsid w:val="00B662A1"/>
    <w:rsid w:val="00B66446"/>
    <w:rsid w:val="00B6651E"/>
    <w:rsid w:val="00B67039"/>
    <w:rsid w:val="00B67303"/>
    <w:rsid w:val="00B674A6"/>
    <w:rsid w:val="00B702A3"/>
    <w:rsid w:val="00B702C2"/>
    <w:rsid w:val="00B7031E"/>
    <w:rsid w:val="00B7054A"/>
    <w:rsid w:val="00B705C3"/>
    <w:rsid w:val="00B71C89"/>
    <w:rsid w:val="00B7238F"/>
    <w:rsid w:val="00B729A1"/>
    <w:rsid w:val="00B72DCC"/>
    <w:rsid w:val="00B72EBC"/>
    <w:rsid w:val="00B733D0"/>
    <w:rsid w:val="00B73F8A"/>
    <w:rsid w:val="00B773D4"/>
    <w:rsid w:val="00B77843"/>
    <w:rsid w:val="00B77AA5"/>
    <w:rsid w:val="00B77AF7"/>
    <w:rsid w:val="00B77E5D"/>
    <w:rsid w:val="00B8053C"/>
    <w:rsid w:val="00B809F1"/>
    <w:rsid w:val="00B80AFD"/>
    <w:rsid w:val="00B81194"/>
    <w:rsid w:val="00B81697"/>
    <w:rsid w:val="00B8209C"/>
    <w:rsid w:val="00B821D4"/>
    <w:rsid w:val="00B8223C"/>
    <w:rsid w:val="00B82243"/>
    <w:rsid w:val="00B826C3"/>
    <w:rsid w:val="00B82B9F"/>
    <w:rsid w:val="00B83071"/>
    <w:rsid w:val="00B8486B"/>
    <w:rsid w:val="00B85295"/>
    <w:rsid w:val="00B85699"/>
    <w:rsid w:val="00B861FF"/>
    <w:rsid w:val="00B864CD"/>
    <w:rsid w:val="00B868F1"/>
    <w:rsid w:val="00B86948"/>
    <w:rsid w:val="00B87329"/>
    <w:rsid w:val="00B87807"/>
    <w:rsid w:val="00B8782A"/>
    <w:rsid w:val="00B87AEA"/>
    <w:rsid w:val="00B906FF"/>
    <w:rsid w:val="00B90A17"/>
    <w:rsid w:val="00B90C87"/>
    <w:rsid w:val="00B91059"/>
    <w:rsid w:val="00B912CE"/>
    <w:rsid w:val="00B91A31"/>
    <w:rsid w:val="00B92E34"/>
    <w:rsid w:val="00B92E4A"/>
    <w:rsid w:val="00B93753"/>
    <w:rsid w:val="00B93AC3"/>
    <w:rsid w:val="00B9454F"/>
    <w:rsid w:val="00B946C3"/>
    <w:rsid w:val="00B94F66"/>
    <w:rsid w:val="00B950D4"/>
    <w:rsid w:val="00B96111"/>
    <w:rsid w:val="00B96B17"/>
    <w:rsid w:val="00BA0C98"/>
    <w:rsid w:val="00BA1188"/>
    <w:rsid w:val="00BA152B"/>
    <w:rsid w:val="00BA2270"/>
    <w:rsid w:val="00BA29C8"/>
    <w:rsid w:val="00BA2C3F"/>
    <w:rsid w:val="00BA3323"/>
    <w:rsid w:val="00BA3D19"/>
    <w:rsid w:val="00BA4BD9"/>
    <w:rsid w:val="00BA56B0"/>
    <w:rsid w:val="00BA58C0"/>
    <w:rsid w:val="00BA6319"/>
    <w:rsid w:val="00BA6442"/>
    <w:rsid w:val="00BA693D"/>
    <w:rsid w:val="00BA6EF5"/>
    <w:rsid w:val="00BA724B"/>
    <w:rsid w:val="00BA7464"/>
    <w:rsid w:val="00BA795D"/>
    <w:rsid w:val="00BB002D"/>
    <w:rsid w:val="00BB0106"/>
    <w:rsid w:val="00BB0111"/>
    <w:rsid w:val="00BB093D"/>
    <w:rsid w:val="00BB0D60"/>
    <w:rsid w:val="00BB1532"/>
    <w:rsid w:val="00BB1CA3"/>
    <w:rsid w:val="00BB290E"/>
    <w:rsid w:val="00BB35D5"/>
    <w:rsid w:val="00BB43B5"/>
    <w:rsid w:val="00BB53B5"/>
    <w:rsid w:val="00BB6258"/>
    <w:rsid w:val="00BB6C6B"/>
    <w:rsid w:val="00BB6EDA"/>
    <w:rsid w:val="00BB7CB4"/>
    <w:rsid w:val="00BC0261"/>
    <w:rsid w:val="00BC0900"/>
    <w:rsid w:val="00BC0A69"/>
    <w:rsid w:val="00BC0D6F"/>
    <w:rsid w:val="00BC0EB4"/>
    <w:rsid w:val="00BC19BD"/>
    <w:rsid w:val="00BC2156"/>
    <w:rsid w:val="00BC4974"/>
    <w:rsid w:val="00BC552B"/>
    <w:rsid w:val="00BC55D4"/>
    <w:rsid w:val="00BC6884"/>
    <w:rsid w:val="00BC7854"/>
    <w:rsid w:val="00BC78C4"/>
    <w:rsid w:val="00BD01E5"/>
    <w:rsid w:val="00BD1464"/>
    <w:rsid w:val="00BD2246"/>
    <w:rsid w:val="00BD2803"/>
    <w:rsid w:val="00BD29FD"/>
    <w:rsid w:val="00BD2B05"/>
    <w:rsid w:val="00BD2E8D"/>
    <w:rsid w:val="00BD3417"/>
    <w:rsid w:val="00BD35A8"/>
    <w:rsid w:val="00BD397A"/>
    <w:rsid w:val="00BD455A"/>
    <w:rsid w:val="00BD4A5C"/>
    <w:rsid w:val="00BD64B0"/>
    <w:rsid w:val="00BD6A38"/>
    <w:rsid w:val="00BD71EA"/>
    <w:rsid w:val="00BD7415"/>
    <w:rsid w:val="00BD7A05"/>
    <w:rsid w:val="00BD7C1A"/>
    <w:rsid w:val="00BD7EA3"/>
    <w:rsid w:val="00BE0333"/>
    <w:rsid w:val="00BE080C"/>
    <w:rsid w:val="00BE107C"/>
    <w:rsid w:val="00BE1491"/>
    <w:rsid w:val="00BE161F"/>
    <w:rsid w:val="00BE205C"/>
    <w:rsid w:val="00BE22D5"/>
    <w:rsid w:val="00BE2AE0"/>
    <w:rsid w:val="00BE324F"/>
    <w:rsid w:val="00BE36F7"/>
    <w:rsid w:val="00BE3865"/>
    <w:rsid w:val="00BE3968"/>
    <w:rsid w:val="00BE53BC"/>
    <w:rsid w:val="00BE62B1"/>
    <w:rsid w:val="00BE62B5"/>
    <w:rsid w:val="00BE64B9"/>
    <w:rsid w:val="00BE6839"/>
    <w:rsid w:val="00BE68C0"/>
    <w:rsid w:val="00BE70FC"/>
    <w:rsid w:val="00BE7C18"/>
    <w:rsid w:val="00BF006C"/>
    <w:rsid w:val="00BF0458"/>
    <w:rsid w:val="00BF0D56"/>
    <w:rsid w:val="00BF0FF9"/>
    <w:rsid w:val="00BF17C1"/>
    <w:rsid w:val="00BF188B"/>
    <w:rsid w:val="00BF2955"/>
    <w:rsid w:val="00BF2960"/>
    <w:rsid w:val="00BF2B55"/>
    <w:rsid w:val="00BF2DC7"/>
    <w:rsid w:val="00BF32A1"/>
    <w:rsid w:val="00BF34D4"/>
    <w:rsid w:val="00BF3782"/>
    <w:rsid w:val="00BF42D3"/>
    <w:rsid w:val="00BF4EE8"/>
    <w:rsid w:val="00BF58BE"/>
    <w:rsid w:val="00BF5A0D"/>
    <w:rsid w:val="00BF5BBA"/>
    <w:rsid w:val="00BF5D57"/>
    <w:rsid w:val="00BF5E34"/>
    <w:rsid w:val="00BF64D5"/>
    <w:rsid w:val="00BF7C4F"/>
    <w:rsid w:val="00BF7E1E"/>
    <w:rsid w:val="00C0014C"/>
    <w:rsid w:val="00C0047F"/>
    <w:rsid w:val="00C00619"/>
    <w:rsid w:val="00C01078"/>
    <w:rsid w:val="00C01820"/>
    <w:rsid w:val="00C0486A"/>
    <w:rsid w:val="00C053BD"/>
    <w:rsid w:val="00C056C7"/>
    <w:rsid w:val="00C063F5"/>
    <w:rsid w:val="00C065B1"/>
    <w:rsid w:val="00C0667B"/>
    <w:rsid w:val="00C069B1"/>
    <w:rsid w:val="00C06F4C"/>
    <w:rsid w:val="00C0720D"/>
    <w:rsid w:val="00C10C25"/>
    <w:rsid w:val="00C10DAD"/>
    <w:rsid w:val="00C116A4"/>
    <w:rsid w:val="00C12BBB"/>
    <w:rsid w:val="00C1356D"/>
    <w:rsid w:val="00C143C8"/>
    <w:rsid w:val="00C14834"/>
    <w:rsid w:val="00C14FAD"/>
    <w:rsid w:val="00C151B4"/>
    <w:rsid w:val="00C156D8"/>
    <w:rsid w:val="00C166C2"/>
    <w:rsid w:val="00C16873"/>
    <w:rsid w:val="00C16DDE"/>
    <w:rsid w:val="00C17583"/>
    <w:rsid w:val="00C2006C"/>
    <w:rsid w:val="00C20ED5"/>
    <w:rsid w:val="00C21571"/>
    <w:rsid w:val="00C2175B"/>
    <w:rsid w:val="00C21EFF"/>
    <w:rsid w:val="00C21F10"/>
    <w:rsid w:val="00C22021"/>
    <w:rsid w:val="00C22137"/>
    <w:rsid w:val="00C222C8"/>
    <w:rsid w:val="00C223FF"/>
    <w:rsid w:val="00C24140"/>
    <w:rsid w:val="00C243DD"/>
    <w:rsid w:val="00C24F62"/>
    <w:rsid w:val="00C250B4"/>
    <w:rsid w:val="00C250F6"/>
    <w:rsid w:val="00C25279"/>
    <w:rsid w:val="00C2562D"/>
    <w:rsid w:val="00C25CE6"/>
    <w:rsid w:val="00C25D5C"/>
    <w:rsid w:val="00C25F70"/>
    <w:rsid w:val="00C26089"/>
    <w:rsid w:val="00C265BC"/>
    <w:rsid w:val="00C27148"/>
    <w:rsid w:val="00C27341"/>
    <w:rsid w:val="00C274B8"/>
    <w:rsid w:val="00C2751E"/>
    <w:rsid w:val="00C2759F"/>
    <w:rsid w:val="00C27E39"/>
    <w:rsid w:val="00C30F8E"/>
    <w:rsid w:val="00C3258F"/>
    <w:rsid w:val="00C32B24"/>
    <w:rsid w:val="00C33386"/>
    <w:rsid w:val="00C35181"/>
    <w:rsid w:val="00C35C8E"/>
    <w:rsid w:val="00C36AAC"/>
    <w:rsid w:val="00C36F71"/>
    <w:rsid w:val="00C37DD9"/>
    <w:rsid w:val="00C40727"/>
    <w:rsid w:val="00C40B52"/>
    <w:rsid w:val="00C415B5"/>
    <w:rsid w:val="00C41D43"/>
    <w:rsid w:val="00C4256E"/>
    <w:rsid w:val="00C4394A"/>
    <w:rsid w:val="00C4430E"/>
    <w:rsid w:val="00C4435C"/>
    <w:rsid w:val="00C453AC"/>
    <w:rsid w:val="00C45514"/>
    <w:rsid w:val="00C46359"/>
    <w:rsid w:val="00C4687E"/>
    <w:rsid w:val="00C51C6E"/>
    <w:rsid w:val="00C51E36"/>
    <w:rsid w:val="00C51EEE"/>
    <w:rsid w:val="00C53151"/>
    <w:rsid w:val="00C53DDC"/>
    <w:rsid w:val="00C543DE"/>
    <w:rsid w:val="00C544A5"/>
    <w:rsid w:val="00C54EB3"/>
    <w:rsid w:val="00C5503D"/>
    <w:rsid w:val="00C564FC"/>
    <w:rsid w:val="00C56BF3"/>
    <w:rsid w:val="00C57F23"/>
    <w:rsid w:val="00C60124"/>
    <w:rsid w:val="00C604E9"/>
    <w:rsid w:val="00C617B0"/>
    <w:rsid w:val="00C61D77"/>
    <w:rsid w:val="00C62182"/>
    <w:rsid w:val="00C632F0"/>
    <w:rsid w:val="00C6344C"/>
    <w:rsid w:val="00C651A5"/>
    <w:rsid w:val="00C657D9"/>
    <w:rsid w:val="00C65EC8"/>
    <w:rsid w:val="00C663FA"/>
    <w:rsid w:val="00C66FF6"/>
    <w:rsid w:val="00C6714A"/>
    <w:rsid w:val="00C70FB8"/>
    <w:rsid w:val="00C7114C"/>
    <w:rsid w:val="00C71933"/>
    <w:rsid w:val="00C71A78"/>
    <w:rsid w:val="00C71F7E"/>
    <w:rsid w:val="00C72126"/>
    <w:rsid w:val="00C72A55"/>
    <w:rsid w:val="00C72EEF"/>
    <w:rsid w:val="00C7382C"/>
    <w:rsid w:val="00C73845"/>
    <w:rsid w:val="00C73A2C"/>
    <w:rsid w:val="00C73C46"/>
    <w:rsid w:val="00C73FC9"/>
    <w:rsid w:val="00C744AC"/>
    <w:rsid w:val="00C74CED"/>
    <w:rsid w:val="00C7556C"/>
    <w:rsid w:val="00C759AF"/>
    <w:rsid w:val="00C75E32"/>
    <w:rsid w:val="00C764DC"/>
    <w:rsid w:val="00C77C27"/>
    <w:rsid w:val="00C80614"/>
    <w:rsid w:val="00C81768"/>
    <w:rsid w:val="00C818A2"/>
    <w:rsid w:val="00C82143"/>
    <w:rsid w:val="00C821DD"/>
    <w:rsid w:val="00C82383"/>
    <w:rsid w:val="00C825B7"/>
    <w:rsid w:val="00C829E1"/>
    <w:rsid w:val="00C82B4B"/>
    <w:rsid w:val="00C82D3B"/>
    <w:rsid w:val="00C82E27"/>
    <w:rsid w:val="00C84208"/>
    <w:rsid w:val="00C8486F"/>
    <w:rsid w:val="00C84BA4"/>
    <w:rsid w:val="00C858D8"/>
    <w:rsid w:val="00C85A77"/>
    <w:rsid w:val="00C85C80"/>
    <w:rsid w:val="00C86091"/>
    <w:rsid w:val="00C87783"/>
    <w:rsid w:val="00C87A27"/>
    <w:rsid w:val="00C904A7"/>
    <w:rsid w:val="00C906D5"/>
    <w:rsid w:val="00C90901"/>
    <w:rsid w:val="00C90AB8"/>
    <w:rsid w:val="00C90D3E"/>
    <w:rsid w:val="00C911DD"/>
    <w:rsid w:val="00C91777"/>
    <w:rsid w:val="00C91890"/>
    <w:rsid w:val="00C9317F"/>
    <w:rsid w:val="00C93510"/>
    <w:rsid w:val="00C9385B"/>
    <w:rsid w:val="00C93968"/>
    <w:rsid w:val="00C946A9"/>
    <w:rsid w:val="00C9490B"/>
    <w:rsid w:val="00C94947"/>
    <w:rsid w:val="00C95457"/>
    <w:rsid w:val="00C964EE"/>
    <w:rsid w:val="00C96C53"/>
    <w:rsid w:val="00C96CA3"/>
    <w:rsid w:val="00C9755B"/>
    <w:rsid w:val="00C9787D"/>
    <w:rsid w:val="00C97BA0"/>
    <w:rsid w:val="00C97F36"/>
    <w:rsid w:val="00CA06B5"/>
    <w:rsid w:val="00CA071F"/>
    <w:rsid w:val="00CA0C95"/>
    <w:rsid w:val="00CA10F1"/>
    <w:rsid w:val="00CA1DA4"/>
    <w:rsid w:val="00CA2679"/>
    <w:rsid w:val="00CA26B6"/>
    <w:rsid w:val="00CA270C"/>
    <w:rsid w:val="00CA2A7F"/>
    <w:rsid w:val="00CA36E0"/>
    <w:rsid w:val="00CA3A5B"/>
    <w:rsid w:val="00CA3E1D"/>
    <w:rsid w:val="00CA40E0"/>
    <w:rsid w:val="00CA6BE0"/>
    <w:rsid w:val="00CA7148"/>
    <w:rsid w:val="00CA79BE"/>
    <w:rsid w:val="00CA7C57"/>
    <w:rsid w:val="00CA7FE2"/>
    <w:rsid w:val="00CB0437"/>
    <w:rsid w:val="00CB06C1"/>
    <w:rsid w:val="00CB086E"/>
    <w:rsid w:val="00CB08B9"/>
    <w:rsid w:val="00CB0EA3"/>
    <w:rsid w:val="00CB112F"/>
    <w:rsid w:val="00CB163C"/>
    <w:rsid w:val="00CB17B9"/>
    <w:rsid w:val="00CB37D6"/>
    <w:rsid w:val="00CB3D13"/>
    <w:rsid w:val="00CB3E87"/>
    <w:rsid w:val="00CB4108"/>
    <w:rsid w:val="00CB4C2C"/>
    <w:rsid w:val="00CB606D"/>
    <w:rsid w:val="00CB6795"/>
    <w:rsid w:val="00CB7D71"/>
    <w:rsid w:val="00CC058D"/>
    <w:rsid w:val="00CC09B4"/>
    <w:rsid w:val="00CC1BEB"/>
    <w:rsid w:val="00CC1E9E"/>
    <w:rsid w:val="00CC2A1D"/>
    <w:rsid w:val="00CC2D98"/>
    <w:rsid w:val="00CC38D3"/>
    <w:rsid w:val="00CC40C4"/>
    <w:rsid w:val="00CC42AA"/>
    <w:rsid w:val="00CC54BC"/>
    <w:rsid w:val="00CC6134"/>
    <w:rsid w:val="00CC6178"/>
    <w:rsid w:val="00CC62C1"/>
    <w:rsid w:val="00CC6323"/>
    <w:rsid w:val="00CC6B9D"/>
    <w:rsid w:val="00CD0540"/>
    <w:rsid w:val="00CD0896"/>
    <w:rsid w:val="00CD116A"/>
    <w:rsid w:val="00CD2A20"/>
    <w:rsid w:val="00CD2A8A"/>
    <w:rsid w:val="00CD3A16"/>
    <w:rsid w:val="00CD3A50"/>
    <w:rsid w:val="00CD3AD8"/>
    <w:rsid w:val="00CD407E"/>
    <w:rsid w:val="00CD4185"/>
    <w:rsid w:val="00CD4695"/>
    <w:rsid w:val="00CD4E62"/>
    <w:rsid w:val="00CD5469"/>
    <w:rsid w:val="00CD5889"/>
    <w:rsid w:val="00CD6A4D"/>
    <w:rsid w:val="00CD6F2C"/>
    <w:rsid w:val="00CD72B6"/>
    <w:rsid w:val="00CD77A6"/>
    <w:rsid w:val="00CD7954"/>
    <w:rsid w:val="00CD7FD6"/>
    <w:rsid w:val="00CE0218"/>
    <w:rsid w:val="00CE095D"/>
    <w:rsid w:val="00CE1675"/>
    <w:rsid w:val="00CE174C"/>
    <w:rsid w:val="00CE2669"/>
    <w:rsid w:val="00CE2BE1"/>
    <w:rsid w:val="00CE2FD9"/>
    <w:rsid w:val="00CE3089"/>
    <w:rsid w:val="00CE355A"/>
    <w:rsid w:val="00CE3C96"/>
    <w:rsid w:val="00CE4150"/>
    <w:rsid w:val="00CE44B5"/>
    <w:rsid w:val="00CE455B"/>
    <w:rsid w:val="00CE4A34"/>
    <w:rsid w:val="00CE4C9D"/>
    <w:rsid w:val="00CE4CCB"/>
    <w:rsid w:val="00CE5475"/>
    <w:rsid w:val="00CE5C9E"/>
    <w:rsid w:val="00CE5CF3"/>
    <w:rsid w:val="00CE61A0"/>
    <w:rsid w:val="00CE7757"/>
    <w:rsid w:val="00CE77E9"/>
    <w:rsid w:val="00CE7DEC"/>
    <w:rsid w:val="00CE7F08"/>
    <w:rsid w:val="00CF041D"/>
    <w:rsid w:val="00CF0C06"/>
    <w:rsid w:val="00CF0F38"/>
    <w:rsid w:val="00CF1ADC"/>
    <w:rsid w:val="00CF1B24"/>
    <w:rsid w:val="00CF2028"/>
    <w:rsid w:val="00CF26D1"/>
    <w:rsid w:val="00CF340C"/>
    <w:rsid w:val="00CF354E"/>
    <w:rsid w:val="00CF36C4"/>
    <w:rsid w:val="00CF3B28"/>
    <w:rsid w:val="00CF3D70"/>
    <w:rsid w:val="00CF5169"/>
    <w:rsid w:val="00CF683B"/>
    <w:rsid w:val="00CF7055"/>
    <w:rsid w:val="00CF70FD"/>
    <w:rsid w:val="00CF7592"/>
    <w:rsid w:val="00CF7F1F"/>
    <w:rsid w:val="00D0057A"/>
    <w:rsid w:val="00D00C9B"/>
    <w:rsid w:val="00D01021"/>
    <w:rsid w:val="00D01AA0"/>
    <w:rsid w:val="00D01D83"/>
    <w:rsid w:val="00D01D9E"/>
    <w:rsid w:val="00D02242"/>
    <w:rsid w:val="00D02FB1"/>
    <w:rsid w:val="00D03A00"/>
    <w:rsid w:val="00D03AD4"/>
    <w:rsid w:val="00D03E19"/>
    <w:rsid w:val="00D040FF"/>
    <w:rsid w:val="00D04885"/>
    <w:rsid w:val="00D0509C"/>
    <w:rsid w:val="00D05168"/>
    <w:rsid w:val="00D0540B"/>
    <w:rsid w:val="00D05B20"/>
    <w:rsid w:val="00D05BBC"/>
    <w:rsid w:val="00D05D2B"/>
    <w:rsid w:val="00D06000"/>
    <w:rsid w:val="00D06176"/>
    <w:rsid w:val="00D06641"/>
    <w:rsid w:val="00D06766"/>
    <w:rsid w:val="00D07460"/>
    <w:rsid w:val="00D079E6"/>
    <w:rsid w:val="00D10B3E"/>
    <w:rsid w:val="00D115BF"/>
    <w:rsid w:val="00D123D6"/>
    <w:rsid w:val="00D129EE"/>
    <w:rsid w:val="00D12B7B"/>
    <w:rsid w:val="00D12CC7"/>
    <w:rsid w:val="00D13902"/>
    <w:rsid w:val="00D140D1"/>
    <w:rsid w:val="00D14179"/>
    <w:rsid w:val="00D157C4"/>
    <w:rsid w:val="00D15BFF"/>
    <w:rsid w:val="00D15C71"/>
    <w:rsid w:val="00D15DAF"/>
    <w:rsid w:val="00D16927"/>
    <w:rsid w:val="00D1768C"/>
    <w:rsid w:val="00D20368"/>
    <w:rsid w:val="00D20AC0"/>
    <w:rsid w:val="00D20FE6"/>
    <w:rsid w:val="00D21710"/>
    <w:rsid w:val="00D217E6"/>
    <w:rsid w:val="00D218E0"/>
    <w:rsid w:val="00D21CD2"/>
    <w:rsid w:val="00D221BE"/>
    <w:rsid w:val="00D22EE1"/>
    <w:rsid w:val="00D232EF"/>
    <w:rsid w:val="00D23379"/>
    <w:rsid w:val="00D23787"/>
    <w:rsid w:val="00D24480"/>
    <w:rsid w:val="00D245AB"/>
    <w:rsid w:val="00D25B4F"/>
    <w:rsid w:val="00D25D6C"/>
    <w:rsid w:val="00D265BC"/>
    <w:rsid w:val="00D273CF"/>
    <w:rsid w:val="00D27434"/>
    <w:rsid w:val="00D30778"/>
    <w:rsid w:val="00D31007"/>
    <w:rsid w:val="00D31AB5"/>
    <w:rsid w:val="00D31F63"/>
    <w:rsid w:val="00D3210A"/>
    <w:rsid w:val="00D32F7D"/>
    <w:rsid w:val="00D331E5"/>
    <w:rsid w:val="00D3346C"/>
    <w:rsid w:val="00D34A60"/>
    <w:rsid w:val="00D34B58"/>
    <w:rsid w:val="00D34C2E"/>
    <w:rsid w:val="00D34F67"/>
    <w:rsid w:val="00D35356"/>
    <w:rsid w:val="00D35461"/>
    <w:rsid w:val="00D356A2"/>
    <w:rsid w:val="00D35C53"/>
    <w:rsid w:val="00D35EAC"/>
    <w:rsid w:val="00D36D2C"/>
    <w:rsid w:val="00D37065"/>
    <w:rsid w:val="00D379DA"/>
    <w:rsid w:val="00D37DDF"/>
    <w:rsid w:val="00D40261"/>
    <w:rsid w:val="00D4087F"/>
    <w:rsid w:val="00D4162E"/>
    <w:rsid w:val="00D41E5C"/>
    <w:rsid w:val="00D42116"/>
    <w:rsid w:val="00D433BF"/>
    <w:rsid w:val="00D4448B"/>
    <w:rsid w:val="00D44FB0"/>
    <w:rsid w:val="00D45193"/>
    <w:rsid w:val="00D45677"/>
    <w:rsid w:val="00D456AD"/>
    <w:rsid w:val="00D45A88"/>
    <w:rsid w:val="00D465EE"/>
    <w:rsid w:val="00D467F6"/>
    <w:rsid w:val="00D46B89"/>
    <w:rsid w:val="00D46FD7"/>
    <w:rsid w:val="00D471BA"/>
    <w:rsid w:val="00D473B3"/>
    <w:rsid w:val="00D47421"/>
    <w:rsid w:val="00D50881"/>
    <w:rsid w:val="00D50C86"/>
    <w:rsid w:val="00D50D83"/>
    <w:rsid w:val="00D51A85"/>
    <w:rsid w:val="00D51E06"/>
    <w:rsid w:val="00D524BC"/>
    <w:rsid w:val="00D5273D"/>
    <w:rsid w:val="00D52891"/>
    <w:rsid w:val="00D52F89"/>
    <w:rsid w:val="00D5348F"/>
    <w:rsid w:val="00D5381C"/>
    <w:rsid w:val="00D53906"/>
    <w:rsid w:val="00D53C90"/>
    <w:rsid w:val="00D53DB3"/>
    <w:rsid w:val="00D546C7"/>
    <w:rsid w:val="00D54CB1"/>
    <w:rsid w:val="00D5511B"/>
    <w:rsid w:val="00D554C2"/>
    <w:rsid w:val="00D55D85"/>
    <w:rsid w:val="00D56019"/>
    <w:rsid w:val="00D57265"/>
    <w:rsid w:val="00D575DE"/>
    <w:rsid w:val="00D576AA"/>
    <w:rsid w:val="00D57913"/>
    <w:rsid w:val="00D6015A"/>
    <w:rsid w:val="00D6061A"/>
    <w:rsid w:val="00D61875"/>
    <w:rsid w:val="00D62553"/>
    <w:rsid w:val="00D62B50"/>
    <w:rsid w:val="00D6356B"/>
    <w:rsid w:val="00D63982"/>
    <w:rsid w:val="00D63AF1"/>
    <w:rsid w:val="00D6430D"/>
    <w:rsid w:val="00D64E85"/>
    <w:rsid w:val="00D65759"/>
    <w:rsid w:val="00D657F0"/>
    <w:rsid w:val="00D70028"/>
    <w:rsid w:val="00D71866"/>
    <w:rsid w:val="00D71B6D"/>
    <w:rsid w:val="00D71CAD"/>
    <w:rsid w:val="00D71E6A"/>
    <w:rsid w:val="00D72BD6"/>
    <w:rsid w:val="00D73375"/>
    <w:rsid w:val="00D734C8"/>
    <w:rsid w:val="00D7363B"/>
    <w:rsid w:val="00D73932"/>
    <w:rsid w:val="00D7403D"/>
    <w:rsid w:val="00D75162"/>
    <w:rsid w:val="00D75668"/>
    <w:rsid w:val="00D76181"/>
    <w:rsid w:val="00D765D1"/>
    <w:rsid w:val="00D77A34"/>
    <w:rsid w:val="00D80C3C"/>
    <w:rsid w:val="00D812E6"/>
    <w:rsid w:val="00D814E3"/>
    <w:rsid w:val="00D818DA"/>
    <w:rsid w:val="00D820C5"/>
    <w:rsid w:val="00D829CB"/>
    <w:rsid w:val="00D82A55"/>
    <w:rsid w:val="00D82DB4"/>
    <w:rsid w:val="00D8353F"/>
    <w:rsid w:val="00D83575"/>
    <w:rsid w:val="00D8374A"/>
    <w:rsid w:val="00D8476D"/>
    <w:rsid w:val="00D84E58"/>
    <w:rsid w:val="00D84EC6"/>
    <w:rsid w:val="00D867DC"/>
    <w:rsid w:val="00D86E60"/>
    <w:rsid w:val="00D86FFB"/>
    <w:rsid w:val="00D8702D"/>
    <w:rsid w:val="00D87345"/>
    <w:rsid w:val="00D900E5"/>
    <w:rsid w:val="00D9010E"/>
    <w:rsid w:val="00D90A4B"/>
    <w:rsid w:val="00D90B0E"/>
    <w:rsid w:val="00D90CFB"/>
    <w:rsid w:val="00D91002"/>
    <w:rsid w:val="00D91863"/>
    <w:rsid w:val="00D918DC"/>
    <w:rsid w:val="00D91930"/>
    <w:rsid w:val="00D92319"/>
    <w:rsid w:val="00D92376"/>
    <w:rsid w:val="00D92708"/>
    <w:rsid w:val="00D951EE"/>
    <w:rsid w:val="00D952B9"/>
    <w:rsid w:val="00D95BA0"/>
    <w:rsid w:val="00D95D8F"/>
    <w:rsid w:val="00D96418"/>
    <w:rsid w:val="00D972E8"/>
    <w:rsid w:val="00D97562"/>
    <w:rsid w:val="00D97A52"/>
    <w:rsid w:val="00D97EA0"/>
    <w:rsid w:val="00DA0428"/>
    <w:rsid w:val="00DA08E5"/>
    <w:rsid w:val="00DA0949"/>
    <w:rsid w:val="00DA0B11"/>
    <w:rsid w:val="00DA1638"/>
    <w:rsid w:val="00DA19D0"/>
    <w:rsid w:val="00DA1AA8"/>
    <w:rsid w:val="00DA46D6"/>
    <w:rsid w:val="00DA4DBF"/>
    <w:rsid w:val="00DA4F0C"/>
    <w:rsid w:val="00DA56AF"/>
    <w:rsid w:val="00DA579C"/>
    <w:rsid w:val="00DA67B2"/>
    <w:rsid w:val="00DA6E5A"/>
    <w:rsid w:val="00DA7900"/>
    <w:rsid w:val="00DB0AC2"/>
    <w:rsid w:val="00DB15CF"/>
    <w:rsid w:val="00DB1AB3"/>
    <w:rsid w:val="00DB204D"/>
    <w:rsid w:val="00DB2AAB"/>
    <w:rsid w:val="00DB2EEB"/>
    <w:rsid w:val="00DB38F0"/>
    <w:rsid w:val="00DB3B6C"/>
    <w:rsid w:val="00DB411E"/>
    <w:rsid w:val="00DB4292"/>
    <w:rsid w:val="00DB4421"/>
    <w:rsid w:val="00DB4F07"/>
    <w:rsid w:val="00DB4F75"/>
    <w:rsid w:val="00DB56CA"/>
    <w:rsid w:val="00DB5911"/>
    <w:rsid w:val="00DB597D"/>
    <w:rsid w:val="00DB5AA9"/>
    <w:rsid w:val="00DB5E7D"/>
    <w:rsid w:val="00DB6D81"/>
    <w:rsid w:val="00DB71FD"/>
    <w:rsid w:val="00DB7CCC"/>
    <w:rsid w:val="00DC0067"/>
    <w:rsid w:val="00DC09B7"/>
    <w:rsid w:val="00DC1F31"/>
    <w:rsid w:val="00DC3204"/>
    <w:rsid w:val="00DC375B"/>
    <w:rsid w:val="00DC43A5"/>
    <w:rsid w:val="00DC48D5"/>
    <w:rsid w:val="00DC59FF"/>
    <w:rsid w:val="00DC66CE"/>
    <w:rsid w:val="00DC67DD"/>
    <w:rsid w:val="00DD0339"/>
    <w:rsid w:val="00DD03AF"/>
    <w:rsid w:val="00DD20C7"/>
    <w:rsid w:val="00DD2302"/>
    <w:rsid w:val="00DD2A5F"/>
    <w:rsid w:val="00DD3D26"/>
    <w:rsid w:val="00DD43C8"/>
    <w:rsid w:val="00DD4A13"/>
    <w:rsid w:val="00DD621D"/>
    <w:rsid w:val="00DD645D"/>
    <w:rsid w:val="00DD6CAF"/>
    <w:rsid w:val="00DD7328"/>
    <w:rsid w:val="00DD797A"/>
    <w:rsid w:val="00DD7E23"/>
    <w:rsid w:val="00DE0AE0"/>
    <w:rsid w:val="00DE0DF7"/>
    <w:rsid w:val="00DE0EE6"/>
    <w:rsid w:val="00DE1933"/>
    <w:rsid w:val="00DE1D73"/>
    <w:rsid w:val="00DE2127"/>
    <w:rsid w:val="00DE23D0"/>
    <w:rsid w:val="00DE2B88"/>
    <w:rsid w:val="00DE34E4"/>
    <w:rsid w:val="00DE399D"/>
    <w:rsid w:val="00DE40E6"/>
    <w:rsid w:val="00DE4717"/>
    <w:rsid w:val="00DE4774"/>
    <w:rsid w:val="00DE509A"/>
    <w:rsid w:val="00DE6C21"/>
    <w:rsid w:val="00DF072E"/>
    <w:rsid w:val="00DF0D1D"/>
    <w:rsid w:val="00DF108C"/>
    <w:rsid w:val="00DF12C8"/>
    <w:rsid w:val="00DF1344"/>
    <w:rsid w:val="00DF2369"/>
    <w:rsid w:val="00DF262E"/>
    <w:rsid w:val="00DF2881"/>
    <w:rsid w:val="00DF49F7"/>
    <w:rsid w:val="00DF4E96"/>
    <w:rsid w:val="00DF57CD"/>
    <w:rsid w:val="00DF5C14"/>
    <w:rsid w:val="00DF6713"/>
    <w:rsid w:val="00DF7093"/>
    <w:rsid w:val="00DF73DF"/>
    <w:rsid w:val="00DF7A2F"/>
    <w:rsid w:val="00E0006F"/>
    <w:rsid w:val="00E00778"/>
    <w:rsid w:val="00E01369"/>
    <w:rsid w:val="00E0140B"/>
    <w:rsid w:val="00E01693"/>
    <w:rsid w:val="00E017E1"/>
    <w:rsid w:val="00E01994"/>
    <w:rsid w:val="00E02BBD"/>
    <w:rsid w:val="00E02F93"/>
    <w:rsid w:val="00E03642"/>
    <w:rsid w:val="00E041EA"/>
    <w:rsid w:val="00E04C9F"/>
    <w:rsid w:val="00E05C70"/>
    <w:rsid w:val="00E05FA1"/>
    <w:rsid w:val="00E060AF"/>
    <w:rsid w:val="00E06B0C"/>
    <w:rsid w:val="00E074FC"/>
    <w:rsid w:val="00E10414"/>
    <w:rsid w:val="00E1161D"/>
    <w:rsid w:val="00E11E7F"/>
    <w:rsid w:val="00E133C3"/>
    <w:rsid w:val="00E141EC"/>
    <w:rsid w:val="00E1453C"/>
    <w:rsid w:val="00E146B3"/>
    <w:rsid w:val="00E153A8"/>
    <w:rsid w:val="00E15A37"/>
    <w:rsid w:val="00E15C1B"/>
    <w:rsid w:val="00E167D1"/>
    <w:rsid w:val="00E16894"/>
    <w:rsid w:val="00E17010"/>
    <w:rsid w:val="00E170DC"/>
    <w:rsid w:val="00E175CB"/>
    <w:rsid w:val="00E2013F"/>
    <w:rsid w:val="00E20A9A"/>
    <w:rsid w:val="00E20DD1"/>
    <w:rsid w:val="00E216C6"/>
    <w:rsid w:val="00E21AB3"/>
    <w:rsid w:val="00E2223C"/>
    <w:rsid w:val="00E22EDC"/>
    <w:rsid w:val="00E22F68"/>
    <w:rsid w:val="00E23469"/>
    <w:rsid w:val="00E2393E"/>
    <w:rsid w:val="00E24033"/>
    <w:rsid w:val="00E243F8"/>
    <w:rsid w:val="00E247B3"/>
    <w:rsid w:val="00E2544C"/>
    <w:rsid w:val="00E260E4"/>
    <w:rsid w:val="00E2655C"/>
    <w:rsid w:val="00E274D3"/>
    <w:rsid w:val="00E27E71"/>
    <w:rsid w:val="00E318AA"/>
    <w:rsid w:val="00E31B17"/>
    <w:rsid w:val="00E32366"/>
    <w:rsid w:val="00E328F6"/>
    <w:rsid w:val="00E33280"/>
    <w:rsid w:val="00E33E3B"/>
    <w:rsid w:val="00E33E70"/>
    <w:rsid w:val="00E34A29"/>
    <w:rsid w:val="00E34A53"/>
    <w:rsid w:val="00E34F08"/>
    <w:rsid w:val="00E35AFF"/>
    <w:rsid w:val="00E35BA4"/>
    <w:rsid w:val="00E35DE0"/>
    <w:rsid w:val="00E3746C"/>
    <w:rsid w:val="00E403FB"/>
    <w:rsid w:val="00E4085F"/>
    <w:rsid w:val="00E40BB5"/>
    <w:rsid w:val="00E414BA"/>
    <w:rsid w:val="00E41CF8"/>
    <w:rsid w:val="00E41E7B"/>
    <w:rsid w:val="00E42A37"/>
    <w:rsid w:val="00E42AB2"/>
    <w:rsid w:val="00E42CAD"/>
    <w:rsid w:val="00E4389C"/>
    <w:rsid w:val="00E43916"/>
    <w:rsid w:val="00E44626"/>
    <w:rsid w:val="00E45773"/>
    <w:rsid w:val="00E458A9"/>
    <w:rsid w:val="00E45C00"/>
    <w:rsid w:val="00E46138"/>
    <w:rsid w:val="00E4752D"/>
    <w:rsid w:val="00E4766E"/>
    <w:rsid w:val="00E47E46"/>
    <w:rsid w:val="00E500E4"/>
    <w:rsid w:val="00E501C6"/>
    <w:rsid w:val="00E504A7"/>
    <w:rsid w:val="00E512B4"/>
    <w:rsid w:val="00E5212D"/>
    <w:rsid w:val="00E52CA4"/>
    <w:rsid w:val="00E52E25"/>
    <w:rsid w:val="00E53557"/>
    <w:rsid w:val="00E53F4F"/>
    <w:rsid w:val="00E54029"/>
    <w:rsid w:val="00E541AA"/>
    <w:rsid w:val="00E544DF"/>
    <w:rsid w:val="00E54E38"/>
    <w:rsid w:val="00E55C46"/>
    <w:rsid w:val="00E55E0A"/>
    <w:rsid w:val="00E571F2"/>
    <w:rsid w:val="00E57B90"/>
    <w:rsid w:val="00E57CC1"/>
    <w:rsid w:val="00E60F92"/>
    <w:rsid w:val="00E615FF"/>
    <w:rsid w:val="00E617E4"/>
    <w:rsid w:val="00E6181D"/>
    <w:rsid w:val="00E61D4F"/>
    <w:rsid w:val="00E62240"/>
    <w:rsid w:val="00E62F51"/>
    <w:rsid w:val="00E63378"/>
    <w:rsid w:val="00E63494"/>
    <w:rsid w:val="00E63740"/>
    <w:rsid w:val="00E63C1D"/>
    <w:rsid w:val="00E64151"/>
    <w:rsid w:val="00E649BA"/>
    <w:rsid w:val="00E6503E"/>
    <w:rsid w:val="00E65454"/>
    <w:rsid w:val="00E659D3"/>
    <w:rsid w:val="00E65E46"/>
    <w:rsid w:val="00E67AFD"/>
    <w:rsid w:val="00E67B97"/>
    <w:rsid w:val="00E70926"/>
    <w:rsid w:val="00E70CCB"/>
    <w:rsid w:val="00E70EBC"/>
    <w:rsid w:val="00E71E29"/>
    <w:rsid w:val="00E727D9"/>
    <w:rsid w:val="00E72D42"/>
    <w:rsid w:val="00E73BB1"/>
    <w:rsid w:val="00E73D7B"/>
    <w:rsid w:val="00E74509"/>
    <w:rsid w:val="00E74D86"/>
    <w:rsid w:val="00E7520B"/>
    <w:rsid w:val="00E75825"/>
    <w:rsid w:val="00E77101"/>
    <w:rsid w:val="00E776BD"/>
    <w:rsid w:val="00E80BEE"/>
    <w:rsid w:val="00E80CF4"/>
    <w:rsid w:val="00E80D77"/>
    <w:rsid w:val="00E80D80"/>
    <w:rsid w:val="00E80DDB"/>
    <w:rsid w:val="00E80FE4"/>
    <w:rsid w:val="00E81445"/>
    <w:rsid w:val="00E817C8"/>
    <w:rsid w:val="00E81AFE"/>
    <w:rsid w:val="00E81B46"/>
    <w:rsid w:val="00E825A7"/>
    <w:rsid w:val="00E83EAC"/>
    <w:rsid w:val="00E83FB2"/>
    <w:rsid w:val="00E840E4"/>
    <w:rsid w:val="00E857C0"/>
    <w:rsid w:val="00E8651B"/>
    <w:rsid w:val="00E86A51"/>
    <w:rsid w:val="00E8766B"/>
    <w:rsid w:val="00E87A76"/>
    <w:rsid w:val="00E907E4"/>
    <w:rsid w:val="00E90918"/>
    <w:rsid w:val="00E90F31"/>
    <w:rsid w:val="00E924E8"/>
    <w:rsid w:val="00E93733"/>
    <w:rsid w:val="00E95567"/>
    <w:rsid w:val="00E957B8"/>
    <w:rsid w:val="00E9626B"/>
    <w:rsid w:val="00E963BC"/>
    <w:rsid w:val="00E96580"/>
    <w:rsid w:val="00E96939"/>
    <w:rsid w:val="00E96F95"/>
    <w:rsid w:val="00E9769A"/>
    <w:rsid w:val="00E978CC"/>
    <w:rsid w:val="00E97BD6"/>
    <w:rsid w:val="00EA0439"/>
    <w:rsid w:val="00EA0D21"/>
    <w:rsid w:val="00EA0E8E"/>
    <w:rsid w:val="00EA10AE"/>
    <w:rsid w:val="00EA2C16"/>
    <w:rsid w:val="00EA33D2"/>
    <w:rsid w:val="00EA444A"/>
    <w:rsid w:val="00EA452F"/>
    <w:rsid w:val="00EA4C82"/>
    <w:rsid w:val="00EA509C"/>
    <w:rsid w:val="00EA5175"/>
    <w:rsid w:val="00EA5EE0"/>
    <w:rsid w:val="00EA6036"/>
    <w:rsid w:val="00EA6814"/>
    <w:rsid w:val="00EA6ABB"/>
    <w:rsid w:val="00EA7B39"/>
    <w:rsid w:val="00EB01F4"/>
    <w:rsid w:val="00EB0F9D"/>
    <w:rsid w:val="00EB1930"/>
    <w:rsid w:val="00EB237C"/>
    <w:rsid w:val="00EB2488"/>
    <w:rsid w:val="00EB2606"/>
    <w:rsid w:val="00EB34E6"/>
    <w:rsid w:val="00EB4005"/>
    <w:rsid w:val="00EB40D8"/>
    <w:rsid w:val="00EB4825"/>
    <w:rsid w:val="00EB4A27"/>
    <w:rsid w:val="00EB4D0E"/>
    <w:rsid w:val="00EB569C"/>
    <w:rsid w:val="00EB68C8"/>
    <w:rsid w:val="00EB6E5B"/>
    <w:rsid w:val="00EB71CE"/>
    <w:rsid w:val="00EB7851"/>
    <w:rsid w:val="00EC020E"/>
    <w:rsid w:val="00EC0416"/>
    <w:rsid w:val="00EC0798"/>
    <w:rsid w:val="00EC08E0"/>
    <w:rsid w:val="00EC1830"/>
    <w:rsid w:val="00EC1D03"/>
    <w:rsid w:val="00EC2479"/>
    <w:rsid w:val="00EC24B6"/>
    <w:rsid w:val="00EC2626"/>
    <w:rsid w:val="00EC2C1A"/>
    <w:rsid w:val="00EC362A"/>
    <w:rsid w:val="00EC40F4"/>
    <w:rsid w:val="00EC4D68"/>
    <w:rsid w:val="00EC4EA7"/>
    <w:rsid w:val="00EC50A3"/>
    <w:rsid w:val="00EC5F5A"/>
    <w:rsid w:val="00EC62C2"/>
    <w:rsid w:val="00EC6CFB"/>
    <w:rsid w:val="00EC79AF"/>
    <w:rsid w:val="00EC79BA"/>
    <w:rsid w:val="00EC7AF5"/>
    <w:rsid w:val="00EC7D63"/>
    <w:rsid w:val="00EC7DEE"/>
    <w:rsid w:val="00ED17FC"/>
    <w:rsid w:val="00ED4171"/>
    <w:rsid w:val="00ED4394"/>
    <w:rsid w:val="00ED442A"/>
    <w:rsid w:val="00ED4AB3"/>
    <w:rsid w:val="00ED4BC4"/>
    <w:rsid w:val="00ED5122"/>
    <w:rsid w:val="00ED5229"/>
    <w:rsid w:val="00ED562A"/>
    <w:rsid w:val="00ED589C"/>
    <w:rsid w:val="00ED5965"/>
    <w:rsid w:val="00ED5CF1"/>
    <w:rsid w:val="00ED7D94"/>
    <w:rsid w:val="00ED7E75"/>
    <w:rsid w:val="00EE0DFA"/>
    <w:rsid w:val="00EE0E5E"/>
    <w:rsid w:val="00EE10AF"/>
    <w:rsid w:val="00EE2429"/>
    <w:rsid w:val="00EE2571"/>
    <w:rsid w:val="00EE268B"/>
    <w:rsid w:val="00EE27B3"/>
    <w:rsid w:val="00EE2BA0"/>
    <w:rsid w:val="00EE2CBE"/>
    <w:rsid w:val="00EE3186"/>
    <w:rsid w:val="00EE361D"/>
    <w:rsid w:val="00EE479A"/>
    <w:rsid w:val="00EE48D8"/>
    <w:rsid w:val="00EE4A6A"/>
    <w:rsid w:val="00EE4ACE"/>
    <w:rsid w:val="00EE4D7E"/>
    <w:rsid w:val="00EE4F85"/>
    <w:rsid w:val="00EE4FF6"/>
    <w:rsid w:val="00EE5CAE"/>
    <w:rsid w:val="00EE5E22"/>
    <w:rsid w:val="00EE692E"/>
    <w:rsid w:val="00EE7ABA"/>
    <w:rsid w:val="00EE7B1C"/>
    <w:rsid w:val="00EF0797"/>
    <w:rsid w:val="00EF093D"/>
    <w:rsid w:val="00EF24D3"/>
    <w:rsid w:val="00EF2587"/>
    <w:rsid w:val="00EF3113"/>
    <w:rsid w:val="00EF3655"/>
    <w:rsid w:val="00EF3785"/>
    <w:rsid w:val="00EF42D3"/>
    <w:rsid w:val="00EF5DFD"/>
    <w:rsid w:val="00EF5F56"/>
    <w:rsid w:val="00EF6C8A"/>
    <w:rsid w:val="00EF75C1"/>
    <w:rsid w:val="00EF796D"/>
    <w:rsid w:val="00EF7EF9"/>
    <w:rsid w:val="00F0223A"/>
    <w:rsid w:val="00F0298A"/>
    <w:rsid w:val="00F03860"/>
    <w:rsid w:val="00F03A16"/>
    <w:rsid w:val="00F03B88"/>
    <w:rsid w:val="00F03E6F"/>
    <w:rsid w:val="00F04DC2"/>
    <w:rsid w:val="00F04FFD"/>
    <w:rsid w:val="00F05102"/>
    <w:rsid w:val="00F052FB"/>
    <w:rsid w:val="00F054F3"/>
    <w:rsid w:val="00F05FF2"/>
    <w:rsid w:val="00F065F2"/>
    <w:rsid w:val="00F06875"/>
    <w:rsid w:val="00F06936"/>
    <w:rsid w:val="00F073BA"/>
    <w:rsid w:val="00F07942"/>
    <w:rsid w:val="00F10190"/>
    <w:rsid w:val="00F107D4"/>
    <w:rsid w:val="00F107E6"/>
    <w:rsid w:val="00F10D45"/>
    <w:rsid w:val="00F11F5B"/>
    <w:rsid w:val="00F11FFC"/>
    <w:rsid w:val="00F120C8"/>
    <w:rsid w:val="00F12C57"/>
    <w:rsid w:val="00F13710"/>
    <w:rsid w:val="00F13AC4"/>
    <w:rsid w:val="00F13C12"/>
    <w:rsid w:val="00F146D7"/>
    <w:rsid w:val="00F15E44"/>
    <w:rsid w:val="00F15E87"/>
    <w:rsid w:val="00F16581"/>
    <w:rsid w:val="00F166CA"/>
    <w:rsid w:val="00F173A5"/>
    <w:rsid w:val="00F17987"/>
    <w:rsid w:val="00F2011B"/>
    <w:rsid w:val="00F202CB"/>
    <w:rsid w:val="00F20BF8"/>
    <w:rsid w:val="00F214D6"/>
    <w:rsid w:val="00F218AE"/>
    <w:rsid w:val="00F21C89"/>
    <w:rsid w:val="00F220E2"/>
    <w:rsid w:val="00F234A1"/>
    <w:rsid w:val="00F23A9A"/>
    <w:rsid w:val="00F24C6C"/>
    <w:rsid w:val="00F252A7"/>
    <w:rsid w:val="00F25A47"/>
    <w:rsid w:val="00F25AA2"/>
    <w:rsid w:val="00F26C44"/>
    <w:rsid w:val="00F30497"/>
    <w:rsid w:val="00F306B2"/>
    <w:rsid w:val="00F30F11"/>
    <w:rsid w:val="00F316E8"/>
    <w:rsid w:val="00F321A8"/>
    <w:rsid w:val="00F32633"/>
    <w:rsid w:val="00F326FC"/>
    <w:rsid w:val="00F32CF6"/>
    <w:rsid w:val="00F33AD5"/>
    <w:rsid w:val="00F33F14"/>
    <w:rsid w:val="00F3417B"/>
    <w:rsid w:val="00F34282"/>
    <w:rsid w:val="00F349E8"/>
    <w:rsid w:val="00F355E0"/>
    <w:rsid w:val="00F355F0"/>
    <w:rsid w:val="00F35856"/>
    <w:rsid w:val="00F364AA"/>
    <w:rsid w:val="00F364E2"/>
    <w:rsid w:val="00F37CD8"/>
    <w:rsid w:val="00F40001"/>
    <w:rsid w:val="00F40B8D"/>
    <w:rsid w:val="00F40F40"/>
    <w:rsid w:val="00F40FA0"/>
    <w:rsid w:val="00F41544"/>
    <w:rsid w:val="00F42D07"/>
    <w:rsid w:val="00F42E19"/>
    <w:rsid w:val="00F43AA2"/>
    <w:rsid w:val="00F44269"/>
    <w:rsid w:val="00F4429E"/>
    <w:rsid w:val="00F4558F"/>
    <w:rsid w:val="00F45943"/>
    <w:rsid w:val="00F45A85"/>
    <w:rsid w:val="00F4686B"/>
    <w:rsid w:val="00F46CB4"/>
    <w:rsid w:val="00F47CDB"/>
    <w:rsid w:val="00F502A7"/>
    <w:rsid w:val="00F504EA"/>
    <w:rsid w:val="00F506AB"/>
    <w:rsid w:val="00F50B66"/>
    <w:rsid w:val="00F50F18"/>
    <w:rsid w:val="00F5204C"/>
    <w:rsid w:val="00F523F5"/>
    <w:rsid w:val="00F52E36"/>
    <w:rsid w:val="00F5335D"/>
    <w:rsid w:val="00F535FB"/>
    <w:rsid w:val="00F5417F"/>
    <w:rsid w:val="00F54F12"/>
    <w:rsid w:val="00F550AB"/>
    <w:rsid w:val="00F55928"/>
    <w:rsid w:val="00F55935"/>
    <w:rsid w:val="00F5642D"/>
    <w:rsid w:val="00F56759"/>
    <w:rsid w:val="00F5779A"/>
    <w:rsid w:val="00F57D39"/>
    <w:rsid w:val="00F60296"/>
    <w:rsid w:val="00F60769"/>
    <w:rsid w:val="00F60A47"/>
    <w:rsid w:val="00F6104D"/>
    <w:rsid w:val="00F610E5"/>
    <w:rsid w:val="00F615C0"/>
    <w:rsid w:val="00F61C1E"/>
    <w:rsid w:val="00F6258C"/>
    <w:rsid w:val="00F62D9A"/>
    <w:rsid w:val="00F636C9"/>
    <w:rsid w:val="00F63C87"/>
    <w:rsid w:val="00F65156"/>
    <w:rsid w:val="00F65A8C"/>
    <w:rsid w:val="00F6619D"/>
    <w:rsid w:val="00F66643"/>
    <w:rsid w:val="00F668E0"/>
    <w:rsid w:val="00F670C7"/>
    <w:rsid w:val="00F671EB"/>
    <w:rsid w:val="00F70591"/>
    <w:rsid w:val="00F70DB9"/>
    <w:rsid w:val="00F71DF3"/>
    <w:rsid w:val="00F72A85"/>
    <w:rsid w:val="00F7322A"/>
    <w:rsid w:val="00F732B1"/>
    <w:rsid w:val="00F73413"/>
    <w:rsid w:val="00F735B8"/>
    <w:rsid w:val="00F737A5"/>
    <w:rsid w:val="00F73A37"/>
    <w:rsid w:val="00F74720"/>
    <w:rsid w:val="00F75FC7"/>
    <w:rsid w:val="00F76386"/>
    <w:rsid w:val="00F7722C"/>
    <w:rsid w:val="00F77CD4"/>
    <w:rsid w:val="00F802FE"/>
    <w:rsid w:val="00F81258"/>
    <w:rsid w:val="00F8168E"/>
    <w:rsid w:val="00F81905"/>
    <w:rsid w:val="00F81ACE"/>
    <w:rsid w:val="00F81B16"/>
    <w:rsid w:val="00F81D91"/>
    <w:rsid w:val="00F8266C"/>
    <w:rsid w:val="00F82B91"/>
    <w:rsid w:val="00F82E23"/>
    <w:rsid w:val="00F82FC1"/>
    <w:rsid w:val="00F838F9"/>
    <w:rsid w:val="00F83B8B"/>
    <w:rsid w:val="00F845ED"/>
    <w:rsid w:val="00F85751"/>
    <w:rsid w:val="00F86818"/>
    <w:rsid w:val="00F872BA"/>
    <w:rsid w:val="00F87700"/>
    <w:rsid w:val="00F92721"/>
    <w:rsid w:val="00F92909"/>
    <w:rsid w:val="00F92B40"/>
    <w:rsid w:val="00F92F2B"/>
    <w:rsid w:val="00F93603"/>
    <w:rsid w:val="00F93AF1"/>
    <w:rsid w:val="00F93ED7"/>
    <w:rsid w:val="00F94929"/>
    <w:rsid w:val="00F9597D"/>
    <w:rsid w:val="00F95AA2"/>
    <w:rsid w:val="00F961AD"/>
    <w:rsid w:val="00F96990"/>
    <w:rsid w:val="00F96AC5"/>
    <w:rsid w:val="00F973A6"/>
    <w:rsid w:val="00F97528"/>
    <w:rsid w:val="00F97745"/>
    <w:rsid w:val="00FA009C"/>
    <w:rsid w:val="00FA07C5"/>
    <w:rsid w:val="00FA2C50"/>
    <w:rsid w:val="00FA2CEA"/>
    <w:rsid w:val="00FA2DB7"/>
    <w:rsid w:val="00FA4AEC"/>
    <w:rsid w:val="00FA4CCF"/>
    <w:rsid w:val="00FA5603"/>
    <w:rsid w:val="00FA59B0"/>
    <w:rsid w:val="00FA5F79"/>
    <w:rsid w:val="00FA6260"/>
    <w:rsid w:val="00FA73A0"/>
    <w:rsid w:val="00FA747F"/>
    <w:rsid w:val="00FA77AE"/>
    <w:rsid w:val="00FA7EB1"/>
    <w:rsid w:val="00FB0468"/>
    <w:rsid w:val="00FB11DA"/>
    <w:rsid w:val="00FB1749"/>
    <w:rsid w:val="00FB2F3B"/>
    <w:rsid w:val="00FB3310"/>
    <w:rsid w:val="00FB3752"/>
    <w:rsid w:val="00FB501E"/>
    <w:rsid w:val="00FB528F"/>
    <w:rsid w:val="00FB5295"/>
    <w:rsid w:val="00FB6E3F"/>
    <w:rsid w:val="00FC0026"/>
    <w:rsid w:val="00FC22AC"/>
    <w:rsid w:val="00FC2C1D"/>
    <w:rsid w:val="00FC2F8F"/>
    <w:rsid w:val="00FC3367"/>
    <w:rsid w:val="00FC34B2"/>
    <w:rsid w:val="00FC442D"/>
    <w:rsid w:val="00FC4EBB"/>
    <w:rsid w:val="00FC5243"/>
    <w:rsid w:val="00FC55D6"/>
    <w:rsid w:val="00FC58EF"/>
    <w:rsid w:val="00FC5975"/>
    <w:rsid w:val="00FC6281"/>
    <w:rsid w:val="00FC6799"/>
    <w:rsid w:val="00FC6B2C"/>
    <w:rsid w:val="00FC6B70"/>
    <w:rsid w:val="00FC7269"/>
    <w:rsid w:val="00FC73F6"/>
    <w:rsid w:val="00FC75FE"/>
    <w:rsid w:val="00FD02BB"/>
    <w:rsid w:val="00FD38CA"/>
    <w:rsid w:val="00FD4E0E"/>
    <w:rsid w:val="00FD4E3D"/>
    <w:rsid w:val="00FD5793"/>
    <w:rsid w:val="00FD5B33"/>
    <w:rsid w:val="00FD5F71"/>
    <w:rsid w:val="00FD6ACB"/>
    <w:rsid w:val="00FD76E2"/>
    <w:rsid w:val="00FE00A7"/>
    <w:rsid w:val="00FE07A0"/>
    <w:rsid w:val="00FE100F"/>
    <w:rsid w:val="00FE1FAC"/>
    <w:rsid w:val="00FE2227"/>
    <w:rsid w:val="00FE2239"/>
    <w:rsid w:val="00FE2FD1"/>
    <w:rsid w:val="00FE34BC"/>
    <w:rsid w:val="00FE37CD"/>
    <w:rsid w:val="00FE3F36"/>
    <w:rsid w:val="00FE4114"/>
    <w:rsid w:val="00FE42A8"/>
    <w:rsid w:val="00FE461E"/>
    <w:rsid w:val="00FE6635"/>
    <w:rsid w:val="00FE702F"/>
    <w:rsid w:val="00FE79F9"/>
    <w:rsid w:val="00FF0420"/>
    <w:rsid w:val="00FF07C7"/>
    <w:rsid w:val="00FF219D"/>
    <w:rsid w:val="00FF2812"/>
    <w:rsid w:val="00FF2BCA"/>
    <w:rsid w:val="00FF346B"/>
    <w:rsid w:val="00FF34CB"/>
    <w:rsid w:val="00FF3B31"/>
    <w:rsid w:val="00FF488F"/>
    <w:rsid w:val="00FF4991"/>
    <w:rsid w:val="00FF52F3"/>
    <w:rsid w:val="00FF5531"/>
    <w:rsid w:val="00FF5C0F"/>
    <w:rsid w:val="00FF650F"/>
    <w:rsid w:val="00FF6774"/>
    <w:rsid w:val="00FF7131"/>
    <w:rsid w:val="00FF72AA"/>
    <w:rsid w:val="00FF7980"/>
    <w:rsid w:val="00FF7D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A9ADCD7"/>
  <w15:chartTrackingRefBased/>
  <w15:docId w15:val="{E36DFEFC-0099-4BA3-BB68-4A982EBCE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1F64"/>
    <w:rPr>
      <w:noProof/>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2ED2"/>
    <w:pPr>
      <w:ind w:left="720"/>
      <w:contextualSpacing/>
    </w:pPr>
  </w:style>
  <w:style w:type="table" w:styleId="TableGrid">
    <w:name w:val="Table Grid"/>
    <w:basedOn w:val="TableNormal"/>
    <w:uiPriority w:val="39"/>
    <w:rsid w:val="0023770A"/>
    <w:pPr>
      <w:spacing w:after="0" w:line="240" w:lineRule="auto"/>
    </w:pPr>
    <w:rPr>
      <w:sz w:val="16"/>
      <w:szCs w:val="16"/>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6104D"/>
    <w:rPr>
      <w:sz w:val="16"/>
      <w:szCs w:val="16"/>
    </w:rPr>
  </w:style>
  <w:style w:type="paragraph" w:styleId="CommentText">
    <w:name w:val="annotation text"/>
    <w:basedOn w:val="Normal"/>
    <w:link w:val="CommentTextChar"/>
    <w:uiPriority w:val="99"/>
    <w:unhideWhenUsed/>
    <w:rsid w:val="00F6104D"/>
    <w:pPr>
      <w:spacing w:line="240" w:lineRule="auto"/>
    </w:pPr>
    <w:rPr>
      <w:sz w:val="20"/>
      <w:szCs w:val="20"/>
    </w:rPr>
  </w:style>
  <w:style w:type="character" w:customStyle="1" w:styleId="CommentTextChar">
    <w:name w:val="Comment Text Char"/>
    <w:basedOn w:val="DefaultParagraphFont"/>
    <w:link w:val="CommentText"/>
    <w:uiPriority w:val="99"/>
    <w:rsid w:val="00F6104D"/>
    <w:rPr>
      <w:noProof/>
      <w:sz w:val="20"/>
      <w:szCs w:val="20"/>
    </w:rPr>
  </w:style>
  <w:style w:type="paragraph" w:styleId="CommentSubject">
    <w:name w:val="annotation subject"/>
    <w:basedOn w:val="CommentText"/>
    <w:next w:val="CommentText"/>
    <w:link w:val="CommentSubjectChar"/>
    <w:uiPriority w:val="99"/>
    <w:semiHidden/>
    <w:unhideWhenUsed/>
    <w:rsid w:val="00F6104D"/>
    <w:rPr>
      <w:b/>
      <w:bCs/>
    </w:rPr>
  </w:style>
  <w:style w:type="character" w:customStyle="1" w:styleId="CommentSubjectChar">
    <w:name w:val="Comment Subject Char"/>
    <w:basedOn w:val="CommentTextChar"/>
    <w:link w:val="CommentSubject"/>
    <w:uiPriority w:val="99"/>
    <w:semiHidden/>
    <w:rsid w:val="00F6104D"/>
    <w:rPr>
      <w:b/>
      <w:bCs/>
      <w:noProof/>
      <w:sz w:val="20"/>
      <w:szCs w:val="20"/>
    </w:rPr>
  </w:style>
  <w:style w:type="paragraph" w:styleId="Header">
    <w:name w:val="header"/>
    <w:basedOn w:val="Normal"/>
    <w:link w:val="HeaderChar"/>
    <w:uiPriority w:val="99"/>
    <w:unhideWhenUsed/>
    <w:rsid w:val="00EE4F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4FF6"/>
    <w:rPr>
      <w:noProof/>
      <w:sz w:val="16"/>
      <w:szCs w:val="16"/>
    </w:rPr>
  </w:style>
  <w:style w:type="paragraph" w:styleId="Footer">
    <w:name w:val="footer"/>
    <w:basedOn w:val="Normal"/>
    <w:link w:val="FooterChar"/>
    <w:uiPriority w:val="99"/>
    <w:unhideWhenUsed/>
    <w:rsid w:val="00EE4F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4FF6"/>
    <w:rPr>
      <w:noProof/>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13" Type="http://schemas.openxmlformats.org/officeDocument/2006/relationships/image" Target="media/image5.ti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ti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tif"/><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tif"/><Relationship Id="rId14" Type="http://schemas.openxmlformats.org/officeDocument/2006/relationships/image" Target="media/image6.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7231A9-A5BE-4E1F-868A-D9F1E8AA3D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35</Pages>
  <Words>18326</Words>
  <Characters>104463</Characters>
  <Application>Microsoft Office Word</Application>
  <DocSecurity>0</DocSecurity>
  <Lines>870</Lines>
  <Paragraphs>245</Paragraphs>
  <ScaleCrop>false</ScaleCrop>
  <Company/>
  <LinksUpToDate>false</LinksUpToDate>
  <CharactersWithSpaces>122544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Ishizuka, Koji</dc:creator>
  <cp:lastModifiedBy>Ishizuka, Koji</cp:lastModifiedBy>
  <cp:revision>19</cp:revision>
  <dcterms:created xsi:type="dcterms:W3CDTF">2024-04-03T08:08:00Z</dcterms:created>
  <dcterms:modified xsi:type="dcterms:W3CDTF">2024-08-08T21:52:00Z</dcterms:modified>
</cp:coreProperties>
</file>