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5C7794" w14:textId="77777777" w:rsidR="00CE07D6" w:rsidRDefault="00CE07D6" w:rsidP="00CE07D6">
      <w:pPr>
        <w:pStyle w:val="SNSynopsisTOC"/>
        <w:spacing w:after="240" w:line="240" w:lineRule="auto"/>
        <w:rPr>
          <w:rFonts w:ascii="Times New Roman" w:hAnsi="Times New Roman"/>
          <w:b/>
          <w:bCs/>
        </w:rPr>
      </w:pPr>
      <w:r>
        <w:rPr>
          <w:rFonts w:ascii="Times New Roman" w:hAnsi="Times New Roman"/>
          <w:b/>
          <w:bCs/>
        </w:rPr>
        <w:t>Extended data</w:t>
      </w:r>
    </w:p>
    <w:p w14:paraId="386439EA" w14:textId="77777777" w:rsidR="00CE07D6" w:rsidRPr="00597EE2" w:rsidRDefault="00CE07D6" w:rsidP="00CE07D6">
      <w:pPr>
        <w:pStyle w:val="SNSynopsisTOC"/>
        <w:spacing w:after="240" w:line="240" w:lineRule="auto"/>
        <w:rPr>
          <w:rFonts w:ascii="Times New Roman" w:hAnsi="Times New Roman"/>
        </w:rPr>
      </w:pPr>
      <w:r>
        <w:rPr>
          <w:rFonts w:ascii="Times New Roman" w:hAnsi="Times New Roman"/>
        </w:rPr>
        <w:t>Extended Data Figs. 1 to 9</w:t>
      </w:r>
    </w:p>
    <w:p w14:paraId="780E94FB" w14:textId="77777777" w:rsidR="00CE07D6" w:rsidRPr="00082141" w:rsidRDefault="00CE07D6" w:rsidP="00CE07D6">
      <w:pPr>
        <w:spacing w:after="0"/>
        <w:jc w:val="left"/>
        <w:rPr>
          <w:rFonts w:ascii="Times New Roman" w:hAnsi="Times New Roman"/>
          <w:szCs w:val="24"/>
        </w:rPr>
      </w:pPr>
      <w:r w:rsidRPr="00082141">
        <w:rPr>
          <w:rFonts w:ascii="Times New Roman" w:hAnsi="Times New Roman"/>
          <w:noProof/>
          <w:szCs w:val="24"/>
        </w:rPr>
        <w:drawing>
          <wp:inline distT="0" distB="0" distL="0" distR="0" wp14:anchorId="3C4021BF" wp14:editId="035B7482">
            <wp:extent cx="5943600" cy="3281788"/>
            <wp:effectExtent l="0" t="0" r="0" b="0"/>
            <wp:docPr id="21315638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563824" name="Picture 1"/>
                    <pic:cNvPicPr/>
                  </pic:nvPicPr>
                  <pic:blipFill rotWithShape="1">
                    <a:blip r:embed="rId4"/>
                    <a:srcRect l="6817" r="8666"/>
                    <a:stretch/>
                  </pic:blipFill>
                  <pic:spPr bwMode="auto">
                    <a:xfrm>
                      <a:off x="0" y="0"/>
                      <a:ext cx="5943600" cy="3281788"/>
                    </a:xfrm>
                    <a:prstGeom prst="rect">
                      <a:avLst/>
                    </a:prstGeom>
                    <a:ln>
                      <a:noFill/>
                    </a:ln>
                    <a:extLst>
                      <a:ext uri="{53640926-AAD7-44D8-BBD7-CCE9431645EC}">
                        <a14:shadowObscured xmlns:a14="http://schemas.microsoft.com/office/drawing/2010/main"/>
                      </a:ext>
                    </a:extLst>
                  </pic:spPr>
                </pic:pic>
              </a:graphicData>
            </a:graphic>
          </wp:inline>
        </w:drawing>
      </w:r>
    </w:p>
    <w:p w14:paraId="62764C41" w14:textId="77777777" w:rsidR="00CE07D6" w:rsidRDefault="00CE07D6" w:rsidP="00CE07D6">
      <w:pPr>
        <w:rPr>
          <w:rFonts w:ascii="Times New Roman" w:hAnsi="Times New Roman"/>
          <w:szCs w:val="24"/>
        </w:rPr>
      </w:pPr>
      <w:r>
        <w:rPr>
          <w:rFonts w:ascii="Times New Roman" w:hAnsi="Times New Roman"/>
          <w:b/>
          <w:bCs/>
          <w:szCs w:val="24"/>
        </w:rPr>
        <w:t>Extended Data</w:t>
      </w:r>
      <w:r w:rsidRPr="00082141">
        <w:rPr>
          <w:rFonts w:ascii="Times New Roman" w:hAnsi="Times New Roman"/>
          <w:b/>
          <w:bCs/>
          <w:szCs w:val="24"/>
        </w:rPr>
        <w:t xml:space="preserve"> </w:t>
      </w:r>
      <w:r>
        <w:rPr>
          <w:rFonts w:ascii="Times New Roman" w:hAnsi="Times New Roman"/>
          <w:b/>
          <w:bCs/>
          <w:szCs w:val="24"/>
        </w:rPr>
        <w:t>Fig 1</w:t>
      </w:r>
      <w:r w:rsidRPr="00082141">
        <w:rPr>
          <w:rFonts w:ascii="Times New Roman" w:hAnsi="Times New Roman"/>
          <w:b/>
          <w:bCs/>
          <w:szCs w:val="24"/>
        </w:rPr>
        <w:t>.</w:t>
      </w:r>
      <w:r w:rsidRPr="00082141">
        <w:rPr>
          <w:rFonts w:ascii="Times New Roman" w:hAnsi="Times New Roman"/>
          <w:szCs w:val="24"/>
        </w:rPr>
        <w:t xml:space="preserve"> </w:t>
      </w:r>
      <w:r w:rsidRPr="00597EE2">
        <w:rPr>
          <w:rFonts w:ascii="Times New Roman" w:hAnsi="Times New Roman"/>
          <w:b/>
          <w:bCs/>
          <w:szCs w:val="24"/>
        </w:rPr>
        <w:t xml:space="preserve">Precision recall and receiver operating characteristic curves. </w:t>
      </w:r>
      <w:r w:rsidRPr="00082141">
        <w:rPr>
          <w:rFonts w:ascii="Times New Roman" w:hAnsi="Times New Roman"/>
          <w:szCs w:val="24"/>
        </w:rPr>
        <w:t>Precision recall (left) and receiver operating characteristic (right) curves of an ANN classifier based on modified RAC features predicting the probability of low F</w:t>
      </w:r>
      <w:r w:rsidRPr="00082141">
        <w:rPr>
          <w:rFonts w:ascii="Times New Roman" w:hAnsi="Times New Roman"/>
          <w:szCs w:val="24"/>
          <w:vertAlign w:val="subscript"/>
        </w:rPr>
        <w:t>max</w:t>
      </w:r>
      <w:r w:rsidRPr="00082141">
        <w:rPr>
          <w:rFonts w:ascii="Times New Roman" w:hAnsi="Times New Roman"/>
          <w:szCs w:val="24"/>
        </w:rPr>
        <w:t xml:space="preserve"> with the data obtained from the initial random screen. The training set curve is shown in red and the test set curve is shown in blue. Areas under the curve are shown in the legend.</w:t>
      </w:r>
    </w:p>
    <w:p w14:paraId="6F58492E" w14:textId="77777777" w:rsidR="00CE07D6" w:rsidRPr="00082141" w:rsidRDefault="00CE07D6" w:rsidP="00CE07D6">
      <w:pPr>
        <w:rPr>
          <w:rFonts w:ascii="Times New Roman" w:hAnsi="Times New Roman"/>
          <w:szCs w:val="24"/>
        </w:rPr>
      </w:pPr>
    </w:p>
    <w:p w14:paraId="28FC554F" w14:textId="77777777" w:rsidR="00CE07D6" w:rsidRPr="00082141" w:rsidRDefault="00CE07D6" w:rsidP="00CE07D6">
      <w:pPr>
        <w:spacing w:after="0"/>
        <w:jc w:val="left"/>
        <w:rPr>
          <w:rFonts w:ascii="Times New Roman" w:hAnsi="Times New Roman"/>
          <w:szCs w:val="24"/>
        </w:rPr>
      </w:pPr>
      <w:r w:rsidRPr="00082141">
        <w:rPr>
          <w:rFonts w:ascii="Times New Roman" w:hAnsi="Times New Roman"/>
          <w:noProof/>
          <w:szCs w:val="24"/>
        </w:rPr>
        <w:drawing>
          <wp:inline distT="0" distB="0" distL="0" distR="0" wp14:anchorId="669143B7" wp14:editId="0B61FD42">
            <wp:extent cx="5943600" cy="2279650"/>
            <wp:effectExtent l="0" t="0" r="0" b="6350"/>
            <wp:docPr id="651700582" name="Picture 1" descr="A graph of energy and ketam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440110" name="Picture 1" descr="A graph of energy and ketamol&#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279650"/>
                    </a:xfrm>
                    <a:prstGeom prst="rect">
                      <a:avLst/>
                    </a:prstGeom>
                  </pic:spPr>
                </pic:pic>
              </a:graphicData>
            </a:graphic>
          </wp:inline>
        </w:drawing>
      </w:r>
    </w:p>
    <w:p w14:paraId="73618B3E" w14:textId="77777777" w:rsidR="00CE07D6" w:rsidRDefault="00CE07D6" w:rsidP="00CE07D6">
      <w:pPr>
        <w:rPr>
          <w:rFonts w:ascii="Times New Roman" w:hAnsi="Times New Roman"/>
          <w:szCs w:val="24"/>
        </w:rPr>
      </w:pPr>
      <w:r>
        <w:rPr>
          <w:rFonts w:ascii="Times New Roman" w:hAnsi="Times New Roman"/>
          <w:b/>
          <w:bCs/>
          <w:szCs w:val="24"/>
        </w:rPr>
        <w:t xml:space="preserve">Extended Data </w:t>
      </w:r>
      <w:r w:rsidRPr="00082141">
        <w:rPr>
          <w:rFonts w:ascii="Times New Roman" w:hAnsi="Times New Roman"/>
          <w:b/>
          <w:bCs/>
          <w:szCs w:val="24"/>
        </w:rPr>
        <w:t xml:space="preserve">Fig </w:t>
      </w:r>
      <w:r>
        <w:rPr>
          <w:rFonts w:ascii="Times New Roman" w:hAnsi="Times New Roman"/>
          <w:b/>
          <w:bCs/>
          <w:szCs w:val="24"/>
        </w:rPr>
        <w:t>2</w:t>
      </w:r>
      <w:r w:rsidRPr="00082141">
        <w:rPr>
          <w:rFonts w:ascii="Times New Roman" w:hAnsi="Times New Roman"/>
          <w:b/>
          <w:bCs/>
          <w:szCs w:val="24"/>
        </w:rPr>
        <w:t>.</w:t>
      </w:r>
      <w:r w:rsidRPr="00597EE2">
        <w:rPr>
          <w:rFonts w:ascii="Times New Roman" w:hAnsi="Times New Roman"/>
          <w:b/>
          <w:bCs/>
          <w:szCs w:val="24"/>
        </w:rPr>
        <w:t xml:space="preserve"> CoGEF simulations of scissile ferrocenes.</w:t>
      </w:r>
      <w:r>
        <w:rPr>
          <w:rFonts w:ascii="Times New Roman" w:hAnsi="Times New Roman"/>
          <w:szCs w:val="24"/>
        </w:rPr>
        <w:t xml:space="preserve"> </w:t>
      </w:r>
      <w:r w:rsidRPr="00082141">
        <w:rPr>
          <w:rFonts w:ascii="Times New Roman" w:hAnsi="Times New Roman"/>
          <w:szCs w:val="24"/>
        </w:rPr>
        <w:t xml:space="preserve">CoGEF simulation plots of ORIMEJ (left) and NAGBEE (right) complexes. Both complexes are scissile ferrocenes with no covalent crosslinks between two Cp ligands. Each complex features a favorable non-covalent </w:t>
      </w:r>
      <w:r w:rsidRPr="00082141">
        <w:rPr>
          <w:rFonts w:ascii="Times New Roman" w:hAnsi="Times New Roman"/>
          <w:szCs w:val="24"/>
        </w:rPr>
        <w:lastRenderedPageBreak/>
        <w:t xml:space="preserve">interaction between two Cp ligands, with hydrogen bonding present in ORIMEJ and extended </w:t>
      </w:r>
      <w:r w:rsidRPr="00082141">
        <w:rPr>
          <w:rFonts w:ascii="Cambria Math" w:hAnsi="Cambria Math" w:cs="Cambria Math"/>
          <w:szCs w:val="24"/>
        </w:rPr>
        <w:t>𝜋</w:t>
      </w:r>
      <w:r w:rsidRPr="00082141">
        <w:rPr>
          <w:rFonts w:ascii="Times New Roman" w:hAnsi="Times New Roman"/>
          <w:szCs w:val="24"/>
        </w:rPr>
        <w:t>-stacking interaction present in NAGBEE. Both structures undergo a peeling ligand dissociation mechanism that doesn’t involve Cp ring rotation. The displacement distance at F</w:t>
      </w:r>
      <w:r w:rsidRPr="00082141">
        <w:rPr>
          <w:rFonts w:ascii="Times New Roman" w:hAnsi="Times New Roman"/>
          <w:szCs w:val="24"/>
          <w:vertAlign w:val="subscript"/>
        </w:rPr>
        <w:t>max</w:t>
      </w:r>
      <w:r w:rsidRPr="00082141">
        <w:rPr>
          <w:rFonts w:ascii="Times New Roman" w:hAnsi="Times New Roman"/>
          <w:szCs w:val="24"/>
        </w:rPr>
        <w:t xml:space="preserve"> is shown by a light green line. Several structures are shown as insets, including initial structures, structures associated with F</w:t>
      </w:r>
      <w:r w:rsidRPr="00082141">
        <w:rPr>
          <w:rFonts w:ascii="Times New Roman" w:hAnsi="Times New Roman"/>
          <w:szCs w:val="24"/>
          <w:vertAlign w:val="subscript"/>
        </w:rPr>
        <w:t>max</w:t>
      </w:r>
      <w:r w:rsidRPr="00082141">
        <w:rPr>
          <w:rFonts w:ascii="Times New Roman" w:hAnsi="Times New Roman"/>
          <w:szCs w:val="24"/>
        </w:rPr>
        <w:t xml:space="preserve"> (red arrow), and structures associated with E</w:t>
      </w:r>
      <w:r w:rsidRPr="00082141">
        <w:rPr>
          <w:rFonts w:ascii="Times New Roman" w:hAnsi="Times New Roman"/>
          <w:szCs w:val="24"/>
          <w:vertAlign w:val="subscript"/>
        </w:rPr>
        <w:t>max</w:t>
      </w:r>
      <w:r w:rsidRPr="00082141">
        <w:rPr>
          <w:rFonts w:ascii="Times New Roman" w:hAnsi="Times New Roman"/>
          <w:szCs w:val="24"/>
        </w:rPr>
        <w:t xml:space="preserve"> (blue arrow). Atoms in the structures are colored as follows: iron in orange, oxygen in red, carbon in gray, hydrogen in white, fluorine in cyan.</w:t>
      </w:r>
    </w:p>
    <w:p w14:paraId="0027B7AC" w14:textId="77777777" w:rsidR="00CE07D6" w:rsidRDefault="00CE07D6" w:rsidP="00CE07D6">
      <w:pPr>
        <w:rPr>
          <w:rFonts w:ascii="Times New Roman" w:hAnsi="Times New Roman"/>
          <w:szCs w:val="24"/>
        </w:rPr>
      </w:pPr>
    </w:p>
    <w:p w14:paraId="0EBDF590" w14:textId="77777777" w:rsidR="00CE07D6" w:rsidRPr="00082141" w:rsidRDefault="00CE07D6" w:rsidP="00CE07D6">
      <w:pPr>
        <w:rPr>
          <w:rFonts w:ascii="Times New Roman" w:hAnsi="Times New Roman"/>
          <w:szCs w:val="24"/>
        </w:rPr>
      </w:pPr>
    </w:p>
    <w:p w14:paraId="28825202" w14:textId="77777777" w:rsidR="00CE07D6" w:rsidRPr="00082141" w:rsidRDefault="00CE07D6" w:rsidP="00CE07D6">
      <w:pPr>
        <w:rPr>
          <w:rFonts w:ascii="Times New Roman" w:hAnsi="Times New Roman"/>
          <w:b/>
          <w:bCs/>
          <w:szCs w:val="24"/>
        </w:rPr>
      </w:pPr>
      <w:r w:rsidRPr="00082141">
        <w:rPr>
          <w:rFonts w:ascii="Times New Roman" w:hAnsi="Times New Roman"/>
          <w:b/>
          <w:bCs/>
          <w:noProof/>
          <w:szCs w:val="24"/>
        </w:rPr>
        <w:drawing>
          <wp:inline distT="0" distB="0" distL="0" distR="0" wp14:anchorId="3946A612" wp14:editId="665DD0A3">
            <wp:extent cx="4023360" cy="3676904"/>
            <wp:effectExtent l="0" t="0" r="2540" b="6350"/>
            <wp:docPr id="1525239950" name="Picture 1" descr="A graph of a line with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239950" name="Picture 1" descr="A graph of a line with red dots&#10;&#10;Description automatically generated"/>
                    <pic:cNvPicPr/>
                  </pic:nvPicPr>
                  <pic:blipFill>
                    <a:blip r:embed="rId6"/>
                    <a:stretch>
                      <a:fillRect/>
                    </a:stretch>
                  </pic:blipFill>
                  <pic:spPr>
                    <a:xfrm>
                      <a:off x="0" y="0"/>
                      <a:ext cx="4023360" cy="3676904"/>
                    </a:xfrm>
                    <a:prstGeom prst="rect">
                      <a:avLst/>
                    </a:prstGeom>
                  </pic:spPr>
                </pic:pic>
              </a:graphicData>
            </a:graphic>
          </wp:inline>
        </w:drawing>
      </w:r>
    </w:p>
    <w:p w14:paraId="2A90DD84" w14:textId="77777777" w:rsidR="00CE07D6" w:rsidRPr="00082141" w:rsidRDefault="00CE07D6" w:rsidP="00CE07D6">
      <w:pPr>
        <w:rPr>
          <w:rFonts w:ascii="Times New Roman" w:hAnsi="Times New Roman"/>
          <w:szCs w:val="24"/>
        </w:rPr>
      </w:pPr>
      <w:r>
        <w:rPr>
          <w:rFonts w:ascii="Times New Roman" w:hAnsi="Times New Roman"/>
          <w:b/>
          <w:bCs/>
          <w:szCs w:val="24"/>
        </w:rPr>
        <w:t xml:space="preserve">Extended Data </w:t>
      </w:r>
      <w:r w:rsidRPr="00082141">
        <w:rPr>
          <w:rFonts w:ascii="Times New Roman" w:hAnsi="Times New Roman"/>
          <w:b/>
          <w:bCs/>
          <w:szCs w:val="24"/>
        </w:rPr>
        <w:t xml:space="preserve">Fig </w:t>
      </w:r>
      <w:r>
        <w:rPr>
          <w:rFonts w:ascii="Times New Roman" w:hAnsi="Times New Roman"/>
          <w:b/>
          <w:bCs/>
          <w:szCs w:val="24"/>
        </w:rPr>
        <w:t>3</w:t>
      </w:r>
      <w:r w:rsidRPr="00082141">
        <w:rPr>
          <w:rFonts w:ascii="Times New Roman" w:hAnsi="Times New Roman"/>
          <w:b/>
          <w:bCs/>
          <w:szCs w:val="24"/>
        </w:rPr>
        <w:t xml:space="preserve">. </w:t>
      </w:r>
      <w:r>
        <w:rPr>
          <w:rFonts w:ascii="Times New Roman" w:hAnsi="Times New Roman"/>
          <w:b/>
          <w:bCs/>
          <w:szCs w:val="24"/>
        </w:rPr>
        <w:t>CoGEF simulation relationship between F</w:t>
      </w:r>
      <w:r w:rsidRPr="00597EE2">
        <w:rPr>
          <w:rFonts w:ascii="Times New Roman" w:hAnsi="Times New Roman"/>
          <w:b/>
          <w:bCs/>
          <w:szCs w:val="24"/>
          <w:vertAlign w:val="subscript"/>
        </w:rPr>
        <w:t>max</w:t>
      </w:r>
      <w:r>
        <w:rPr>
          <w:rFonts w:ascii="Times New Roman" w:hAnsi="Times New Roman"/>
          <w:b/>
          <w:bCs/>
          <w:szCs w:val="24"/>
        </w:rPr>
        <w:t xml:space="preserve"> and dihedral angle. </w:t>
      </w:r>
      <w:r w:rsidRPr="00082141">
        <w:rPr>
          <w:rFonts w:ascii="Times New Roman" w:hAnsi="Times New Roman"/>
          <w:szCs w:val="24"/>
        </w:rPr>
        <w:t>CoGEF simulated F</w:t>
      </w:r>
      <w:r w:rsidRPr="00082141">
        <w:rPr>
          <w:rFonts w:ascii="Times New Roman" w:hAnsi="Times New Roman"/>
          <w:szCs w:val="24"/>
          <w:vertAlign w:val="subscript"/>
        </w:rPr>
        <w:t>max</w:t>
      </w:r>
      <w:r w:rsidRPr="00082141">
        <w:rPr>
          <w:rFonts w:ascii="Times New Roman" w:hAnsi="Times New Roman"/>
          <w:szCs w:val="24"/>
        </w:rPr>
        <w:t xml:space="preserve"> values as a function of the absolute value of the dihedral angle between attachment points for the subset of scissile ferrocene complexes with favorable (Δ</w:t>
      </w:r>
      <w:r w:rsidRPr="00082141">
        <w:rPr>
          <w:rFonts w:ascii="Times New Roman" w:hAnsi="Times New Roman"/>
          <w:i/>
          <w:iCs/>
          <w:szCs w:val="24"/>
        </w:rPr>
        <w:t>E</w:t>
      </w:r>
      <w:r w:rsidRPr="00082141">
        <w:rPr>
          <w:rFonts w:ascii="Times New Roman" w:hAnsi="Times New Roman"/>
          <w:szCs w:val="24"/>
        </w:rPr>
        <w:t xml:space="preserve"> &lt; 0) ligand–ligand non-covalent interaction energies. A linear fit is shown as a black line.</w:t>
      </w:r>
    </w:p>
    <w:p w14:paraId="128EE540" w14:textId="77777777" w:rsidR="00CE07D6" w:rsidRPr="00082141" w:rsidRDefault="00CE07D6" w:rsidP="00CE07D6">
      <w:pPr>
        <w:rPr>
          <w:rFonts w:ascii="Times New Roman" w:hAnsi="Times New Roman"/>
          <w:b/>
          <w:bCs/>
          <w:szCs w:val="24"/>
        </w:rPr>
      </w:pPr>
      <w:r w:rsidRPr="00082141">
        <w:rPr>
          <w:rFonts w:ascii="Times New Roman" w:hAnsi="Times New Roman"/>
          <w:b/>
          <w:bCs/>
          <w:noProof/>
          <w:szCs w:val="24"/>
        </w:rPr>
        <w:lastRenderedPageBreak/>
        <w:drawing>
          <wp:inline distT="0" distB="0" distL="0" distR="0" wp14:anchorId="3819DDB9" wp14:editId="08E319D0">
            <wp:extent cx="5486400" cy="2225112"/>
            <wp:effectExtent l="0" t="0" r="0" b="0"/>
            <wp:docPr id="1375626718" name="Picture 6" descr="A model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626718" name="Picture 6" descr="A model of a molecule&#10;&#10;Description automatically generated"/>
                    <pic:cNvPicPr/>
                  </pic:nvPicPr>
                  <pic:blipFill rotWithShape="1">
                    <a:blip r:embed="rId7" cstate="print">
                      <a:extLst>
                        <a:ext uri="{28A0092B-C50C-407E-A947-70E740481C1C}">
                          <a14:useLocalDpi xmlns:a14="http://schemas.microsoft.com/office/drawing/2010/main" val="0"/>
                        </a:ext>
                      </a:extLst>
                    </a:blip>
                    <a:srcRect t="26910" b="28821"/>
                    <a:stretch/>
                  </pic:blipFill>
                  <pic:spPr bwMode="auto">
                    <a:xfrm>
                      <a:off x="0" y="0"/>
                      <a:ext cx="5486400" cy="2225112"/>
                    </a:xfrm>
                    <a:prstGeom prst="rect">
                      <a:avLst/>
                    </a:prstGeom>
                    <a:ln>
                      <a:noFill/>
                    </a:ln>
                    <a:extLst>
                      <a:ext uri="{53640926-AAD7-44D8-BBD7-CCE9431645EC}">
                        <a14:shadowObscured xmlns:a14="http://schemas.microsoft.com/office/drawing/2010/main"/>
                      </a:ext>
                    </a:extLst>
                  </pic:spPr>
                </pic:pic>
              </a:graphicData>
            </a:graphic>
          </wp:inline>
        </w:drawing>
      </w:r>
    </w:p>
    <w:p w14:paraId="0EFD88FE" w14:textId="77777777" w:rsidR="00CE07D6" w:rsidRPr="00082141" w:rsidRDefault="00CE07D6" w:rsidP="00CE07D6">
      <w:pPr>
        <w:rPr>
          <w:rFonts w:ascii="Times New Roman" w:hAnsi="Times New Roman"/>
          <w:szCs w:val="24"/>
        </w:rPr>
      </w:pPr>
      <w:r>
        <w:rPr>
          <w:rFonts w:ascii="Times New Roman" w:hAnsi="Times New Roman"/>
          <w:b/>
          <w:bCs/>
          <w:szCs w:val="24"/>
        </w:rPr>
        <w:t xml:space="preserve">Extended Data </w:t>
      </w:r>
      <w:r w:rsidRPr="00082141">
        <w:rPr>
          <w:rFonts w:ascii="Times New Roman" w:hAnsi="Times New Roman"/>
          <w:b/>
          <w:bCs/>
          <w:szCs w:val="24"/>
        </w:rPr>
        <w:t xml:space="preserve">Fig </w:t>
      </w:r>
      <w:r>
        <w:rPr>
          <w:rFonts w:ascii="Times New Roman" w:hAnsi="Times New Roman"/>
          <w:b/>
          <w:bCs/>
          <w:szCs w:val="24"/>
        </w:rPr>
        <w:t>4</w:t>
      </w:r>
      <w:r w:rsidRPr="00082141">
        <w:rPr>
          <w:rFonts w:ascii="Times New Roman" w:hAnsi="Times New Roman"/>
          <w:b/>
          <w:bCs/>
          <w:szCs w:val="24"/>
        </w:rPr>
        <w:t xml:space="preserve">. </w:t>
      </w:r>
      <w:r>
        <w:rPr>
          <w:rFonts w:ascii="Times New Roman" w:hAnsi="Times New Roman"/>
          <w:b/>
          <w:bCs/>
          <w:szCs w:val="24"/>
        </w:rPr>
        <w:t xml:space="preserve">Non-covalent interaction visualization of a representative structure, NAGBEE. </w:t>
      </w:r>
      <w:r w:rsidRPr="00082141">
        <w:rPr>
          <w:rFonts w:ascii="Times New Roman" w:hAnsi="Times New Roman"/>
          <w:szCs w:val="24"/>
        </w:rPr>
        <w:t>NCIPLOT analysis of the ground state NAGBEE structure. Hydrogens are omitted. An isovalue of 0.4 was used to construct the NCI surface. Red corresponds to unfavorable interactions, green corresponds to weakly favorable interactions, and blue corresponds to strongly favorable interactions.</w:t>
      </w:r>
    </w:p>
    <w:p w14:paraId="2F7D295A" w14:textId="77777777" w:rsidR="00CE07D6" w:rsidRPr="00082141" w:rsidRDefault="00CE07D6" w:rsidP="00CE07D6">
      <w:pPr>
        <w:rPr>
          <w:rFonts w:ascii="Times New Roman" w:hAnsi="Times New Roman"/>
          <w:b/>
          <w:bCs/>
          <w:szCs w:val="24"/>
        </w:rPr>
      </w:pPr>
      <w:r w:rsidRPr="00082141">
        <w:rPr>
          <w:rFonts w:ascii="Times New Roman" w:hAnsi="Times New Roman"/>
          <w:b/>
          <w:bCs/>
          <w:noProof/>
          <w:szCs w:val="24"/>
        </w:rPr>
        <w:drawing>
          <wp:inline distT="0" distB="0" distL="0" distR="0" wp14:anchorId="05D08D24" wp14:editId="123EA8EC">
            <wp:extent cx="3108960" cy="4027181"/>
            <wp:effectExtent l="0" t="0" r="2540" b="0"/>
            <wp:docPr id="687508537" name="Picture 8" descr="A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508537" name="Picture 8" descr="A structure of a molecule&#10;&#10;Description automatically generated"/>
                    <pic:cNvPicPr/>
                  </pic:nvPicPr>
                  <pic:blipFill rotWithShape="1">
                    <a:blip r:embed="rId8" cstate="print">
                      <a:extLst>
                        <a:ext uri="{28A0092B-C50C-407E-A947-70E740481C1C}">
                          <a14:useLocalDpi xmlns:a14="http://schemas.microsoft.com/office/drawing/2010/main" val="0"/>
                        </a:ext>
                      </a:extLst>
                    </a:blip>
                    <a:srcRect l="19930" t="10497" r="22028" b="7436"/>
                    <a:stretch/>
                  </pic:blipFill>
                  <pic:spPr bwMode="auto">
                    <a:xfrm>
                      <a:off x="0" y="0"/>
                      <a:ext cx="3108960" cy="4027181"/>
                    </a:xfrm>
                    <a:prstGeom prst="rect">
                      <a:avLst/>
                    </a:prstGeom>
                    <a:ln>
                      <a:noFill/>
                    </a:ln>
                    <a:extLst>
                      <a:ext uri="{53640926-AAD7-44D8-BBD7-CCE9431645EC}">
                        <a14:shadowObscured xmlns:a14="http://schemas.microsoft.com/office/drawing/2010/main"/>
                      </a:ext>
                    </a:extLst>
                  </pic:spPr>
                </pic:pic>
              </a:graphicData>
            </a:graphic>
          </wp:inline>
        </w:drawing>
      </w:r>
    </w:p>
    <w:p w14:paraId="6FA83A8F" w14:textId="77777777" w:rsidR="00CE07D6" w:rsidRPr="00082141" w:rsidRDefault="00CE07D6" w:rsidP="00CE07D6">
      <w:pPr>
        <w:rPr>
          <w:rFonts w:ascii="Times New Roman" w:hAnsi="Times New Roman"/>
          <w:szCs w:val="24"/>
        </w:rPr>
      </w:pPr>
      <w:r>
        <w:rPr>
          <w:rFonts w:ascii="Times New Roman" w:hAnsi="Times New Roman"/>
          <w:b/>
          <w:bCs/>
          <w:szCs w:val="24"/>
        </w:rPr>
        <w:t>Extended Data Fig 5</w:t>
      </w:r>
      <w:r w:rsidRPr="00082141">
        <w:rPr>
          <w:rFonts w:ascii="Times New Roman" w:hAnsi="Times New Roman"/>
          <w:b/>
          <w:bCs/>
          <w:szCs w:val="24"/>
        </w:rPr>
        <w:t xml:space="preserve">. </w:t>
      </w:r>
      <w:r>
        <w:rPr>
          <w:rFonts w:ascii="Times New Roman" w:hAnsi="Times New Roman"/>
          <w:b/>
          <w:bCs/>
          <w:szCs w:val="24"/>
        </w:rPr>
        <w:t xml:space="preserve">Non-covalent interaction visualization of a representative structure, ORIMEJ. </w:t>
      </w:r>
      <w:r w:rsidRPr="00082141">
        <w:rPr>
          <w:rFonts w:ascii="Times New Roman" w:hAnsi="Times New Roman"/>
          <w:szCs w:val="24"/>
        </w:rPr>
        <w:t xml:space="preserve">NCIPLOT analysis of the ground state ORIMEJ structure. An isovalue of 0.4 was used to construct the NCI surface. Red corresponds to unfavorable interactions, green corresponds to weakly favorable interactions, and blue corresponds to strongly favorable interactions. Hydrogen </w:t>
      </w:r>
      <w:r w:rsidRPr="00082141">
        <w:rPr>
          <w:rFonts w:ascii="Times New Roman" w:hAnsi="Times New Roman"/>
          <w:szCs w:val="24"/>
        </w:rPr>
        <w:lastRenderedPageBreak/>
        <w:t>bonding interaction strength was analyzed using the atoms-in-molecules critical point density using Multiwfn and is shown in the label.</w:t>
      </w:r>
    </w:p>
    <w:p w14:paraId="23DB6A20" w14:textId="77777777" w:rsidR="00CE07D6" w:rsidRPr="00082141" w:rsidRDefault="00CE07D6" w:rsidP="00CE07D6">
      <w:pPr>
        <w:rPr>
          <w:rFonts w:ascii="Times New Roman" w:hAnsi="Times New Roman"/>
          <w:szCs w:val="24"/>
        </w:rPr>
      </w:pPr>
      <w:r w:rsidRPr="00082141">
        <w:rPr>
          <w:rFonts w:ascii="Times New Roman" w:hAnsi="Times New Roman"/>
          <w:noProof/>
          <w:szCs w:val="24"/>
        </w:rPr>
        <w:drawing>
          <wp:inline distT="0" distB="0" distL="0" distR="0" wp14:anchorId="599E62F8" wp14:editId="2C4797A4">
            <wp:extent cx="3632200" cy="3259665"/>
            <wp:effectExtent l="0" t="0" r="0" b="4445"/>
            <wp:docPr id="510702174" name="Picture 6" descr="A graph of a graph showing the number of electr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702174" name="Picture 6" descr="A graph of a graph showing the number of electrons&#10;&#10;Description automatically generated with medium confidence"/>
                    <pic:cNvPicPr/>
                  </pic:nvPicPr>
                  <pic:blipFill>
                    <a:blip r:embed="rId9"/>
                    <a:stretch>
                      <a:fillRect/>
                    </a:stretch>
                  </pic:blipFill>
                  <pic:spPr>
                    <a:xfrm>
                      <a:off x="0" y="0"/>
                      <a:ext cx="3641927" cy="3268395"/>
                    </a:xfrm>
                    <a:prstGeom prst="rect">
                      <a:avLst/>
                    </a:prstGeom>
                  </pic:spPr>
                </pic:pic>
              </a:graphicData>
            </a:graphic>
          </wp:inline>
        </w:drawing>
      </w:r>
    </w:p>
    <w:p w14:paraId="33830FF0" w14:textId="77777777" w:rsidR="00CE07D6" w:rsidRPr="00082141" w:rsidRDefault="00CE07D6" w:rsidP="00CE07D6">
      <w:pPr>
        <w:rPr>
          <w:rFonts w:ascii="Times New Roman" w:hAnsi="Times New Roman"/>
          <w:szCs w:val="24"/>
        </w:rPr>
      </w:pPr>
      <w:r>
        <w:rPr>
          <w:rFonts w:ascii="Times New Roman" w:hAnsi="Times New Roman"/>
          <w:b/>
          <w:bCs/>
          <w:szCs w:val="24"/>
        </w:rPr>
        <w:t>Extended Data Fig 6</w:t>
      </w:r>
      <w:r w:rsidRPr="00082141">
        <w:rPr>
          <w:rFonts w:ascii="Times New Roman" w:hAnsi="Times New Roman"/>
          <w:b/>
          <w:bCs/>
          <w:szCs w:val="24"/>
        </w:rPr>
        <w:t>.</w:t>
      </w:r>
      <w:r w:rsidRPr="00082141">
        <w:rPr>
          <w:rFonts w:ascii="Times New Roman" w:hAnsi="Times New Roman"/>
          <w:szCs w:val="24"/>
        </w:rPr>
        <w:t xml:space="preserve"> </w:t>
      </w:r>
      <w:r>
        <w:rPr>
          <w:rFonts w:ascii="Times New Roman" w:hAnsi="Times New Roman"/>
          <w:b/>
          <w:bCs/>
          <w:szCs w:val="24"/>
        </w:rPr>
        <w:t xml:space="preserve">Force-modified activation energies for unsubstituted and ansa-cis/trans ferrocenes. </w:t>
      </w:r>
      <w:r w:rsidRPr="00082141">
        <w:rPr>
          <w:rFonts w:ascii="Times New Roman" w:hAnsi="Times New Roman"/>
          <w:szCs w:val="24"/>
        </w:rPr>
        <w:t>Computed force-modified activation energies (in kcal/mol) versus external force (in nN) for the dissociation of unsubstituted, ansa-cis, and ansa-trans ferrocenes. Linear force response curves are shown as gray lines with associated linear fits as insets. The threshold energy of 16.6 kcal/mol that can be used to estimate single molecule force spectroscopy forces is shown as the bolded black line. Example transition state structures are shown as insets. Atoms are colored as follows: Fe in orange, C in gray, H in white. Coordination bonds are shown as hollow blue bonds and transition state bonds are shown as purple dashed lines.</w:t>
      </w:r>
    </w:p>
    <w:p w14:paraId="46073A83" w14:textId="77777777" w:rsidR="00CE07D6" w:rsidRPr="00082141" w:rsidRDefault="00CE07D6" w:rsidP="00CE07D6">
      <w:pPr>
        <w:rPr>
          <w:rFonts w:ascii="Times New Roman" w:hAnsi="Times New Roman"/>
          <w:szCs w:val="24"/>
        </w:rPr>
      </w:pPr>
      <w:r w:rsidRPr="00082141">
        <w:rPr>
          <w:rFonts w:ascii="Times New Roman" w:hAnsi="Times New Roman"/>
          <w:noProof/>
          <w:szCs w:val="24"/>
        </w:rPr>
        <w:drawing>
          <wp:inline distT="0" distB="0" distL="0" distR="0" wp14:anchorId="5191365C" wp14:editId="4ADF41B6">
            <wp:extent cx="5613400" cy="2187187"/>
            <wp:effectExtent l="0" t="0" r="0" b="0"/>
            <wp:docPr id="477353331" name="Picture 7" descr="A close-up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353331" name="Picture 7" descr="A close-up of a molecule&#10;&#10;Description automatically generated"/>
                    <pic:cNvPicPr/>
                  </pic:nvPicPr>
                  <pic:blipFill>
                    <a:blip r:embed="rId10"/>
                    <a:stretch>
                      <a:fillRect/>
                    </a:stretch>
                  </pic:blipFill>
                  <pic:spPr>
                    <a:xfrm>
                      <a:off x="0" y="0"/>
                      <a:ext cx="5628411" cy="2193036"/>
                    </a:xfrm>
                    <a:prstGeom prst="rect">
                      <a:avLst/>
                    </a:prstGeom>
                  </pic:spPr>
                </pic:pic>
              </a:graphicData>
            </a:graphic>
          </wp:inline>
        </w:drawing>
      </w:r>
    </w:p>
    <w:p w14:paraId="1E5C82A4" w14:textId="77777777" w:rsidR="00CE07D6" w:rsidRPr="00082141" w:rsidRDefault="00CE07D6" w:rsidP="00CE07D6">
      <w:pPr>
        <w:rPr>
          <w:rFonts w:ascii="Times New Roman" w:hAnsi="Times New Roman"/>
          <w:szCs w:val="24"/>
        </w:rPr>
      </w:pPr>
      <w:r>
        <w:rPr>
          <w:rFonts w:ascii="Times New Roman" w:hAnsi="Times New Roman"/>
          <w:b/>
          <w:bCs/>
          <w:szCs w:val="24"/>
        </w:rPr>
        <w:t>Extended Data Fig 7</w:t>
      </w:r>
      <w:r w:rsidRPr="00082141">
        <w:rPr>
          <w:rFonts w:ascii="Times New Roman" w:hAnsi="Times New Roman"/>
          <w:b/>
          <w:bCs/>
          <w:szCs w:val="24"/>
        </w:rPr>
        <w:t xml:space="preserve">. </w:t>
      </w:r>
      <w:r>
        <w:rPr>
          <w:rFonts w:ascii="Times New Roman" w:hAnsi="Times New Roman"/>
          <w:b/>
          <w:bCs/>
          <w:szCs w:val="24"/>
        </w:rPr>
        <w:t xml:space="preserve">Non-covalent interaction analysis of EFILAI in the ground and transition states. </w:t>
      </w:r>
      <w:r w:rsidRPr="00082141">
        <w:rPr>
          <w:rFonts w:ascii="Times New Roman" w:hAnsi="Times New Roman"/>
          <w:szCs w:val="24"/>
        </w:rPr>
        <w:t xml:space="preserve">NCIPLOT analysis of </w:t>
      </w:r>
      <w:r w:rsidRPr="00082141">
        <w:rPr>
          <w:rFonts w:ascii="Times New Roman" w:hAnsi="Times New Roman"/>
          <w:b/>
          <w:bCs/>
          <w:szCs w:val="24"/>
        </w:rPr>
        <w:t>EFILAI</w:t>
      </w:r>
      <w:r w:rsidRPr="00082141">
        <w:rPr>
          <w:rFonts w:ascii="Times New Roman" w:hAnsi="Times New Roman"/>
          <w:szCs w:val="24"/>
        </w:rPr>
        <w:t xml:space="preserve"> complex under 1 nN external applied force in </w:t>
      </w:r>
      <w:r w:rsidRPr="00082141">
        <w:rPr>
          <w:rFonts w:ascii="Times New Roman" w:hAnsi="Times New Roman"/>
          <w:szCs w:val="24"/>
        </w:rPr>
        <w:lastRenderedPageBreak/>
        <w:t xml:space="preserve">the ground (GS) and transition (TS) states. Atoms are colored as follows: C in gray, H in white, N in blue, Fe in orange. </w:t>
      </w:r>
      <w:r w:rsidRPr="00082141">
        <w:rPr>
          <w:rFonts w:ascii="Times New Roman" w:hAnsi="Times New Roman"/>
        </w:rPr>
        <w:t xml:space="preserve">The ligand–ligand interaction is 25 kcal/mol more favorable than the median computed over all studied ferrocenes. </w:t>
      </w:r>
    </w:p>
    <w:p w14:paraId="5E0C9941" w14:textId="77777777" w:rsidR="00CE07D6" w:rsidRPr="00082141" w:rsidRDefault="00CE07D6" w:rsidP="00CE07D6">
      <w:pPr>
        <w:rPr>
          <w:rFonts w:ascii="Times New Roman" w:hAnsi="Times New Roman"/>
          <w:b/>
          <w:bCs/>
          <w:szCs w:val="24"/>
        </w:rPr>
      </w:pPr>
      <w:r w:rsidRPr="00082141">
        <w:rPr>
          <w:rFonts w:ascii="Times New Roman" w:hAnsi="Times New Roman"/>
          <w:b/>
          <w:bCs/>
          <w:noProof/>
          <w:szCs w:val="24"/>
        </w:rPr>
        <w:drawing>
          <wp:inline distT="0" distB="0" distL="0" distR="0" wp14:anchorId="71E8B83C" wp14:editId="07F0BCD4">
            <wp:extent cx="5905500" cy="2819400"/>
            <wp:effectExtent l="0" t="0" r="0" b="0"/>
            <wp:docPr id="519715258" name="Picture 9" descr="A close-up of some molecular structu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715258" name="Picture 9" descr="A close-up of some molecular structures&#10;&#10;Description automatically generated"/>
                    <pic:cNvPicPr/>
                  </pic:nvPicPr>
                  <pic:blipFill>
                    <a:blip r:embed="rId11"/>
                    <a:stretch>
                      <a:fillRect/>
                    </a:stretch>
                  </pic:blipFill>
                  <pic:spPr>
                    <a:xfrm>
                      <a:off x="0" y="0"/>
                      <a:ext cx="5905500" cy="2819400"/>
                    </a:xfrm>
                    <a:prstGeom prst="rect">
                      <a:avLst/>
                    </a:prstGeom>
                  </pic:spPr>
                </pic:pic>
              </a:graphicData>
            </a:graphic>
          </wp:inline>
        </w:drawing>
      </w:r>
    </w:p>
    <w:p w14:paraId="24603DFD" w14:textId="77777777" w:rsidR="00CE07D6" w:rsidRDefault="00CE07D6" w:rsidP="00CE07D6">
      <w:pPr>
        <w:rPr>
          <w:rFonts w:ascii="Times New Roman" w:hAnsi="Times New Roman"/>
        </w:rPr>
      </w:pPr>
      <w:r>
        <w:rPr>
          <w:rFonts w:ascii="Times New Roman" w:hAnsi="Times New Roman"/>
          <w:b/>
          <w:bCs/>
          <w:szCs w:val="24"/>
        </w:rPr>
        <w:t xml:space="preserve">Extended Data </w:t>
      </w:r>
      <w:r w:rsidRPr="00082141">
        <w:rPr>
          <w:rFonts w:ascii="Times New Roman" w:hAnsi="Times New Roman"/>
          <w:b/>
          <w:bCs/>
          <w:szCs w:val="24"/>
        </w:rPr>
        <w:t xml:space="preserve">Figure </w:t>
      </w:r>
      <w:r>
        <w:rPr>
          <w:rFonts w:ascii="Times New Roman" w:hAnsi="Times New Roman"/>
          <w:b/>
          <w:bCs/>
          <w:szCs w:val="24"/>
        </w:rPr>
        <w:t>8</w:t>
      </w:r>
      <w:r w:rsidRPr="00082141">
        <w:rPr>
          <w:rFonts w:ascii="Times New Roman" w:hAnsi="Times New Roman"/>
          <w:b/>
          <w:bCs/>
          <w:szCs w:val="24"/>
        </w:rPr>
        <w:t xml:space="preserve">. </w:t>
      </w:r>
      <w:r>
        <w:rPr>
          <w:rFonts w:ascii="Times New Roman" w:hAnsi="Times New Roman"/>
          <w:b/>
          <w:bCs/>
          <w:szCs w:val="24"/>
        </w:rPr>
        <w:t xml:space="preserve">Hydrogen bonding analysis of EGIPER under force in the ground and transition states. </w:t>
      </w:r>
      <w:r w:rsidRPr="00082141">
        <w:rPr>
          <w:rFonts w:ascii="Times New Roman" w:hAnsi="Times New Roman"/>
          <w:szCs w:val="24"/>
        </w:rPr>
        <w:t xml:space="preserve">QTAIM hydrogen bonding analysis of </w:t>
      </w:r>
      <w:r w:rsidRPr="00082141">
        <w:rPr>
          <w:rFonts w:ascii="Times New Roman" w:hAnsi="Times New Roman"/>
          <w:b/>
          <w:bCs/>
          <w:szCs w:val="24"/>
        </w:rPr>
        <w:t>EGIPER</w:t>
      </w:r>
      <w:r w:rsidRPr="00082141">
        <w:rPr>
          <w:rFonts w:ascii="Times New Roman" w:hAnsi="Times New Roman"/>
          <w:szCs w:val="24"/>
        </w:rPr>
        <w:t xml:space="preserve"> complex under 1 nN external applied force in the ground (GS) and transition (TS) states. Atoms are colored as follows: C in gray, H in white, Fe in brown, P in orange, O in red. Coordination bonds are shown as hollow blue lines and hydrogen bonds are shown as dashed blue lines. Hydrogen bonding strengths calculated using QTAIM for each bond are shown as labels.</w:t>
      </w:r>
      <w:r w:rsidRPr="00082141">
        <w:rPr>
          <w:rFonts w:ascii="Times New Roman" w:hAnsi="Times New Roman"/>
        </w:rPr>
        <w:t xml:space="preserve"> The ligand–ligand interaction is 14 kcal/mol more favorable than the median computed over all studied ferrocenes.</w:t>
      </w:r>
    </w:p>
    <w:p w14:paraId="1B36D18E" w14:textId="77777777" w:rsidR="00CE07D6" w:rsidRPr="00082141" w:rsidRDefault="00CE07D6" w:rsidP="00CE07D6">
      <w:pPr>
        <w:rPr>
          <w:rFonts w:ascii="Times New Roman" w:hAnsi="Times New Roman"/>
          <w:szCs w:val="24"/>
        </w:rPr>
      </w:pPr>
    </w:p>
    <w:p w14:paraId="2111E25F" w14:textId="77777777" w:rsidR="00CE07D6" w:rsidRDefault="00CE07D6" w:rsidP="00CE07D6">
      <w:pPr>
        <w:pStyle w:val="SNSynopsisTOC"/>
        <w:spacing w:after="240"/>
        <w:rPr>
          <w:rFonts w:ascii="Times New Roman" w:hAnsi="Times New Roman"/>
          <w:b/>
          <w:bCs/>
        </w:rPr>
      </w:pPr>
      <w:r>
        <w:rPr>
          <w:rFonts w:ascii="Times New Roman" w:hAnsi="Times New Roman"/>
          <w:b/>
          <w:bCs/>
          <w:noProof/>
        </w:rPr>
        <w:lastRenderedPageBreak/>
        <w:drawing>
          <wp:inline distT="0" distB="0" distL="0" distR="0" wp14:anchorId="3988BB33" wp14:editId="4D82777B">
            <wp:extent cx="5943600" cy="3820795"/>
            <wp:effectExtent l="0" t="0" r="0" b="1905"/>
            <wp:docPr id="244606384" name="Picture 2" descr="A collage of diagram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606384" name="Picture 2" descr="A collage of diagrams and diagrams&#10;&#10;Description automatically generated"/>
                    <pic:cNvPicPr/>
                  </pic:nvPicPr>
                  <pic:blipFill>
                    <a:blip r:embed="rId12"/>
                    <a:stretch>
                      <a:fillRect/>
                    </a:stretch>
                  </pic:blipFill>
                  <pic:spPr>
                    <a:xfrm>
                      <a:off x="0" y="0"/>
                      <a:ext cx="5943600" cy="3820795"/>
                    </a:xfrm>
                    <a:prstGeom prst="rect">
                      <a:avLst/>
                    </a:prstGeom>
                  </pic:spPr>
                </pic:pic>
              </a:graphicData>
            </a:graphic>
          </wp:inline>
        </w:drawing>
      </w:r>
    </w:p>
    <w:p w14:paraId="5C4B4084" w14:textId="46260950" w:rsidR="00F553FF" w:rsidRDefault="00CE07D6" w:rsidP="00CE07D6">
      <w:r>
        <w:rPr>
          <w:rFonts w:ascii="Times New Roman" w:hAnsi="Times New Roman"/>
          <w:b/>
          <w:bCs/>
        </w:rPr>
        <w:t xml:space="preserve">Extended Data Figure 9. </w:t>
      </w:r>
      <w:r w:rsidRPr="00120DAE">
        <w:rPr>
          <w:b/>
          <w:bCs/>
          <w:color w:val="202122"/>
          <w:sz w:val="22"/>
          <w:szCs w:val="22"/>
        </w:rPr>
        <w:t xml:space="preserve">Synthesis of copolymers P1 and P2, competition graphic and ring opening values. a, </w:t>
      </w:r>
      <w:r w:rsidRPr="00120DAE">
        <w:rPr>
          <w:bCs/>
          <w:color w:val="202122"/>
          <w:sz w:val="22"/>
          <w:szCs w:val="22"/>
        </w:rPr>
        <w:t xml:space="preserve">Synthesis of </w:t>
      </w:r>
      <w:r w:rsidRPr="00120DAE">
        <w:rPr>
          <w:b/>
          <w:bCs/>
          <w:color w:val="202122"/>
          <w:sz w:val="22"/>
          <w:szCs w:val="22"/>
        </w:rPr>
        <w:t xml:space="preserve">P1 </w:t>
      </w:r>
      <w:r w:rsidRPr="00120DAE">
        <w:rPr>
          <w:bCs/>
          <w:color w:val="202122"/>
          <w:sz w:val="22"/>
          <w:szCs w:val="22"/>
        </w:rPr>
        <w:t>ferrocene-</w:t>
      </w:r>
      <w:r w:rsidRPr="00120DAE">
        <w:rPr>
          <w:bCs/>
          <w:i/>
          <w:color w:val="202122"/>
          <w:sz w:val="22"/>
          <w:szCs w:val="22"/>
        </w:rPr>
        <w:t>g</w:t>
      </w:r>
      <w:r w:rsidRPr="00120DAE">
        <w:rPr>
          <w:bCs/>
          <w:color w:val="202122"/>
          <w:sz w:val="22"/>
          <w:szCs w:val="22"/>
        </w:rPr>
        <w:t xml:space="preserve">DCC copolymer and </w:t>
      </w:r>
      <w:r w:rsidRPr="00120DAE">
        <w:rPr>
          <w:b/>
          <w:bCs/>
          <w:color w:val="202122"/>
          <w:sz w:val="22"/>
          <w:szCs w:val="22"/>
        </w:rPr>
        <w:t>P2</w:t>
      </w:r>
      <w:r w:rsidRPr="00120DAE">
        <w:rPr>
          <w:bCs/>
          <w:color w:val="202122"/>
          <w:sz w:val="22"/>
          <w:szCs w:val="22"/>
        </w:rPr>
        <w:t xml:space="preserve"> NUSZEG-</w:t>
      </w:r>
      <w:r w:rsidRPr="00120DAE">
        <w:rPr>
          <w:bCs/>
          <w:i/>
          <w:color w:val="202122"/>
          <w:sz w:val="22"/>
          <w:szCs w:val="22"/>
        </w:rPr>
        <w:t>g</w:t>
      </w:r>
      <w:r w:rsidRPr="00120DAE">
        <w:rPr>
          <w:bCs/>
          <w:color w:val="202122"/>
          <w:sz w:val="22"/>
          <w:szCs w:val="22"/>
        </w:rPr>
        <w:t>DCC copolymer by ED-ROMP</w:t>
      </w:r>
      <w:r>
        <w:rPr>
          <w:bCs/>
          <w:color w:val="202122"/>
          <w:sz w:val="22"/>
          <w:szCs w:val="22"/>
        </w:rPr>
        <w:t xml:space="preserve">. </w:t>
      </w:r>
      <w:r>
        <w:rPr>
          <w:b/>
          <w:bCs/>
          <w:color w:val="202122"/>
          <w:sz w:val="22"/>
          <w:szCs w:val="22"/>
        </w:rPr>
        <w:t xml:space="preserve">b, </w:t>
      </w:r>
      <w:r>
        <w:rPr>
          <w:bCs/>
          <w:color w:val="202122"/>
          <w:sz w:val="22"/>
          <w:szCs w:val="22"/>
        </w:rPr>
        <w:t xml:space="preserve">Schematic depiction of the competition between scissile ferrocene bonds and nonscissile </w:t>
      </w:r>
      <w:r>
        <w:rPr>
          <w:bCs/>
          <w:i/>
          <w:color w:val="202122"/>
          <w:sz w:val="22"/>
          <w:szCs w:val="22"/>
        </w:rPr>
        <w:t>g</w:t>
      </w:r>
      <w:r>
        <w:rPr>
          <w:bCs/>
          <w:color w:val="202122"/>
          <w:sz w:val="22"/>
          <w:szCs w:val="22"/>
        </w:rPr>
        <w:t xml:space="preserve">DCC. Picture is illustrative only, and it is likely that the specific sites of mechanochemistry are not rigorously central to the overall polymer. </w:t>
      </w:r>
      <w:r>
        <w:rPr>
          <w:b/>
          <w:bCs/>
          <w:color w:val="202122"/>
          <w:sz w:val="22"/>
          <w:szCs w:val="22"/>
        </w:rPr>
        <w:t>c</w:t>
      </w:r>
      <w:r>
        <w:rPr>
          <w:bCs/>
          <w:color w:val="202122"/>
          <w:sz w:val="22"/>
          <w:szCs w:val="22"/>
        </w:rPr>
        <w:t>, Ring opening values as a functi</w:t>
      </w:r>
    </w:p>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7D6"/>
    <w:rsid w:val="003C2EF4"/>
    <w:rsid w:val="00B74216"/>
    <w:rsid w:val="00C715D3"/>
    <w:rsid w:val="00CE07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4F683"/>
  <w15:chartTrackingRefBased/>
  <w15:docId w15:val="{1FFE6122-7CE0-4039-A546-68B90224A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07D6"/>
    <w:pPr>
      <w:spacing w:after="200" w:line="240" w:lineRule="auto"/>
      <w:jc w:val="both"/>
    </w:pPr>
    <w:rPr>
      <w:rFonts w:ascii="Times" w:eastAsia="Times New Roman" w:hAnsi="Times" w:cs="Times New Roman"/>
      <w:kern w:val="0"/>
      <w:sz w:val="24"/>
      <w:szCs w:val="20"/>
      <w14:ligatures w14:val="none"/>
    </w:rPr>
  </w:style>
  <w:style w:type="paragraph" w:styleId="Heading1">
    <w:name w:val="heading 1"/>
    <w:basedOn w:val="Normal"/>
    <w:next w:val="Normal"/>
    <w:link w:val="Heading1Char"/>
    <w:uiPriority w:val="9"/>
    <w:qFormat/>
    <w:rsid w:val="00CE07D6"/>
    <w:pPr>
      <w:keepNext/>
      <w:keepLine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E07D6"/>
    <w:pPr>
      <w:keepNext/>
      <w:keepLine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E07D6"/>
    <w:pPr>
      <w:keepNext/>
      <w:keepLine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E07D6"/>
    <w:pPr>
      <w:keepNext/>
      <w:keepLine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CE07D6"/>
    <w:pPr>
      <w:keepNext/>
      <w:keepLine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CE07D6"/>
    <w:pPr>
      <w:keepNext/>
      <w:keepLines/>
      <w:spacing w:before="40" w:after="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CE07D6"/>
    <w:pPr>
      <w:keepNext/>
      <w:keepLines/>
      <w:spacing w:before="40" w:after="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CE07D6"/>
    <w:pPr>
      <w:keepNext/>
      <w:keepLines/>
      <w:spacing w:after="0"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CE07D6"/>
    <w:pPr>
      <w:keepNext/>
      <w:keepLines/>
      <w:spacing w:after="0"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07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07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07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07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07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07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07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07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07D6"/>
    <w:rPr>
      <w:rFonts w:eastAsiaTheme="majorEastAsia" w:cstheme="majorBidi"/>
      <w:color w:val="272727" w:themeColor="text1" w:themeTint="D8"/>
    </w:rPr>
  </w:style>
  <w:style w:type="paragraph" w:styleId="Title">
    <w:name w:val="Title"/>
    <w:basedOn w:val="Normal"/>
    <w:next w:val="Normal"/>
    <w:link w:val="TitleChar"/>
    <w:uiPriority w:val="10"/>
    <w:qFormat/>
    <w:rsid w:val="00CE07D6"/>
    <w:pPr>
      <w:spacing w:after="8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E07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07D6"/>
    <w:pPr>
      <w:numPr>
        <w:ilvl w:val="1"/>
      </w:numPr>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E07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07D6"/>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CE07D6"/>
    <w:rPr>
      <w:i/>
      <w:iCs/>
      <w:color w:val="404040" w:themeColor="text1" w:themeTint="BF"/>
    </w:rPr>
  </w:style>
  <w:style w:type="paragraph" w:styleId="ListParagraph">
    <w:name w:val="List Paragraph"/>
    <w:basedOn w:val="Normal"/>
    <w:uiPriority w:val="34"/>
    <w:qFormat/>
    <w:rsid w:val="00CE07D6"/>
    <w:pPr>
      <w:spacing w:after="160" w:line="259" w:lineRule="auto"/>
      <w:ind w:left="720"/>
      <w:contextualSpacing/>
      <w:jc w:val="left"/>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CE07D6"/>
    <w:rPr>
      <w:i/>
      <w:iCs/>
      <w:color w:val="0F4761" w:themeColor="accent1" w:themeShade="BF"/>
    </w:rPr>
  </w:style>
  <w:style w:type="paragraph" w:styleId="IntenseQuote">
    <w:name w:val="Intense Quote"/>
    <w:basedOn w:val="Normal"/>
    <w:next w:val="Normal"/>
    <w:link w:val="IntenseQuoteChar"/>
    <w:uiPriority w:val="30"/>
    <w:qFormat/>
    <w:rsid w:val="00CE07D6"/>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CE07D6"/>
    <w:rPr>
      <w:i/>
      <w:iCs/>
      <w:color w:val="0F4761" w:themeColor="accent1" w:themeShade="BF"/>
    </w:rPr>
  </w:style>
  <w:style w:type="character" w:styleId="IntenseReference">
    <w:name w:val="Intense Reference"/>
    <w:basedOn w:val="DefaultParagraphFont"/>
    <w:uiPriority w:val="32"/>
    <w:qFormat/>
    <w:rsid w:val="00CE07D6"/>
    <w:rPr>
      <w:b/>
      <w:bCs/>
      <w:smallCaps/>
      <w:color w:val="0F4761" w:themeColor="accent1" w:themeShade="BF"/>
      <w:spacing w:val="5"/>
    </w:rPr>
  </w:style>
  <w:style w:type="paragraph" w:customStyle="1" w:styleId="SNSynopsisTOC">
    <w:name w:val="SN_Synopsis_TOC"/>
    <w:basedOn w:val="Normal"/>
    <w:rsid w:val="00CE07D6"/>
    <w:pPr>
      <w:spacing w:line="48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t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Relationship Id="rId11" Type="http://schemas.openxmlformats.org/officeDocument/2006/relationships/image" Target="media/image8.tif"/><Relationship Id="rId5" Type="http://schemas.openxmlformats.org/officeDocument/2006/relationships/image" Target="media/image2.tiff"/><Relationship Id="rId10" Type="http://schemas.openxmlformats.org/officeDocument/2006/relationships/image" Target="media/image7.tif"/><Relationship Id="rId4" Type="http://schemas.openxmlformats.org/officeDocument/2006/relationships/image" Target="media/image1.emf"/><Relationship Id="rId9" Type="http://schemas.openxmlformats.org/officeDocument/2006/relationships/image" Target="media/image6.ti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725</Words>
  <Characters>4139</Characters>
  <Application>Microsoft Office Word</Application>
  <DocSecurity>0</DocSecurity>
  <Lines>34</Lines>
  <Paragraphs>9</Paragraphs>
  <ScaleCrop>false</ScaleCrop>
  <Company>Springer Nature</Company>
  <LinksUpToDate>false</LinksUpToDate>
  <CharactersWithSpaces>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2024-09-13T14:50:00Z</dcterms:created>
  <dcterms:modified xsi:type="dcterms:W3CDTF">2024-09-13T14:50:00Z</dcterms:modified>
</cp:coreProperties>
</file>