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AA887E" w14:textId="04F12E6D" w:rsidR="0083040A" w:rsidRPr="0083040A" w:rsidRDefault="0083040A" w:rsidP="0083040A">
      <w:pPr>
        <w:pStyle w:val="paragraph"/>
        <w:shd w:val="clear" w:color="auto" w:fill="FFFFFF"/>
        <w:spacing w:before="0" w:beforeAutospacing="0" w:after="0" w:afterAutospacing="0" w:line="480" w:lineRule="auto"/>
        <w:jc w:val="center"/>
        <w:textAlignment w:val="baseline"/>
        <w:rPr>
          <w:rStyle w:val="normaltextrun"/>
          <w:rFonts w:ascii="Arial" w:eastAsiaTheme="majorEastAsia" w:hAnsi="Arial" w:cs="Arial"/>
          <w:b/>
          <w:bCs/>
          <w:sz w:val="44"/>
          <w:szCs w:val="44"/>
          <w:lang w:val="en-US"/>
        </w:rPr>
      </w:pPr>
      <w:r w:rsidRPr="0083040A">
        <w:rPr>
          <w:rStyle w:val="normaltextrun"/>
          <w:rFonts w:ascii="Arial" w:eastAsiaTheme="majorEastAsia" w:hAnsi="Arial" w:cs="Arial"/>
          <w:b/>
          <w:bCs/>
          <w:sz w:val="44"/>
          <w:szCs w:val="44"/>
          <w:lang w:val="en-US"/>
        </w:rPr>
        <w:t>SUPPLEMENTARY INFORMATION</w:t>
      </w:r>
    </w:p>
    <w:p w14:paraId="2C128437" w14:textId="77777777" w:rsidR="00A46006" w:rsidRDefault="00A46006" w:rsidP="00A46006">
      <w:pPr>
        <w:pStyle w:val="paragraph"/>
        <w:shd w:val="clear" w:color="auto" w:fill="FFFFFF"/>
        <w:spacing w:before="0" w:beforeAutospacing="0" w:after="0" w:afterAutospacing="0" w:line="480" w:lineRule="auto"/>
        <w:jc w:val="center"/>
        <w:textAlignment w:val="baseline"/>
        <w:rPr>
          <w:rFonts w:ascii="Segoe UI" w:hAnsi="Segoe UI" w:cs="Segoe UI"/>
          <w:b/>
          <w:bCs/>
          <w:sz w:val="18"/>
          <w:szCs w:val="18"/>
        </w:rPr>
      </w:pPr>
      <w:bookmarkStart w:id="0" w:name="_Hlk169855977"/>
      <w:r>
        <w:rPr>
          <w:rStyle w:val="normaltextrun"/>
          <w:rFonts w:ascii="Arial" w:eastAsiaTheme="majorEastAsia" w:hAnsi="Arial" w:cs="Arial"/>
          <w:b/>
          <w:bCs/>
          <w:lang w:val="en-US"/>
        </w:rPr>
        <w:t xml:space="preserve">From Freeze to Function: </w:t>
      </w:r>
      <w:proofErr w:type="spellStart"/>
      <w:r>
        <w:rPr>
          <w:rStyle w:val="normaltextrun"/>
          <w:rFonts w:ascii="Arial" w:eastAsiaTheme="majorEastAsia" w:hAnsi="Arial" w:cs="Arial"/>
          <w:b/>
          <w:bCs/>
          <w:lang w:val="en-US"/>
        </w:rPr>
        <w:t>Optimised</w:t>
      </w:r>
      <w:proofErr w:type="spellEnd"/>
      <w:r>
        <w:rPr>
          <w:rStyle w:val="normaltextrun"/>
          <w:rFonts w:ascii="Arial" w:eastAsiaTheme="majorEastAsia" w:hAnsi="Arial" w:cs="Arial"/>
          <w:b/>
          <w:bCs/>
          <w:lang w:val="en-US"/>
        </w:rPr>
        <w:t xml:space="preserve"> Cryopreservation and Mitochondrial Analysis Workflow for Skeletal Muscle Biopsies</w:t>
      </w:r>
    </w:p>
    <w:p w14:paraId="5D66F08B" w14:textId="77777777" w:rsidR="00A46006" w:rsidRDefault="00A46006" w:rsidP="00A46006">
      <w:pPr>
        <w:pStyle w:val="paragraph"/>
        <w:shd w:val="clear" w:color="auto" w:fill="FFFFFF"/>
        <w:spacing w:before="0" w:beforeAutospacing="0" w:after="0" w:afterAutospacing="0" w:line="480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eastAsiaTheme="majorEastAsia" w:hAnsi="Arial" w:cs="Arial"/>
        </w:rPr>
        <w:t> </w:t>
      </w:r>
    </w:p>
    <w:p w14:paraId="5126F809" w14:textId="77777777" w:rsidR="00A46006" w:rsidRDefault="00A46006" w:rsidP="00A46006">
      <w:pPr>
        <w:pStyle w:val="paragraph"/>
        <w:shd w:val="clear" w:color="auto" w:fill="FFFFFF"/>
        <w:spacing w:before="0" w:beforeAutospacing="0" w:after="0" w:afterAutospacing="0" w:line="480" w:lineRule="auto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</w:rPr>
        <w:t>Maheen Wahid*</w:t>
      </w:r>
      <w:r>
        <w:rPr>
          <w:rStyle w:val="normaltextrun"/>
          <w:rFonts w:ascii="Arial" w:eastAsiaTheme="majorEastAsia" w:hAnsi="Arial" w:cs="Arial"/>
          <w:sz w:val="19"/>
          <w:szCs w:val="19"/>
          <w:vertAlign w:val="superscript"/>
        </w:rPr>
        <w:t>1</w:t>
      </w:r>
      <w:r>
        <w:rPr>
          <w:rStyle w:val="normaltextrun"/>
          <w:rFonts w:ascii="Arial" w:eastAsiaTheme="majorEastAsia" w:hAnsi="Arial" w:cs="Arial"/>
        </w:rPr>
        <w:t>, Graeme Mackenzie</w:t>
      </w:r>
      <w:r>
        <w:rPr>
          <w:rStyle w:val="normaltextrun"/>
          <w:rFonts w:ascii="Arial" w:eastAsiaTheme="majorEastAsia" w:hAnsi="Arial" w:cs="Arial"/>
          <w:sz w:val="19"/>
          <w:szCs w:val="19"/>
          <w:vertAlign w:val="superscript"/>
        </w:rPr>
        <w:t>1</w:t>
      </w:r>
      <w:r>
        <w:rPr>
          <w:rStyle w:val="normaltextrun"/>
          <w:rFonts w:ascii="Arial" w:eastAsiaTheme="majorEastAsia" w:hAnsi="Arial" w:cs="Arial"/>
        </w:rPr>
        <w:t>, Liam M. Rooney</w:t>
      </w:r>
      <w:r>
        <w:rPr>
          <w:rStyle w:val="normaltextrun"/>
          <w:rFonts w:ascii="Arial" w:eastAsiaTheme="majorEastAsia" w:hAnsi="Arial" w:cs="Arial"/>
          <w:sz w:val="19"/>
          <w:szCs w:val="19"/>
          <w:vertAlign w:val="superscript"/>
        </w:rPr>
        <w:t>1</w:t>
      </w:r>
      <w:r>
        <w:rPr>
          <w:rStyle w:val="normaltextrun"/>
          <w:rFonts w:ascii="Arial" w:eastAsiaTheme="majorEastAsia" w:hAnsi="Arial" w:cs="Arial"/>
        </w:rPr>
        <w:t>, Justin C. Greig</w:t>
      </w:r>
      <w:r>
        <w:rPr>
          <w:rStyle w:val="normaltextrun"/>
          <w:rFonts w:ascii="Arial" w:eastAsiaTheme="majorEastAsia" w:hAnsi="Arial" w:cs="Arial"/>
          <w:sz w:val="19"/>
          <w:szCs w:val="19"/>
          <w:vertAlign w:val="superscript"/>
        </w:rPr>
        <w:t>1</w:t>
      </w:r>
      <w:r>
        <w:rPr>
          <w:rStyle w:val="normaltextrun"/>
          <w:rFonts w:ascii="Arial" w:eastAsiaTheme="majorEastAsia" w:hAnsi="Arial" w:cs="Arial"/>
        </w:rPr>
        <w:t>, Gail McConnell</w:t>
      </w:r>
      <w:r>
        <w:rPr>
          <w:rStyle w:val="normaltextrun"/>
          <w:rFonts w:ascii="Arial" w:eastAsiaTheme="majorEastAsia" w:hAnsi="Arial" w:cs="Arial"/>
          <w:vertAlign w:val="superscript"/>
        </w:rPr>
        <w:t>1</w:t>
      </w:r>
      <w:r>
        <w:rPr>
          <w:rStyle w:val="normaltextrun"/>
          <w:rFonts w:ascii="Arial" w:eastAsiaTheme="majorEastAsia" w:hAnsi="Arial" w:cs="Arial"/>
        </w:rPr>
        <w:t>, Emilie Combet</w:t>
      </w:r>
      <w:r>
        <w:rPr>
          <w:rStyle w:val="normaltextrun"/>
          <w:rFonts w:ascii="Arial" w:eastAsiaTheme="majorEastAsia" w:hAnsi="Arial" w:cs="Arial"/>
          <w:sz w:val="19"/>
          <w:szCs w:val="19"/>
          <w:vertAlign w:val="superscript"/>
        </w:rPr>
        <w:t>2</w:t>
      </w:r>
      <w:r>
        <w:rPr>
          <w:rStyle w:val="normaltextrun"/>
          <w:rFonts w:ascii="Arial" w:eastAsiaTheme="majorEastAsia" w:hAnsi="Arial" w:cs="Arial"/>
        </w:rPr>
        <w:t>, Stuart Gray</w:t>
      </w:r>
      <w:r>
        <w:rPr>
          <w:rStyle w:val="normaltextrun"/>
          <w:rFonts w:ascii="Arial" w:eastAsiaTheme="majorEastAsia" w:hAnsi="Arial" w:cs="Arial"/>
          <w:sz w:val="19"/>
          <w:szCs w:val="19"/>
          <w:vertAlign w:val="superscript"/>
        </w:rPr>
        <w:t>3</w:t>
      </w:r>
      <w:r>
        <w:rPr>
          <w:rStyle w:val="normaltextrun"/>
          <w:rFonts w:ascii="Arial" w:eastAsiaTheme="majorEastAsia" w:hAnsi="Arial" w:cs="Arial"/>
        </w:rPr>
        <w:t>, James T. Murray</w:t>
      </w:r>
      <w:r>
        <w:rPr>
          <w:rStyle w:val="normaltextrun"/>
          <w:rFonts w:ascii="Arial" w:eastAsiaTheme="majorEastAsia" w:hAnsi="Arial" w:cs="Arial"/>
          <w:sz w:val="19"/>
          <w:szCs w:val="19"/>
          <w:vertAlign w:val="superscript"/>
        </w:rPr>
        <w:t>4</w:t>
      </w:r>
      <w:r>
        <w:rPr>
          <w:rStyle w:val="normaltextrun"/>
          <w:rFonts w:ascii="Arial" w:eastAsiaTheme="majorEastAsia" w:hAnsi="Arial" w:cs="Arial"/>
        </w:rPr>
        <w:t>, Susan Currie</w:t>
      </w:r>
      <w:r>
        <w:rPr>
          <w:rStyle w:val="normaltextrun"/>
          <w:rFonts w:ascii="Arial" w:eastAsiaTheme="majorEastAsia" w:hAnsi="Arial" w:cs="Arial"/>
          <w:sz w:val="19"/>
          <w:szCs w:val="19"/>
          <w:vertAlign w:val="superscript"/>
        </w:rPr>
        <w:t>1</w:t>
      </w:r>
      <w:r>
        <w:rPr>
          <w:rStyle w:val="normaltextrun"/>
          <w:rFonts w:ascii="Arial" w:eastAsiaTheme="majorEastAsia" w:hAnsi="Arial" w:cs="Arial"/>
        </w:rPr>
        <w:t>, Gwyn W. Gould</w:t>
      </w:r>
      <w:r>
        <w:rPr>
          <w:rStyle w:val="normaltextrun"/>
          <w:rFonts w:ascii="Arial" w:eastAsiaTheme="majorEastAsia" w:hAnsi="Arial" w:cs="Arial"/>
          <w:sz w:val="19"/>
          <w:szCs w:val="19"/>
          <w:vertAlign w:val="superscript"/>
        </w:rPr>
        <w:t>1</w:t>
      </w:r>
      <w:r>
        <w:rPr>
          <w:rStyle w:val="normaltextrun"/>
          <w:rFonts w:ascii="Arial" w:eastAsiaTheme="majorEastAsia" w:hAnsi="Arial" w:cs="Arial"/>
        </w:rPr>
        <w:t>, and Margaret R. Cunningham*</w:t>
      </w:r>
      <w:r>
        <w:rPr>
          <w:rStyle w:val="normaltextrun"/>
          <w:rFonts w:ascii="Arial" w:eastAsiaTheme="majorEastAsia" w:hAnsi="Arial" w:cs="Arial"/>
          <w:sz w:val="19"/>
          <w:szCs w:val="19"/>
          <w:vertAlign w:val="superscript"/>
        </w:rPr>
        <w:t>1</w:t>
      </w:r>
      <w:r>
        <w:rPr>
          <w:rStyle w:val="normaltextrun"/>
          <w:rFonts w:ascii="Arial" w:eastAsiaTheme="majorEastAsia" w:hAnsi="Arial" w:cs="Arial"/>
        </w:rPr>
        <w:t>. </w:t>
      </w:r>
      <w:r>
        <w:rPr>
          <w:rStyle w:val="eop"/>
          <w:rFonts w:ascii="Arial" w:eastAsiaTheme="majorEastAsia" w:hAnsi="Arial" w:cs="Arial"/>
        </w:rPr>
        <w:t> </w:t>
      </w:r>
    </w:p>
    <w:p w14:paraId="5F064E8E" w14:textId="77777777" w:rsidR="00A46006" w:rsidRDefault="00A46006" w:rsidP="00A46006">
      <w:pPr>
        <w:pStyle w:val="paragraph"/>
        <w:numPr>
          <w:ilvl w:val="0"/>
          <w:numId w:val="5"/>
        </w:numPr>
        <w:shd w:val="clear" w:color="auto" w:fill="FFFFFF"/>
        <w:spacing w:before="0" w:beforeAutospacing="0" w:after="0" w:afterAutospacing="0" w:line="480" w:lineRule="auto"/>
        <w:ind w:left="1080" w:firstLine="0"/>
        <w:jc w:val="both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</w:rPr>
        <w:t>Strathclyde Institute for Pharmacy and Biomedical Sciences (SIPBS), University of Strathclyde, 161 Cathedral Street, Glasgow.</w:t>
      </w:r>
      <w:r>
        <w:rPr>
          <w:rStyle w:val="eop"/>
          <w:rFonts w:ascii="Arial" w:eastAsiaTheme="majorEastAsia" w:hAnsi="Arial" w:cs="Arial"/>
        </w:rPr>
        <w:t> </w:t>
      </w:r>
    </w:p>
    <w:p w14:paraId="10007CE6" w14:textId="77777777" w:rsidR="00A46006" w:rsidRDefault="00A46006" w:rsidP="00A46006">
      <w:pPr>
        <w:pStyle w:val="paragraph"/>
        <w:numPr>
          <w:ilvl w:val="0"/>
          <w:numId w:val="6"/>
        </w:numPr>
        <w:shd w:val="clear" w:color="auto" w:fill="FFFFFF"/>
        <w:spacing w:before="0" w:beforeAutospacing="0" w:after="0" w:afterAutospacing="0" w:line="480" w:lineRule="auto"/>
        <w:ind w:left="1080" w:firstLine="0"/>
        <w:jc w:val="both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</w:rPr>
        <w:t>School of Medicine, Dentistry &amp; Nursing, College of Medical, Veterinary and Life Sciences, University of Glasgow, Glasgow, UK.</w:t>
      </w:r>
      <w:r>
        <w:rPr>
          <w:rStyle w:val="eop"/>
          <w:rFonts w:ascii="Arial" w:eastAsiaTheme="majorEastAsia" w:hAnsi="Arial" w:cs="Arial"/>
        </w:rPr>
        <w:t> </w:t>
      </w:r>
    </w:p>
    <w:p w14:paraId="7DC438D3" w14:textId="77777777" w:rsidR="00A46006" w:rsidRDefault="00A46006" w:rsidP="00A46006">
      <w:pPr>
        <w:pStyle w:val="paragraph"/>
        <w:numPr>
          <w:ilvl w:val="0"/>
          <w:numId w:val="7"/>
        </w:numPr>
        <w:shd w:val="clear" w:color="auto" w:fill="FFFFFF"/>
        <w:spacing w:before="0" w:beforeAutospacing="0" w:after="0" w:afterAutospacing="0" w:line="480" w:lineRule="auto"/>
        <w:ind w:left="1080" w:firstLine="0"/>
        <w:jc w:val="both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</w:rPr>
        <w:t>School of Cardiovascular and Metabolic Health, College of Medical Veterinary and Life Sciences, University of Glasgow, Glasgow, UK.</w:t>
      </w:r>
      <w:r>
        <w:rPr>
          <w:rStyle w:val="eop"/>
          <w:rFonts w:ascii="Arial" w:eastAsiaTheme="majorEastAsia" w:hAnsi="Arial" w:cs="Arial"/>
        </w:rPr>
        <w:t> </w:t>
      </w:r>
    </w:p>
    <w:p w14:paraId="6BC4FC79" w14:textId="77777777" w:rsidR="00A46006" w:rsidRDefault="00A46006" w:rsidP="00A46006">
      <w:pPr>
        <w:pStyle w:val="paragraph"/>
        <w:numPr>
          <w:ilvl w:val="0"/>
          <w:numId w:val="8"/>
        </w:numPr>
        <w:shd w:val="clear" w:color="auto" w:fill="FFFFFF"/>
        <w:spacing w:before="0" w:beforeAutospacing="0" w:after="0" w:afterAutospacing="0" w:line="480" w:lineRule="auto"/>
        <w:ind w:left="1080" w:firstLine="0"/>
        <w:jc w:val="both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</w:rPr>
        <w:t>Swansea University Medical School, Swansea University, UK</w:t>
      </w:r>
      <w:r>
        <w:rPr>
          <w:rStyle w:val="eop"/>
          <w:rFonts w:ascii="Arial" w:eastAsiaTheme="majorEastAsia" w:hAnsi="Arial" w:cs="Arial"/>
        </w:rPr>
        <w:t> </w:t>
      </w:r>
    </w:p>
    <w:p w14:paraId="7F1697AD" w14:textId="77777777" w:rsidR="00A46006" w:rsidRDefault="00A46006" w:rsidP="00A46006">
      <w:pPr>
        <w:pStyle w:val="paragraph"/>
        <w:shd w:val="clear" w:color="auto" w:fill="FFFFFF"/>
        <w:spacing w:before="0" w:beforeAutospacing="0" w:after="0" w:afterAutospacing="0" w:line="480" w:lineRule="auto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eastAsiaTheme="majorEastAsia" w:hAnsi="Arial" w:cs="Arial"/>
        </w:rPr>
        <w:t> </w:t>
      </w:r>
    </w:p>
    <w:p w14:paraId="20C5D371" w14:textId="77777777" w:rsidR="00A46006" w:rsidRDefault="00A46006" w:rsidP="00A46006">
      <w:pPr>
        <w:pStyle w:val="paragraph"/>
        <w:shd w:val="clear" w:color="auto" w:fill="FFFFFF"/>
        <w:spacing w:before="0" w:beforeAutospacing="0" w:after="0" w:afterAutospacing="0" w:line="480" w:lineRule="auto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b/>
          <w:bCs/>
        </w:rPr>
        <w:t>Corresponding Authors</w:t>
      </w:r>
      <w:r>
        <w:rPr>
          <w:rStyle w:val="eop"/>
          <w:rFonts w:ascii="Arial" w:eastAsiaTheme="majorEastAsia" w:hAnsi="Arial" w:cs="Arial"/>
        </w:rPr>
        <w:t> </w:t>
      </w:r>
    </w:p>
    <w:p w14:paraId="604D58CF" w14:textId="77777777" w:rsidR="00A46006" w:rsidRDefault="00A46006" w:rsidP="00A46006">
      <w:pPr>
        <w:pStyle w:val="paragraph"/>
        <w:shd w:val="clear" w:color="auto" w:fill="FFFFFF"/>
        <w:spacing w:before="0" w:beforeAutospacing="0" w:after="0" w:afterAutospacing="0" w:line="480" w:lineRule="auto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</w:rPr>
        <w:t xml:space="preserve">Maheen Wahid - </w:t>
      </w:r>
      <w:hyperlink r:id="rId5" w:history="1">
        <w:r>
          <w:rPr>
            <w:rStyle w:val="Hyperlink"/>
            <w:rFonts w:ascii="Arial" w:eastAsiaTheme="majorEastAsia" w:hAnsi="Arial" w:cs="Arial"/>
          </w:rPr>
          <w:t>maheen.wahid.2022@uni.strath.ac.uk</w:t>
        </w:r>
      </w:hyperlink>
      <w:r>
        <w:rPr>
          <w:rStyle w:val="eop"/>
          <w:rFonts w:ascii="Arial" w:eastAsiaTheme="majorEastAsia" w:hAnsi="Arial" w:cs="Arial"/>
        </w:rPr>
        <w:t> </w:t>
      </w:r>
    </w:p>
    <w:p w14:paraId="1254F756" w14:textId="77777777" w:rsidR="00A46006" w:rsidRDefault="00A46006" w:rsidP="00A46006">
      <w:pPr>
        <w:pStyle w:val="paragraph"/>
        <w:shd w:val="clear" w:color="auto" w:fill="FFFFFF"/>
        <w:spacing w:before="0" w:beforeAutospacing="0" w:after="0" w:afterAutospacing="0" w:line="480" w:lineRule="auto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</w:rPr>
        <w:t>Strathclyde Institute for Pharmacy and Biomedical Sciences (SIPBS), University of Strathclyde, 161 Cathedral Street, Glasgow.</w:t>
      </w:r>
      <w:r>
        <w:rPr>
          <w:rStyle w:val="eop"/>
          <w:rFonts w:ascii="Arial" w:eastAsiaTheme="majorEastAsia" w:hAnsi="Arial" w:cs="Arial"/>
        </w:rPr>
        <w:t> </w:t>
      </w:r>
    </w:p>
    <w:p w14:paraId="60A15490" w14:textId="77777777" w:rsidR="00A46006" w:rsidRDefault="00A46006" w:rsidP="00A46006">
      <w:pPr>
        <w:pStyle w:val="paragraph"/>
        <w:shd w:val="clear" w:color="auto" w:fill="FFFFFF"/>
        <w:spacing w:before="0" w:beforeAutospacing="0" w:after="0" w:afterAutospacing="0" w:line="480" w:lineRule="auto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eastAsiaTheme="majorEastAsia" w:hAnsi="Arial" w:cs="Arial"/>
        </w:rPr>
        <w:t> </w:t>
      </w:r>
    </w:p>
    <w:p w14:paraId="28360C9A" w14:textId="77777777" w:rsidR="00A46006" w:rsidRDefault="00A46006" w:rsidP="00A46006">
      <w:pPr>
        <w:pStyle w:val="paragraph"/>
        <w:shd w:val="clear" w:color="auto" w:fill="FFFFFF"/>
        <w:spacing w:before="0" w:beforeAutospacing="0" w:after="0" w:afterAutospacing="0" w:line="480" w:lineRule="auto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</w:rPr>
        <w:t xml:space="preserve">Margaret Cunningham – </w:t>
      </w:r>
      <w:hyperlink r:id="rId6" w:history="1">
        <w:r>
          <w:rPr>
            <w:rStyle w:val="Hyperlink"/>
            <w:rFonts w:ascii="Arial" w:eastAsiaTheme="majorEastAsia" w:hAnsi="Arial" w:cs="Arial"/>
          </w:rPr>
          <w:t>margaret.cunningham@strath.ac.uk</w:t>
        </w:r>
      </w:hyperlink>
      <w:r>
        <w:rPr>
          <w:rStyle w:val="normaltextrun"/>
          <w:rFonts w:ascii="Arial" w:eastAsiaTheme="majorEastAsia" w:hAnsi="Arial" w:cs="Arial"/>
          <w:u w:val="single"/>
        </w:rPr>
        <w:t xml:space="preserve"> </w:t>
      </w:r>
    </w:p>
    <w:p w14:paraId="3C8E4630" w14:textId="77777777" w:rsidR="00A46006" w:rsidRDefault="00A46006" w:rsidP="00A46006">
      <w:pPr>
        <w:pStyle w:val="paragraph"/>
        <w:shd w:val="clear" w:color="auto" w:fill="FFFFFF"/>
        <w:spacing w:before="0" w:beforeAutospacing="0" w:after="0" w:afterAutospacing="0" w:line="480" w:lineRule="auto"/>
        <w:jc w:val="both"/>
        <w:textAlignment w:val="baseline"/>
        <w:rPr>
          <w:rStyle w:val="eop"/>
          <w:rFonts w:ascii="Arial" w:eastAsiaTheme="majorEastAsia" w:hAnsi="Arial" w:cs="Arial"/>
        </w:rPr>
      </w:pPr>
      <w:r>
        <w:rPr>
          <w:rStyle w:val="normaltextrun"/>
          <w:rFonts w:ascii="Arial" w:eastAsiaTheme="majorEastAsia" w:hAnsi="Arial" w:cs="Arial"/>
        </w:rPr>
        <w:t>Strathclyde Institute for Pharmacy and Biomedical Sciences (SIPBS), University of Strathclyde, 161 Cathedral Street, Glasgow.</w:t>
      </w:r>
      <w:r>
        <w:rPr>
          <w:rStyle w:val="eop"/>
          <w:rFonts w:ascii="Arial" w:eastAsiaTheme="majorEastAsia" w:hAnsi="Arial" w:cs="Arial"/>
        </w:rPr>
        <w:t> </w:t>
      </w:r>
      <w:bookmarkEnd w:id="0"/>
    </w:p>
    <w:p w14:paraId="06DD66B9" w14:textId="13C3E14F" w:rsidR="0083040A" w:rsidRPr="0083040A" w:rsidRDefault="0083040A" w:rsidP="0083040A">
      <w:pPr>
        <w:pStyle w:val="paragraph"/>
        <w:shd w:val="clear" w:color="auto" w:fill="FFFFFF"/>
        <w:spacing w:before="0" w:beforeAutospacing="0" w:after="0" w:afterAutospacing="0" w:line="480" w:lineRule="auto"/>
        <w:jc w:val="center"/>
        <w:textAlignment w:val="baseline"/>
        <w:rPr>
          <w:rStyle w:val="eop"/>
          <w:rFonts w:ascii="Arial" w:eastAsiaTheme="majorEastAsia" w:hAnsi="Arial" w:cs="Arial"/>
          <w:b/>
          <w:bCs/>
          <w:sz w:val="44"/>
          <w:szCs w:val="44"/>
        </w:rPr>
      </w:pPr>
      <w:r w:rsidRPr="0083040A">
        <w:rPr>
          <w:rStyle w:val="eop"/>
          <w:rFonts w:ascii="Arial" w:eastAsiaTheme="majorEastAsia" w:hAnsi="Arial" w:cs="Arial"/>
          <w:b/>
          <w:bCs/>
          <w:sz w:val="44"/>
          <w:szCs w:val="44"/>
        </w:rPr>
        <w:lastRenderedPageBreak/>
        <w:t>Supplementary Figures 1-3</w:t>
      </w:r>
    </w:p>
    <w:p w14:paraId="17656667" w14:textId="450956ED" w:rsidR="0083040A" w:rsidRPr="0083040A" w:rsidRDefault="0083040A" w:rsidP="0083040A">
      <w:pPr>
        <w:pStyle w:val="paragraph"/>
        <w:shd w:val="clear" w:color="auto" w:fill="FFFFFF"/>
        <w:spacing w:before="0" w:beforeAutospacing="0" w:after="0" w:afterAutospacing="0" w:line="480" w:lineRule="auto"/>
        <w:jc w:val="center"/>
        <w:textAlignment w:val="baseline"/>
        <w:rPr>
          <w:rStyle w:val="eop"/>
          <w:rFonts w:ascii="Arial" w:eastAsiaTheme="majorEastAsia" w:hAnsi="Arial" w:cs="Arial"/>
          <w:b/>
          <w:bCs/>
          <w:sz w:val="44"/>
          <w:szCs w:val="44"/>
        </w:rPr>
      </w:pPr>
      <w:r w:rsidRPr="0083040A">
        <w:rPr>
          <w:rStyle w:val="eop"/>
          <w:rFonts w:ascii="Arial" w:eastAsiaTheme="majorEastAsia" w:hAnsi="Arial" w:cs="Arial"/>
          <w:b/>
          <w:bCs/>
          <w:sz w:val="44"/>
          <w:szCs w:val="44"/>
        </w:rPr>
        <w:t>Supplementary Tables 1-5</w:t>
      </w:r>
    </w:p>
    <w:p w14:paraId="649AED36" w14:textId="77777777" w:rsidR="0083040A" w:rsidRDefault="0083040A" w:rsidP="00B66B86">
      <w:pPr>
        <w:jc w:val="center"/>
        <w:rPr>
          <w:rFonts w:ascii="Arial" w:hAnsi="Arial" w:cs="Arial"/>
          <w:b/>
          <w:bCs/>
          <w:sz w:val="36"/>
          <w:szCs w:val="36"/>
          <w:lang w:val="en-US"/>
        </w:rPr>
      </w:pPr>
    </w:p>
    <w:p w14:paraId="6A608F02" w14:textId="77777777" w:rsidR="0083040A" w:rsidRDefault="0083040A" w:rsidP="00B66B86">
      <w:pPr>
        <w:jc w:val="center"/>
        <w:rPr>
          <w:rFonts w:ascii="Arial" w:hAnsi="Arial" w:cs="Arial"/>
          <w:b/>
          <w:bCs/>
          <w:sz w:val="36"/>
          <w:szCs w:val="36"/>
          <w:lang w:val="en-US"/>
        </w:rPr>
      </w:pPr>
    </w:p>
    <w:p w14:paraId="642FB2FE" w14:textId="77777777" w:rsidR="0083040A" w:rsidRDefault="0083040A" w:rsidP="00B66B86">
      <w:pPr>
        <w:jc w:val="center"/>
        <w:rPr>
          <w:rFonts w:ascii="Arial" w:hAnsi="Arial" w:cs="Arial"/>
          <w:b/>
          <w:bCs/>
          <w:sz w:val="36"/>
          <w:szCs w:val="36"/>
          <w:lang w:val="en-US"/>
        </w:rPr>
      </w:pPr>
    </w:p>
    <w:p w14:paraId="3987C9F1" w14:textId="77777777" w:rsidR="0083040A" w:rsidRDefault="0083040A" w:rsidP="00B66B86">
      <w:pPr>
        <w:jc w:val="center"/>
        <w:rPr>
          <w:rFonts w:ascii="Arial" w:hAnsi="Arial" w:cs="Arial"/>
          <w:b/>
          <w:bCs/>
          <w:sz w:val="36"/>
          <w:szCs w:val="36"/>
          <w:lang w:val="en-US"/>
        </w:rPr>
      </w:pPr>
    </w:p>
    <w:p w14:paraId="1F5E1EDC" w14:textId="77777777" w:rsidR="0083040A" w:rsidRDefault="0083040A" w:rsidP="00B66B86">
      <w:pPr>
        <w:jc w:val="center"/>
        <w:rPr>
          <w:rFonts w:ascii="Arial" w:hAnsi="Arial" w:cs="Arial"/>
          <w:b/>
          <w:bCs/>
          <w:sz w:val="36"/>
          <w:szCs w:val="36"/>
          <w:lang w:val="en-US"/>
        </w:rPr>
      </w:pPr>
    </w:p>
    <w:p w14:paraId="4498FFC4" w14:textId="77777777" w:rsidR="0083040A" w:rsidRDefault="0083040A" w:rsidP="00B66B86">
      <w:pPr>
        <w:jc w:val="center"/>
        <w:rPr>
          <w:rFonts w:ascii="Arial" w:hAnsi="Arial" w:cs="Arial"/>
          <w:b/>
          <w:bCs/>
          <w:sz w:val="36"/>
          <w:szCs w:val="36"/>
          <w:lang w:val="en-US"/>
        </w:rPr>
      </w:pPr>
    </w:p>
    <w:p w14:paraId="4E13711E" w14:textId="77777777" w:rsidR="0083040A" w:rsidRDefault="0083040A" w:rsidP="00B66B86">
      <w:pPr>
        <w:jc w:val="center"/>
        <w:rPr>
          <w:rFonts w:ascii="Arial" w:hAnsi="Arial" w:cs="Arial"/>
          <w:b/>
          <w:bCs/>
          <w:sz w:val="36"/>
          <w:szCs w:val="36"/>
          <w:lang w:val="en-US"/>
        </w:rPr>
      </w:pPr>
    </w:p>
    <w:p w14:paraId="7B228AB9" w14:textId="77777777" w:rsidR="0083040A" w:rsidRDefault="0083040A" w:rsidP="00B66B86">
      <w:pPr>
        <w:jc w:val="center"/>
        <w:rPr>
          <w:rFonts w:ascii="Arial" w:hAnsi="Arial" w:cs="Arial"/>
          <w:b/>
          <w:bCs/>
          <w:sz w:val="36"/>
          <w:szCs w:val="36"/>
          <w:lang w:val="en-US"/>
        </w:rPr>
      </w:pPr>
    </w:p>
    <w:p w14:paraId="52FBCA8A" w14:textId="770B0CFE" w:rsidR="0041325B" w:rsidRDefault="00B66B86" w:rsidP="0083040A">
      <w:pPr>
        <w:rPr>
          <w:rFonts w:ascii="Arial" w:hAnsi="Arial" w:cs="Arial"/>
          <w:b/>
          <w:bCs/>
          <w:sz w:val="36"/>
          <w:szCs w:val="36"/>
          <w:lang w:val="en-US"/>
        </w:rPr>
      </w:pPr>
      <w:r w:rsidRPr="0083040A">
        <w:rPr>
          <w:rFonts w:ascii="Arial" w:hAnsi="Arial" w:cs="Arial"/>
          <w:b/>
          <w:bCs/>
          <w:noProof/>
          <w:lang w:val="en-US"/>
        </w:rPr>
        <w:lastRenderedPageBreak/>
        <w:drawing>
          <wp:anchor distT="0" distB="0" distL="114300" distR="114300" simplePos="0" relativeHeight="251656192" behindDoc="0" locked="0" layoutInCell="1" allowOverlap="1" wp14:anchorId="37828372" wp14:editId="59675B9C">
            <wp:simplePos x="0" y="0"/>
            <wp:positionH relativeFrom="column">
              <wp:posOffset>301337</wp:posOffset>
            </wp:positionH>
            <wp:positionV relativeFrom="paragraph">
              <wp:posOffset>706120</wp:posOffset>
            </wp:positionV>
            <wp:extent cx="4773295" cy="5704205"/>
            <wp:effectExtent l="0" t="0" r="0" b="0"/>
            <wp:wrapTopAndBottom/>
            <wp:docPr id="2801983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295" cy="5704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040A" w:rsidRPr="0083040A">
        <w:rPr>
          <w:rFonts w:ascii="Arial" w:hAnsi="Arial" w:cs="Arial"/>
          <w:b/>
          <w:bCs/>
          <w:lang w:val="en-US"/>
        </w:rPr>
        <w:t>Supplementary Figur</w:t>
      </w:r>
      <w:r w:rsidR="0083040A">
        <w:rPr>
          <w:rFonts w:ascii="Arial" w:hAnsi="Arial" w:cs="Arial"/>
          <w:b/>
          <w:bCs/>
          <w:lang w:val="en-US"/>
        </w:rPr>
        <w:t>e 1</w:t>
      </w:r>
    </w:p>
    <w:p w14:paraId="0972B783" w14:textId="0353ED44" w:rsidR="00B66B86" w:rsidRDefault="00B66B86" w:rsidP="00254A19">
      <w:pPr>
        <w:spacing w:line="480" w:lineRule="auto"/>
        <w:jc w:val="center"/>
        <w:rPr>
          <w:rFonts w:ascii="Arial" w:hAnsi="Arial" w:cs="Arial"/>
          <w:b/>
          <w:bCs/>
          <w:sz w:val="36"/>
          <w:szCs w:val="36"/>
          <w:lang w:val="en-US"/>
        </w:rPr>
      </w:pPr>
    </w:p>
    <w:p w14:paraId="0680F827" w14:textId="39273336" w:rsidR="00B66B86" w:rsidRDefault="00B66B86" w:rsidP="00254A19">
      <w:pPr>
        <w:spacing w:line="480" w:lineRule="auto"/>
        <w:jc w:val="both"/>
        <w:rPr>
          <w:rFonts w:ascii="Arial" w:hAnsi="Arial" w:cs="Arial"/>
          <w:i/>
          <w:iCs/>
          <w:sz w:val="20"/>
          <w:szCs w:val="20"/>
          <w:lang w:val="en-US"/>
        </w:rPr>
      </w:pPr>
      <w:r w:rsidRPr="00B66B86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 xml:space="preserve">Supplementary Figure 1: Using Trainable Weka Segmentation for mitochondrial analysis. a) </w:t>
      </w:r>
      <w:r w:rsidRPr="00B66B86">
        <w:rPr>
          <w:rFonts w:ascii="Arial" w:hAnsi="Arial" w:cs="Arial"/>
          <w:i/>
          <w:iCs/>
          <w:sz w:val="20"/>
          <w:szCs w:val="20"/>
          <w:lang w:val="en-US"/>
        </w:rPr>
        <w:t xml:space="preserve">Trainable Weka Segmentation plugin interface showing </w:t>
      </w:r>
      <w:r w:rsidR="00692A19">
        <w:rPr>
          <w:rFonts w:ascii="Arial" w:hAnsi="Arial" w:cs="Arial"/>
          <w:i/>
          <w:iCs/>
          <w:sz w:val="20"/>
          <w:szCs w:val="20"/>
          <w:lang w:val="en-US"/>
        </w:rPr>
        <w:t xml:space="preserve">the </w:t>
      </w:r>
      <w:r w:rsidRPr="00B66B86">
        <w:rPr>
          <w:rFonts w:ascii="Arial" w:hAnsi="Arial" w:cs="Arial"/>
          <w:i/>
          <w:iCs/>
          <w:sz w:val="20"/>
          <w:szCs w:val="20"/>
          <w:lang w:val="en-US"/>
        </w:rPr>
        <w:t>addition of traces for identification of blank spaces, signal, and noise. The classifier is then trained</w:t>
      </w:r>
      <w:r w:rsidR="00692A19">
        <w:rPr>
          <w:rFonts w:ascii="Arial" w:hAnsi="Arial" w:cs="Arial"/>
          <w:i/>
          <w:iCs/>
          <w:sz w:val="20"/>
          <w:szCs w:val="20"/>
          <w:lang w:val="en-US"/>
        </w:rPr>
        <w:t>,</w:t>
      </w:r>
      <w:r w:rsidRPr="00B66B86">
        <w:rPr>
          <w:rFonts w:ascii="Arial" w:hAnsi="Arial" w:cs="Arial"/>
          <w:i/>
          <w:iCs/>
          <w:sz w:val="20"/>
          <w:szCs w:val="20"/>
          <w:lang w:val="en-US"/>
        </w:rPr>
        <w:t xml:space="preserve"> and segmented image overlaid over the original one with </w:t>
      </w:r>
      <w:proofErr w:type="spellStart"/>
      <w:r w:rsidRPr="00B66B86">
        <w:rPr>
          <w:rFonts w:ascii="Arial" w:hAnsi="Arial" w:cs="Arial"/>
          <w:i/>
          <w:iCs/>
          <w:sz w:val="20"/>
          <w:szCs w:val="20"/>
          <w:lang w:val="en-US"/>
        </w:rPr>
        <w:t>colours</w:t>
      </w:r>
      <w:proofErr w:type="spellEnd"/>
      <w:r w:rsidRPr="00B66B86">
        <w:rPr>
          <w:rFonts w:ascii="Arial" w:hAnsi="Arial" w:cs="Arial"/>
          <w:i/>
          <w:iCs/>
          <w:sz w:val="20"/>
          <w:szCs w:val="20"/>
          <w:lang w:val="en-US"/>
        </w:rPr>
        <w:t xml:space="preserve"> corresponding to those employed for tracing can be seen</w:t>
      </w:r>
      <w:r>
        <w:rPr>
          <w:rFonts w:ascii="Arial" w:hAnsi="Arial" w:cs="Arial"/>
          <w:i/>
          <w:iCs/>
          <w:sz w:val="20"/>
          <w:szCs w:val="20"/>
          <w:lang w:val="en-US"/>
        </w:rPr>
        <w:t>;</w:t>
      </w:r>
      <w:r w:rsidRPr="00B66B86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 xml:space="preserve"> b) </w:t>
      </w:r>
      <w:r w:rsidRPr="00B66B86">
        <w:rPr>
          <w:rFonts w:ascii="Arial" w:hAnsi="Arial" w:cs="Arial"/>
          <w:i/>
          <w:iCs/>
          <w:sz w:val="20"/>
          <w:szCs w:val="20"/>
          <w:lang w:val="en-US"/>
        </w:rPr>
        <w:t xml:space="preserve">Probability maps showing </w:t>
      </w:r>
      <w:r w:rsidRPr="00B66B86">
        <w:rPr>
          <w:rFonts w:ascii="Arial" w:hAnsi="Arial" w:cs="Arial"/>
          <w:i/>
          <w:iCs/>
          <w:sz w:val="20"/>
          <w:szCs w:val="20"/>
          <w:lang w:val="en-US"/>
        </w:rPr>
        <w:lastRenderedPageBreak/>
        <w:t xml:space="preserve">the probability of each pixel belonging to one of the traced classes </w:t>
      </w:r>
      <w:r w:rsidR="00692A19">
        <w:rPr>
          <w:rFonts w:ascii="Arial" w:hAnsi="Arial" w:cs="Arial"/>
          <w:i/>
          <w:iCs/>
          <w:sz w:val="20"/>
          <w:szCs w:val="20"/>
          <w:lang w:val="en-US"/>
        </w:rPr>
        <w:t>are</w:t>
      </w:r>
      <w:r w:rsidRPr="00B66B86">
        <w:rPr>
          <w:rFonts w:ascii="Arial" w:hAnsi="Arial" w:cs="Arial"/>
          <w:i/>
          <w:iCs/>
          <w:sz w:val="20"/>
          <w:szCs w:val="20"/>
          <w:lang w:val="en-US"/>
        </w:rPr>
        <w:t xml:space="preserve"> shown. This ‘signal mask’ is rerun through the plugin to remove </w:t>
      </w:r>
      <w:r w:rsidR="00692A19">
        <w:rPr>
          <w:rFonts w:ascii="Arial" w:hAnsi="Arial" w:cs="Arial"/>
          <w:i/>
          <w:iCs/>
          <w:sz w:val="20"/>
          <w:szCs w:val="20"/>
          <w:lang w:val="en-US"/>
        </w:rPr>
        <w:t xml:space="preserve">the </w:t>
      </w:r>
      <w:r w:rsidR="00692A19" w:rsidRPr="00692A19">
        <w:rPr>
          <w:rFonts w:ascii="Arial" w:hAnsi="Arial" w:cs="Arial"/>
          <w:i/>
          <w:iCs/>
          <w:sz w:val="20"/>
          <w:szCs w:val="20"/>
          <w:lang w:val="en-US"/>
        </w:rPr>
        <w:t>spurious low-intensity signa</w:t>
      </w:r>
      <w:r w:rsidR="00263B7D">
        <w:rPr>
          <w:rFonts w:ascii="Arial" w:hAnsi="Arial" w:cs="Arial"/>
          <w:i/>
          <w:iCs/>
          <w:sz w:val="20"/>
          <w:szCs w:val="20"/>
          <w:lang w:val="en-US"/>
        </w:rPr>
        <w:t>l</w:t>
      </w:r>
      <w:r w:rsidR="00692A19">
        <w:rPr>
          <w:rFonts w:ascii="Arial" w:hAnsi="Arial" w:cs="Arial"/>
          <w:i/>
          <w:iCs/>
          <w:sz w:val="20"/>
          <w:szCs w:val="20"/>
          <w:lang w:val="en-US"/>
        </w:rPr>
        <w:t xml:space="preserve"> around the mitochondrial signa</w:t>
      </w:r>
      <w:r w:rsidRPr="00B66B86">
        <w:rPr>
          <w:rFonts w:ascii="Arial" w:hAnsi="Arial" w:cs="Arial"/>
          <w:i/>
          <w:iCs/>
          <w:sz w:val="20"/>
          <w:szCs w:val="20"/>
          <w:lang w:val="en-US"/>
        </w:rPr>
        <w:t>l</w:t>
      </w:r>
      <w:r>
        <w:rPr>
          <w:rFonts w:ascii="Arial" w:hAnsi="Arial" w:cs="Arial"/>
          <w:i/>
          <w:iCs/>
          <w:sz w:val="20"/>
          <w:szCs w:val="20"/>
          <w:lang w:val="en-US"/>
        </w:rPr>
        <w:t>;</w:t>
      </w:r>
      <w:r w:rsidRPr="00B66B86">
        <w:rPr>
          <w:rFonts w:ascii="Arial" w:hAnsi="Arial" w:cs="Arial"/>
          <w:i/>
          <w:iCs/>
          <w:sz w:val="20"/>
          <w:szCs w:val="20"/>
          <w:lang w:val="en-US"/>
        </w:rPr>
        <w:t xml:space="preserve"> </w:t>
      </w:r>
      <w:r w:rsidRPr="00B66B86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 xml:space="preserve">c) </w:t>
      </w:r>
      <w:r w:rsidRPr="00B66B86">
        <w:rPr>
          <w:rFonts w:ascii="Arial" w:hAnsi="Arial" w:cs="Arial"/>
          <w:i/>
          <w:iCs/>
          <w:sz w:val="20"/>
          <w:szCs w:val="20"/>
          <w:lang w:val="en-US"/>
        </w:rPr>
        <w:t xml:space="preserve">Final signal mask is then </w:t>
      </w:r>
      <w:proofErr w:type="spellStart"/>
      <w:r w:rsidRPr="00B66B86">
        <w:rPr>
          <w:rFonts w:ascii="Arial" w:hAnsi="Arial" w:cs="Arial"/>
          <w:i/>
          <w:iCs/>
          <w:sz w:val="20"/>
          <w:szCs w:val="20"/>
          <w:lang w:val="en-US"/>
        </w:rPr>
        <w:t>binarised</w:t>
      </w:r>
      <w:proofErr w:type="spellEnd"/>
      <w:r w:rsidRPr="00B66B86">
        <w:rPr>
          <w:rFonts w:ascii="Arial" w:hAnsi="Arial" w:cs="Arial"/>
          <w:i/>
          <w:iCs/>
          <w:sz w:val="20"/>
          <w:szCs w:val="20"/>
          <w:lang w:val="en-US"/>
        </w:rPr>
        <w:t xml:space="preserve">, </w:t>
      </w:r>
      <w:proofErr w:type="spellStart"/>
      <w:r w:rsidRPr="00B66B86">
        <w:rPr>
          <w:rFonts w:ascii="Arial" w:hAnsi="Arial" w:cs="Arial"/>
          <w:i/>
          <w:iCs/>
          <w:sz w:val="20"/>
          <w:szCs w:val="20"/>
          <w:lang w:val="en-US"/>
        </w:rPr>
        <w:t>skeletoni</w:t>
      </w:r>
      <w:r w:rsidR="00525107">
        <w:rPr>
          <w:rFonts w:ascii="Arial" w:hAnsi="Arial" w:cs="Arial"/>
          <w:i/>
          <w:iCs/>
          <w:sz w:val="20"/>
          <w:szCs w:val="20"/>
          <w:lang w:val="en-US"/>
        </w:rPr>
        <w:t>s</w:t>
      </w:r>
      <w:r w:rsidRPr="00B66B86">
        <w:rPr>
          <w:rFonts w:ascii="Arial" w:hAnsi="Arial" w:cs="Arial"/>
          <w:i/>
          <w:iCs/>
          <w:sz w:val="20"/>
          <w:szCs w:val="20"/>
          <w:lang w:val="en-US"/>
        </w:rPr>
        <w:t>ed</w:t>
      </w:r>
      <w:proofErr w:type="spellEnd"/>
      <w:r w:rsidRPr="00B66B86">
        <w:rPr>
          <w:rFonts w:ascii="Arial" w:hAnsi="Arial" w:cs="Arial"/>
          <w:i/>
          <w:iCs/>
          <w:sz w:val="20"/>
          <w:szCs w:val="20"/>
          <w:lang w:val="en-US"/>
        </w:rPr>
        <w:t xml:space="preserve"> for confirmation, and run through </w:t>
      </w:r>
      <w:proofErr w:type="spellStart"/>
      <w:r w:rsidRPr="00B66B86">
        <w:rPr>
          <w:rFonts w:ascii="Arial" w:hAnsi="Arial" w:cs="Arial"/>
          <w:i/>
          <w:iCs/>
          <w:sz w:val="20"/>
          <w:szCs w:val="20"/>
          <w:lang w:val="en-US"/>
        </w:rPr>
        <w:t>MiNA</w:t>
      </w:r>
      <w:proofErr w:type="spellEnd"/>
      <w:r w:rsidRPr="00B66B86">
        <w:rPr>
          <w:rFonts w:ascii="Arial" w:hAnsi="Arial" w:cs="Arial"/>
          <w:i/>
          <w:iCs/>
          <w:sz w:val="20"/>
          <w:szCs w:val="20"/>
          <w:lang w:val="en-US"/>
        </w:rPr>
        <w:t xml:space="preserve"> plugin for quantification.</w:t>
      </w:r>
    </w:p>
    <w:p w14:paraId="4CA7E6C4" w14:textId="3C8822B8" w:rsidR="0083040A" w:rsidRDefault="0083040A" w:rsidP="0083040A">
      <w:pPr>
        <w:rPr>
          <w:rFonts w:ascii="Arial" w:hAnsi="Arial" w:cs="Arial"/>
          <w:b/>
          <w:bCs/>
          <w:sz w:val="36"/>
          <w:szCs w:val="36"/>
          <w:lang w:val="en-US"/>
        </w:rPr>
      </w:pPr>
      <w:r>
        <w:rPr>
          <w:rFonts w:ascii="Arial" w:hAnsi="Arial" w:cs="Arial"/>
          <w:b/>
          <w:bCs/>
          <w:i/>
          <w:iCs/>
          <w:noProof/>
          <w:sz w:val="20"/>
          <w:szCs w:val="20"/>
          <w:lang w:val="en-US"/>
        </w:rPr>
        <w:drawing>
          <wp:anchor distT="0" distB="0" distL="114300" distR="114300" simplePos="0" relativeHeight="251657216" behindDoc="0" locked="0" layoutInCell="1" allowOverlap="1" wp14:anchorId="68B338DB" wp14:editId="7B321A50">
            <wp:simplePos x="0" y="0"/>
            <wp:positionH relativeFrom="column">
              <wp:posOffset>-33866</wp:posOffset>
            </wp:positionH>
            <wp:positionV relativeFrom="paragraph">
              <wp:posOffset>345229</wp:posOffset>
            </wp:positionV>
            <wp:extent cx="5773420" cy="2897505"/>
            <wp:effectExtent l="0" t="0" r="0" b="0"/>
            <wp:wrapTopAndBottom/>
            <wp:docPr id="162018484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420" cy="2897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lang w:val="en-US"/>
        </w:rPr>
        <w:t>S</w:t>
      </w:r>
      <w:r w:rsidRPr="0083040A">
        <w:rPr>
          <w:rFonts w:ascii="Arial" w:hAnsi="Arial" w:cs="Arial"/>
          <w:b/>
          <w:bCs/>
          <w:lang w:val="en-US"/>
        </w:rPr>
        <w:t>upplementary Figur</w:t>
      </w:r>
      <w:r>
        <w:rPr>
          <w:rFonts w:ascii="Arial" w:hAnsi="Arial" w:cs="Arial"/>
          <w:b/>
          <w:bCs/>
          <w:lang w:val="en-US"/>
        </w:rPr>
        <w:t>e 2</w:t>
      </w:r>
    </w:p>
    <w:p w14:paraId="581C319B" w14:textId="6AF8CC5E" w:rsidR="0083040A" w:rsidRPr="00B66B86" w:rsidRDefault="0083040A" w:rsidP="00B66B86">
      <w:pPr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2410485F" w14:textId="08EDE048" w:rsidR="00B66B86" w:rsidRDefault="00B66B86" w:rsidP="00254A19">
      <w:pPr>
        <w:spacing w:line="480" w:lineRule="auto"/>
        <w:jc w:val="both"/>
        <w:rPr>
          <w:rFonts w:ascii="Arial" w:hAnsi="Arial" w:cs="Arial"/>
          <w:i/>
          <w:iCs/>
          <w:sz w:val="20"/>
          <w:szCs w:val="20"/>
          <w:lang w:val="en-US"/>
        </w:rPr>
      </w:pPr>
      <w:r w:rsidRPr="00B66B86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 xml:space="preserve">Supplementary Figure 2: Improvement in signal masks after being rerun through Trainable Weka Segmentation plugin. </w:t>
      </w:r>
      <w:r w:rsidRPr="00B66B86">
        <w:rPr>
          <w:rFonts w:ascii="Arial" w:hAnsi="Arial" w:cs="Arial"/>
          <w:i/>
          <w:iCs/>
          <w:sz w:val="20"/>
          <w:szCs w:val="20"/>
          <w:lang w:val="en-US"/>
        </w:rPr>
        <w:t>The</w:t>
      </w:r>
      <w:r w:rsidR="00263B7D">
        <w:rPr>
          <w:rFonts w:ascii="Arial" w:hAnsi="Arial" w:cs="Arial"/>
          <w:i/>
          <w:iCs/>
          <w:sz w:val="20"/>
          <w:szCs w:val="20"/>
          <w:lang w:val="en-US"/>
        </w:rPr>
        <w:t xml:space="preserve"> </w:t>
      </w:r>
      <w:r w:rsidR="00263B7D" w:rsidRPr="00692A19">
        <w:rPr>
          <w:rFonts w:ascii="Arial" w:hAnsi="Arial" w:cs="Arial"/>
          <w:i/>
          <w:iCs/>
          <w:sz w:val="20"/>
          <w:szCs w:val="20"/>
          <w:lang w:val="en-US"/>
        </w:rPr>
        <w:t>spurious low-intensity signa</w:t>
      </w:r>
      <w:r w:rsidR="00263B7D">
        <w:rPr>
          <w:rFonts w:ascii="Arial" w:hAnsi="Arial" w:cs="Arial"/>
          <w:i/>
          <w:iCs/>
          <w:sz w:val="20"/>
          <w:szCs w:val="20"/>
          <w:lang w:val="en-US"/>
        </w:rPr>
        <w:t xml:space="preserve">l </w:t>
      </w:r>
      <w:r w:rsidRPr="00B66B86">
        <w:rPr>
          <w:rFonts w:ascii="Arial" w:hAnsi="Arial" w:cs="Arial"/>
          <w:i/>
          <w:iCs/>
          <w:sz w:val="20"/>
          <w:szCs w:val="20"/>
          <w:lang w:val="en-US"/>
        </w:rPr>
        <w:t xml:space="preserve">observed in the signal mask limits accurate </w:t>
      </w:r>
      <w:proofErr w:type="spellStart"/>
      <w:r w:rsidRPr="00B66B86">
        <w:rPr>
          <w:rFonts w:ascii="Arial" w:hAnsi="Arial" w:cs="Arial"/>
          <w:i/>
          <w:iCs/>
          <w:sz w:val="20"/>
          <w:szCs w:val="20"/>
          <w:lang w:val="en-US"/>
        </w:rPr>
        <w:t>binari</w:t>
      </w:r>
      <w:r w:rsidR="00263B7D">
        <w:rPr>
          <w:rFonts w:ascii="Arial" w:hAnsi="Arial" w:cs="Arial"/>
          <w:i/>
          <w:iCs/>
          <w:sz w:val="20"/>
          <w:szCs w:val="20"/>
          <w:lang w:val="en-US"/>
        </w:rPr>
        <w:t>s</w:t>
      </w:r>
      <w:r w:rsidRPr="00B66B86">
        <w:rPr>
          <w:rFonts w:ascii="Arial" w:hAnsi="Arial" w:cs="Arial"/>
          <w:i/>
          <w:iCs/>
          <w:sz w:val="20"/>
          <w:szCs w:val="20"/>
          <w:lang w:val="en-US"/>
        </w:rPr>
        <w:t>ation</w:t>
      </w:r>
      <w:proofErr w:type="spellEnd"/>
      <w:r w:rsidRPr="00B66B86">
        <w:rPr>
          <w:rFonts w:ascii="Arial" w:hAnsi="Arial" w:cs="Arial"/>
          <w:i/>
          <w:iCs/>
          <w:sz w:val="20"/>
          <w:szCs w:val="20"/>
          <w:lang w:val="en-US"/>
        </w:rPr>
        <w:t xml:space="preserve"> of </w:t>
      </w:r>
      <w:r w:rsidR="00263B7D">
        <w:rPr>
          <w:rFonts w:ascii="Arial" w:hAnsi="Arial" w:cs="Arial"/>
          <w:i/>
          <w:iCs/>
          <w:sz w:val="20"/>
          <w:szCs w:val="20"/>
          <w:lang w:val="en-US"/>
        </w:rPr>
        <w:t xml:space="preserve">the </w:t>
      </w:r>
      <w:r w:rsidRPr="00B66B86">
        <w:rPr>
          <w:rFonts w:ascii="Arial" w:hAnsi="Arial" w:cs="Arial"/>
          <w:i/>
          <w:iCs/>
          <w:sz w:val="20"/>
          <w:szCs w:val="20"/>
          <w:lang w:val="en-US"/>
        </w:rPr>
        <w:t xml:space="preserve">mitochondrial network and leads to inadequate skeletonization. Double Weka run trains the plugin to differentiate </w:t>
      </w:r>
      <w:r w:rsidR="00263B7D">
        <w:rPr>
          <w:rFonts w:ascii="Arial" w:hAnsi="Arial" w:cs="Arial"/>
          <w:i/>
          <w:iCs/>
          <w:sz w:val="20"/>
          <w:szCs w:val="20"/>
          <w:lang w:val="en-US"/>
        </w:rPr>
        <w:t xml:space="preserve">the </w:t>
      </w:r>
      <w:r w:rsidRPr="00B66B86">
        <w:rPr>
          <w:rFonts w:ascii="Arial" w:hAnsi="Arial" w:cs="Arial"/>
          <w:i/>
          <w:iCs/>
          <w:sz w:val="20"/>
          <w:szCs w:val="20"/>
          <w:lang w:val="en-US"/>
        </w:rPr>
        <w:t xml:space="preserve">actual signal from the </w:t>
      </w:r>
      <w:r w:rsidR="00263B7D">
        <w:rPr>
          <w:rFonts w:ascii="Arial" w:hAnsi="Arial" w:cs="Arial"/>
          <w:i/>
          <w:iCs/>
          <w:sz w:val="20"/>
          <w:szCs w:val="20"/>
          <w:lang w:val="en-US"/>
        </w:rPr>
        <w:t xml:space="preserve">spurious signal </w:t>
      </w:r>
      <w:r w:rsidRPr="00B66B86">
        <w:rPr>
          <w:rFonts w:ascii="Arial" w:hAnsi="Arial" w:cs="Arial"/>
          <w:i/>
          <w:iCs/>
          <w:sz w:val="20"/>
          <w:szCs w:val="20"/>
          <w:lang w:val="en-US"/>
        </w:rPr>
        <w:t xml:space="preserve">and provides </w:t>
      </w:r>
      <w:r w:rsidR="00263B7D">
        <w:rPr>
          <w:rFonts w:ascii="Arial" w:hAnsi="Arial" w:cs="Arial"/>
          <w:i/>
          <w:iCs/>
          <w:sz w:val="20"/>
          <w:szCs w:val="20"/>
          <w:lang w:val="en-US"/>
        </w:rPr>
        <w:t xml:space="preserve">an </w:t>
      </w:r>
      <w:r w:rsidRPr="00B66B86">
        <w:rPr>
          <w:rFonts w:ascii="Arial" w:hAnsi="Arial" w:cs="Arial"/>
          <w:i/>
          <w:iCs/>
          <w:sz w:val="20"/>
          <w:szCs w:val="20"/>
          <w:lang w:val="en-US"/>
        </w:rPr>
        <w:t xml:space="preserve">accurate representation of </w:t>
      </w:r>
      <w:r w:rsidR="00263B7D">
        <w:rPr>
          <w:rFonts w:ascii="Arial" w:hAnsi="Arial" w:cs="Arial"/>
          <w:i/>
          <w:iCs/>
          <w:sz w:val="20"/>
          <w:szCs w:val="20"/>
          <w:lang w:val="en-US"/>
        </w:rPr>
        <w:t xml:space="preserve">the </w:t>
      </w:r>
      <w:r w:rsidRPr="00B66B86">
        <w:rPr>
          <w:rFonts w:ascii="Arial" w:hAnsi="Arial" w:cs="Arial"/>
          <w:i/>
          <w:iCs/>
          <w:sz w:val="20"/>
          <w:szCs w:val="20"/>
          <w:lang w:val="en-US"/>
        </w:rPr>
        <w:t>mitochondrial network in both type I and II myofibres</w:t>
      </w:r>
    </w:p>
    <w:p w14:paraId="1CBE177F" w14:textId="77777777" w:rsidR="0083040A" w:rsidRDefault="0083040A" w:rsidP="00307B43">
      <w:pPr>
        <w:jc w:val="both"/>
        <w:rPr>
          <w:rFonts w:ascii="Arial" w:hAnsi="Arial" w:cs="Arial"/>
          <w:i/>
          <w:iCs/>
          <w:sz w:val="20"/>
          <w:szCs w:val="20"/>
          <w:lang w:val="en-US"/>
        </w:rPr>
      </w:pPr>
    </w:p>
    <w:p w14:paraId="4D3F9A95" w14:textId="6F48AD6A" w:rsidR="0083040A" w:rsidRDefault="0083040A" w:rsidP="0083040A">
      <w:pPr>
        <w:rPr>
          <w:rFonts w:ascii="Arial" w:hAnsi="Arial" w:cs="Arial"/>
          <w:b/>
          <w:bCs/>
          <w:sz w:val="36"/>
          <w:szCs w:val="36"/>
          <w:lang w:val="en-US"/>
        </w:rPr>
      </w:pPr>
      <w:r>
        <w:rPr>
          <w:rFonts w:ascii="Arial" w:hAnsi="Arial" w:cs="Arial"/>
          <w:i/>
          <w:iCs/>
          <w:noProof/>
          <w:sz w:val="20"/>
          <w:szCs w:val="20"/>
          <w:lang w:val="en-US"/>
        </w:rPr>
        <w:drawing>
          <wp:anchor distT="0" distB="0" distL="114300" distR="114300" simplePos="0" relativeHeight="251659264" behindDoc="0" locked="0" layoutInCell="1" allowOverlap="1" wp14:anchorId="6A73E390" wp14:editId="5E338316">
            <wp:simplePos x="0" y="0"/>
            <wp:positionH relativeFrom="column">
              <wp:posOffset>0</wp:posOffset>
            </wp:positionH>
            <wp:positionV relativeFrom="paragraph">
              <wp:posOffset>386504</wp:posOffset>
            </wp:positionV>
            <wp:extent cx="5932805" cy="1929130"/>
            <wp:effectExtent l="0" t="0" r="0" b="0"/>
            <wp:wrapTopAndBottom/>
            <wp:docPr id="173963318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1929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lang w:val="en-US"/>
        </w:rPr>
        <w:t>S</w:t>
      </w:r>
      <w:r w:rsidRPr="0083040A">
        <w:rPr>
          <w:rFonts w:ascii="Arial" w:hAnsi="Arial" w:cs="Arial"/>
          <w:b/>
          <w:bCs/>
          <w:lang w:val="en-US"/>
        </w:rPr>
        <w:t>upplementary Figur</w:t>
      </w:r>
      <w:r>
        <w:rPr>
          <w:rFonts w:ascii="Arial" w:hAnsi="Arial" w:cs="Arial"/>
          <w:b/>
          <w:bCs/>
          <w:lang w:val="en-US"/>
        </w:rPr>
        <w:t>e 3</w:t>
      </w:r>
    </w:p>
    <w:p w14:paraId="6F09EE92" w14:textId="52290856" w:rsidR="004C5F29" w:rsidRPr="004C5F29" w:rsidRDefault="004C5F29" w:rsidP="00254A19">
      <w:pPr>
        <w:spacing w:line="480" w:lineRule="auto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4C5F29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lastRenderedPageBreak/>
        <w:t xml:space="preserve">Supplementary Figure 3: Orthogonal views depicting distribution of VDAC (red), MitoView (green) and DAPI (blue) in the XZ and YZ planes of the z-stack. </w:t>
      </w:r>
      <w:r w:rsidRPr="004C5F29">
        <w:rPr>
          <w:rFonts w:ascii="Arial" w:hAnsi="Arial" w:cs="Arial"/>
          <w:i/>
          <w:iCs/>
          <w:sz w:val="20"/>
          <w:szCs w:val="20"/>
          <w:lang w:val="en-US"/>
        </w:rPr>
        <w:t xml:space="preserve">Orthogonal views are shown for tissue sections </w:t>
      </w:r>
      <w:proofErr w:type="spellStart"/>
      <w:r w:rsidRPr="004C5F29">
        <w:rPr>
          <w:rFonts w:ascii="Arial" w:hAnsi="Arial" w:cs="Arial"/>
          <w:i/>
          <w:iCs/>
          <w:sz w:val="20"/>
          <w:szCs w:val="20"/>
          <w:lang w:val="en-US"/>
        </w:rPr>
        <w:t>permeabilised</w:t>
      </w:r>
      <w:proofErr w:type="spellEnd"/>
      <w:r w:rsidRPr="004C5F29">
        <w:rPr>
          <w:rFonts w:ascii="Arial" w:hAnsi="Arial" w:cs="Arial"/>
          <w:i/>
          <w:iCs/>
          <w:sz w:val="20"/>
          <w:szCs w:val="20"/>
          <w:lang w:val="en-US"/>
        </w:rPr>
        <w:t xml:space="preserve"> with 0.25</w:t>
      </w:r>
      <w:r w:rsidR="00263B7D">
        <w:rPr>
          <w:rFonts w:ascii="Arial" w:hAnsi="Arial" w:cs="Arial"/>
          <w:i/>
          <w:iCs/>
          <w:sz w:val="20"/>
          <w:szCs w:val="20"/>
          <w:lang w:val="en-US"/>
        </w:rPr>
        <w:t xml:space="preserve"> %</w:t>
      </w:r>
      <w:r w:rsidRPr="004C5F29">
        <w:rPr>
          <w:rFonts w:ascii="Arial" w:hAnsi="Arial" w:cs="Arial"/>
          <w:i/>
          <w:iCs/>
          <w:sz w:val="20"/>
          <w:szCs w:val="20"/>
          <w:lang w:val="en-US"/>
        </w:rPr>
        <w:t xml:space="preserve"> Triton </w:t>
      </w:r>
      <w:r w:rsidRPr="004C5F29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(a)</w:t>
      </w:r>
      <w:r w:rsidRPr="004C5F29">
        <w:rPr>
          <w:rFonts w:ascii="Arial" w:hAnsi="Arial" w:cs="Arial"/>
          <w:i/>
          <w:iCs/>
          <w:sz w:val="20"/>
          <w:szCs w:val="20"/>
          <w:lang w:val="en-US"/>
        </w:rPr>
        <w:t>, 0.5</w:t>
      </w:r>
      <w:r w:rsidR="00263B7D">
        <w:rPr>
          <w:rFonts w:ascii="Arial" w:hAnsi="Arial" w:cs="Arial"/>
          <w:i/>
          <w:iCs/>
          <w:sz w:val="20"/>
          <w:szCs w:val="20"/>
          <w:lang w:val="en-US"/>
        </w:rPr>
        <w:t xml:space="preserve"> %</w:t>
      </w:r>
      <w:r w:rsidRPr="004C5F29">
        <w:rPr>
          <w:rFonts w:ascii="Arial" w:hAnsi="Arial" w:cs="Arial"/>
          <w:i/>
          <w:iCs/>
          <w:sz w:val="20"/>
          <w:szCs w:val="20"/>
          <w:lang w:val="en-US"/>
        </w:rPr>
        <w:t xml:space="preserve"> Triton </w:t>
      </w:r>
      <w:r w:rsidRPr="004C5F29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(b)</w:t>
      </w:r>
      <w:r w:rsidRPr="004C5F29">
        <w:rPr>
          <w:rFonts w:ascii="Arial" w:hAnsi="Arial" w:cs="Arial"/>
          <w:i/>
          <w:iCs/>
          <w:sz w:val="20"/>
          <w:szCs w:val="20"/>
          <w:lang w:val="en-US"/>
        </w:rPr>
        <w:t xml:space="preserve">, and PBT </w:t>
      </w:r>
      <w:r w:rsidRPr="004C5F29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(c)</w:t>
      </w:r>
      <w:r w:rsidRPr="004C5F29">
        <w:rPr>
          <w:rFonts w:ascii="Arial" w:hAnsi="Arial" w:cs="Arial"/>
          <w:i/>
          <w:iCs/>
          <w:sz w:val="20"/>
          <w:szCs w:val="20"/>
          <w:lang w:val="en-US"/>
        </w:rPr>
        <w:t xml:space="preserve">. The yellow intersection depicts the point being </w:t>
      </w:r>
      <w:proofErr w:type="spellStart"/>
      <w:r w:rsidRPr="004C5F29">
        <w:rPr>
          <w:rFonts w:ascii="Arial" w:hAnsi="Arial" w:cs="Arial"/>
          <w:i/>
          <w:iCs/>
          <w:sz w:val="20"/>
          <w:szCs w:val="20"/>
          <w:lang w:val="en-US"/>
        </w:rPr>
        <w:t>analysed</w:t>
      </w:r>
      <w:proofErr w:type="spellEnd"/>
      <w:r w:rsidRPr="004C5F29">
        <w:rPr>
          <w:rFonts w:ascii="Arial" w:hAnsi="Arial" w:cs="Arial"/>
          <w:i/>
          <w:iCs/>
          <w:sz w:val="20"/>
          <w:szCs w:val="20"/>
          <w:lang w:val="en-US"/>
        </w:rPr>
        <w:t>. Both XZ and YZ planes show that the VDAC layers on the top-most region of the tissue section, as opposed to complete penetration by mitochondrial and nuclear dyes</w:t>
      </w:r>
      <w:r w:rsidR="00307B43">
        <w:rPr>
          <w:rFonts w:ascii="Arial" w:hAnsi="Arial" w:cs="Arial"/>
          <w:i/>
          <w:iCs/>
          <w:sz w:val="20"/>
          <w:szCs w:val="20"/>
          <w:lang w:val="en-US"/>
        </w:rPr>
        <w:t>.</w:t>
      </w:r>
      <w:r w:rsidRPr="004C5F29">
        <w:rPr>
          <w:rFonts w:ascii="Arial" w:hAnsi="Arial" w:cs="Arial"/>
          <w:i/>
          <w:iCs/>
          <w:sz w:val="20"/>
          <w:szCs w:val="20"/>
          <w:lang w:val="en-US"/>
        </w:rPr>
        <w:t xml:space="preserve"> The only regions where VDAC antibody is seen present deeper in the section are where there is lack of skeletal tissue thickness </w:t>
      </w:r>
      <w:r>
        <w:rPr>
          <w:rFonts w:ascii="Arial" w:hAnsi="Arial" w:cs="Arial"/>
          <w:i/>
          <w:iCs/>
          <w:sz w:val="20"/>
          <w:szCs w:val="20"/>
          <w:lang w:val="en-US"/>
        </w:rPr>
        <w:t>(</w:t>
      </w:r>
      <w:r w:rsidRPr="004C5F29">
        <w:rPr>
          <w:rFonts w:ascii="Arial" w:hAnsi="Arial" w:cs="Arial"/>
          <w:i/>
          <w:iCs/>
          <w:sz w:val="20"/>
          <w:szCs w:val="20"/>
          <w:lang w:val="en-US"/>
        </w:rPr>
        <w:t>Scale bar 5</w:t>
      </w:r>
      <w:r>
        <w:rPr>
          <w:rFonts w:ascii="Arial" w:hAnsi="Arial" w:cs="Arial"/>
          <w:i/>
          <w:iCs/>
          <w:sz w:val="20"/>
          <w:szCs w:val="20"/>
          <w:lang w:val="en-US"/>
        </w:rPr>
        <w:t xml:space="preserve"> µm).</w:t>
      </w:r>
    </w:p>
    <w:p w14:paraId="5AFEF1C6" w14:textId="193DB586" w:rsidR="000614AE" w:rsidRPr="00E21C8D" w:rsidRDefault="000614AE" w:rsidP="000614AE">
      <w:pPr>
        <w:spacing w:line="360" w:lineRule="auto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>
        <w:rPr>
          <w:rFonts w:ascii="Arial" w:hAnsi="Arial" w:cs="Arial"/>
          <w:b/>
          <w:bCs/>
          <w:i/>
          <w:iCs/>
          <w:sz w:val="20"/>
          <w:szCs w:val="20"/>
        </w:rPr>
        <w:t xml:space="preserve">Supplementary </w:t>
      </w:r>
      <w:r w:rsidRPr="00E21C8D">
        <w:rPr>
          <w:rFonts w:ascii="Arial" w:hAnsi="Arial" w:cs="Arial"/>
          <w:b/>
          <w:bCs/>
          <w:i/>
          <w:iCs/>
          <w:sz w:val="20"/>
          <w:szCs w:val="20"/>
        </w:rPr>
        <w:t>Table 1: List of chemicals/products with their manufacturers, solutions with recipe</w:t>
      </w:r>
      <w:r w:rsidR="00263B7D">
        <w:rPr>
          <w:rFonts w:ascii="Arial" w:hAnsi="Arial" w:cs="Arial"/>
          <w:b/>
          <w:bCs/>
          <w:i/>
          <w:iCs/>
          <w:sz w:val="20"/>
          <w:szCs w:val="20"/>
        </w:rPr>
        <w:t>s</w:t>
      </w:r>
      <w:r w:rsidRPr="00E21C8D">
        <w:rPr>
          <w:rFonts w:ascii="Arial" w:hAnsi="Arial" w:cs="Arial"/>
          <w:b/>
          <w:bCs/>
          <w:i/>
          <w:iCs/>
          <w:sz w:val="20"/>
          <w:szCs w:val="20"/>
        </w:rPr>
        <w:t xml:space="preserve">, and equipment with </w:t>
      </w:r>
      <w:r w:rsidR="00263B7D">
        <w:rPr>
          <w:rFonts w:ascii="Arial" w:hAnsi="Arial" w:cs="Arial"/>
          <w:b/>
          <w:bCs/>
          <w:i/>
          <w:iCs/>
          <w:sz w:val="20"/>
          <w:szCs w:val="20"/>
        </w:rPr>
        <w:t>their</w:t>
      </w:r>
      <w:r w:rsidRPr="00E21C8D">
        <w:rPr>
          <w:rFonts w:ascii="Arial" w:hAnsi="Arial" w:cs="Arial"/>
          <w:b/>
          <w:bCs/>
          <w:i/>
          <w:iCs/>
          <w:sz w:val="20"/>
          <w:szCs w:val="20"/>
        </w:rPr>
        <w:t xml:space="preserve"> use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10"/>
        <w:gridCol w:w="4590"/>
        <w:gridCol w:w="1368"/>
      </w:tblGrid>
      <w:tr w:rsidR="000614AE" w:rsidRPr="003A76FA" w14:paraId="2D6AEEEC" w14:textId="77777777" w:rsidTr="00EB016C">
        <w:tc>
          <w:tcPr>
            <w:tcW w:w="3510" w:type="dxa"/>
          </w:tcPr>
          <w:p w14:paraId="018E0D9A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A76FA">
              <w:rPr>
                <w:rFonts w:ascii="Arial" w:hAnsi="Arial" w:cs="Arial"/>
                <w:b/>
                <w:bCs/>
                <w:sz w:val="20"/>
                <w:szCs w:val="20"/>
              </w:rPr>
              <w:t>Manufacturer</w:t>
            </w:r>
          </w:p>
        </w:tc>
        <w:tc>
          <w:tcPr>
            <w:tcW w:w="4590" w:type="dxa"/>
          </w:tcPr>
          <w:p w14:paraId="41AC8A29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A76FA">
              <w:rPr>
                <w:rFonts w:ascii="Arial" w:hAnsi="Arial" w:cs="Arial"/>
                <w:b/>
                <w:bCs/>
                <w:sz w:val="20"/>
                <w:szCs w:val="20"/>
              </w:rPr>
              <w:t>Chemical/Product</w:t>
            </w:r>
          </w:p>
        </w:tc>
        <w:tc>
          <w:tcPr>
            <w:tcW w:w="1368" w:type="dxa"/>
          </w:tcPr>
          <w:p w14:paraId="133D3019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A76FA">
              <w:rPr>
                <w:rFonts w:ascii="Arial" w:hAnsi="Arial" w:cs="Arial"/>
                <w:b/>
                <w:bCs/>
                <w:sz w:val="20"/>
                <w:szCs w:val="20"/>
              </w:rPr>
              <w:t>Catalogue Number</w:t>
            </w:r>
          </w:p>
        </w:tc>
      </w:tr>
      <w:tr w:rsidR="000614AE" w:rsidRPr="003A76FA" w14:paraId="7CCF5E11" w14:textId="77777777" w:rsidTr="00EB016C">
        <w:tc>
          <w:tcPr>
            <w:tcW w:w="3510" w:type="dxa"/>
          </w:tcPr>
          <w:p w14:paraId="7A5CA447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A76FA">
              <w:rPr>
                <w:rFonts w:ascii="Arial" w:hAnsi="Arial" w:cs="Arial"/>
                <w:sz w:val="20"/>
                <w:szCs w:val="20"/>
              </w:rPr>
              <w:t>Acros</w:t>
            </w:r>
            <w:proofErr w:type="spellEnd"/>
            <w:r w:rsidRPr="003A76FA">
              <w:rPr>
                <w:rFonts w:ascii="Arial" w:hAnsi="Arial" w:cs="Arial"/>
                <w:sz w:val="20"/>
                <w:szCs w:val="20"/>
              </w:rPr>
              <w:t xml:space="preserve"> Organics (Geel, Belgium)</w:t>
            </w:r>
          </w:p>
        </w:tc>
        <w:tc>
          <w:tcPr>
            <w:tcW w:w="4590" w:type="dxa"/>
          </w:tcPr>
          <w:p w14:paraId="4F17421C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Isopentane (2-methyl butane)</w:t>
            </w:r>
          </w:p>
        </w:tc>
        <w:tc>
          <w:tcPr>
            <w:tcW w:w="1368" w:type="dxa"/>
          </w:tcPr>
          <w:p w14:paraId="4A501200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126470025</w:t>
            </w:r>
          </w:p>
        </w:tc>
      </w:tr>
      <w:tr w:rsidR="000614AE" w:rsidRPr="003A76FA" w14:paraId="3D4D2215" w14:textId="77777777" w:rsidTr="00EB016C">
        <w:tc>
          <w:tcPr>
            <w:tcW w:w="3510" w:type="dxa"/>
          </w:tcPr>
          <w:p w14:paraId="3A58AABC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Sigma-Aldrich (Missouri, USA)</w:t>
            </w:r>
          </w:p>
        </w:tc>
        <w:tc>
          <w:tcPr>
            <w:tcW w:w="4590" w:type="dxa"/>
          </w:tcPr>
          <w:p w14:paraId="769AD22C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Peel-A-Way embedding moulds (square S-22)</w:t>
            </w:r>
          </w:p>
          <w:p w14:paraId="2C7DE70F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Triton X-100</w:t>
            </w:r>
          </w:p>
          <w:p w14:paraId="7515F4B3" w14:textId="0949774E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Formaldehyde solution (36</w:t>
            </w:r>
            <w:r w:rsidR="00263B7D">
              <w:rPr>
                <w:rFonts w:ascii="Arial" w:hAnsi="Arial" w:cs="Arial"/>
                <w:sz w:val="20"/>
                <w:szCs w:val="20"/>
              </w:rPr>
              <w:t xml:space="preserve"> %</w:t>
            </w:r>
            <w:r w:rsidRPr="003A76FA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66597774" w14:textId="64D8857D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Formalin solution (neutral buffered 10</w:t>
            </w:r>
            <w:r w:rsidR="00263B7D">
              <w:rPr>
                <w:rFonts w:ascii="Arial" w:hAnsi="Arial" w:cs="Arial"/>
                <w:sz w:val="20"/>
                <w:szCs w:val="20"/>
              </w:rPr>
              <w:t xml:space="preserve"> %</w:t>
            </w:r>
            <w:r w:rsidRPr="003A76F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368" w:type="dxa"/>
          </w:tcPr>
          <w:p w14:paraId="114883DF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E6032-1CS</w:t>
            </w:r>
          </w:p>
          <w:p w14:paraId="25F7B69D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T-8787</w:t>
            </w:r>
          </w:p>
          <w:p w14:paraId="2B256C25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47608-1L-F</w:t>
            </w:r>
          </w:p>
          <w:p w14:paraId="55B28961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HT501128</w:t>
            </w:r>
          </w:p>
        </w:tc>
      </w:tr>
      <w:tr w:rsidR="000614AE" w:rsidRPr="003A76FA" w14:paraId="78DBD700" w14:textId="77777777" w:rsidTr="00EB016C">
        <w:tc>
          <w:tcPr>
            <w:tcW w:w="3510" w:type="dxa"/>
          </w:tcPr>
          <w:p w14:paraId="53216348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A76FA">
              <w:rPr>
                <w:rFonts w:ascii="Arial" w:hAnsi="Arial" w:cs="Arial"/>
                <w:sz w:val="20"/>
                <w:szCs w:val="20"/>
              </w:rPr>
              <w:t>Thermo</w:t>
            </w:r>
            <w:proofErr w:type="spellEnd"/>
            <w:r w:rsidRPr="003A76FA">
              <w:rPr>
                <w:rFonts w:ascii="Arial" w:hAnsi="Arial" w:cs="Arial"/>
                <w:sz w:val="20"/>
                <w:szCs w:val="20"/>
              </w:rPr>
              <w:t xml:space="preserve"> Fischer Scientific (Massachusetts, USA)</w:t>
            </w:r>
          </w:p>
        </w:tc>
        <w:tc>
          <w:tcPr>
            <w:tcW w:w="4590" w:type="dxa"/>
          </w:tcPr>
          <w:p w14:paraId="42EAB153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Phosphate buffered saline (PBS) tablets</w:t>
            </w:r>
          </w:p>
          <w:p w14:paraId="40A193C5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8" w:type="dxa"/>
          </w:tcPr>
          <w:p w14:paraId="11AEC582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BR0014G</w:t>
            </w:r>
          </w:p>
        </w:tc>
      </w:tr>
      <w:tr w:rsidR="000614AE" w:rsidRPr="003A76FA" w14:paraId="62094A4C" w14:textId="77777777" w:rsidTr="00EB016C">
        <w:tc>
          <w:tcPr>
            <w:tcW w:w="3510" w:type="dxa"/>
          </w:tcPr>
          <w:p w14:paraId="24D425D8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VWR international (Leuven, Belgium)</w:t>
            </w:r>
          </w:p>
        </w:tc>
        <w:tc>
          <w:tcPr>
            <w:tcW w:w="4590" w:type="dxa"/>
          </w:tcPr>
          <w:p w14:paraId="79BC9945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Optimal cutting temperature compound (OCT)</w:t>
            </w:r>
          </w:p>
        </w:tc>
        <w:tc>
          <w:tcPr>
            <w:tcW w:w="1368" w:type="dxa"/>
          </w:tcPr>
          <w:p w14:paraId="5350E90C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361603E</w:t>
            </w:r>
          </w:p>
        </w:tc>
      </w:tr>
      <w:tr w:rsidR="000614AE" w:rsidRPr="003A76FA" w14:paraId="3C5ACE60" w14:textId="77777777" w:rsidTr="00EB016C">
        <w:tc>
          <w:tcPr>
            <w:tcW w:w="3510" w:type="dxa"/>
          </w:tcPr>
          <w:p w14:paraId="197436C1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Abcam (Cambridge, UK)</w:t>
            </w:r>
          </w:p>
        </w:tc>
        <w:tc>
          <w:tcPr>
            <w:tcW w:w="4590" w:type="dxa"/>
          </w:tcPr>
          <w:p w14:paraId="1A65483B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Picrosirius Red (PSR) Kit</w:t>
            </w:r>
          </w:p>
          <w:p w14:paraId="3A90C92A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Haematoxylin &amp; Eosin (H&amp;E) Kit</w:t>
            </w:r>
          </w:p>
        </w:tc>
        <w:tc>
          <w:tcPr>
            <w:tcW w:w="1368" w:type="dxa"/>
          </w:tcPr>
          <w:p w14:paraId="5F821FE8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AB245887</w:t>
            </w:r>
          </w:p>
          <w:p w14:paraId="1E0EE458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AB245880</w:t>
            </w:r>
          </w:p>
        </w:tc>
      </w:tr>
      <w:tr w:rsidR="000614AE" w:rsidRPr="003A76FA" w14:paraId="29B476AF" w14:textId="77777777" w:rsidTr="00EB016C">
        <w:tc>
          <w:tcPr>
            <w:tcW w:w="3510" w:type="dxa"/>
          </w:tcPr>
          <w:p w14:paraId="02ABFA84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A76FA">
              <w:rPr>
                <w:rFonts w:ascii="Arial" w:hAnsi="Arial" w:cs="Arial"/>
                <w:sz w:val="20"/>
                <w:szCs w:val="20"/>
              </w:rPr>
              <w:t>Epredia</w:t>
            </w:r>
            <w:proofErr w:type="spellEnd"/>
            <w:r w:rsidRPr="003A76FA">
              <w:rPr>
                <w:rFonts w:ascii="Arial" w:hAnsi="Arial" w:cs="Arial"/>
                <w:sz w:val="20"/>
                <w:szCs w:val="20"/>
              </w:rPr>
              <w:t xml:space="preserve"> (Runcorn, UK)</w:t>
            </w:r>
          </w:p>
        </w:tc>
        <w:tc>
          <w:tcPr>
            <w:tcW w:w="4590" w:type="dxa"/>
          </w:tcPr>
          <w:p w14:paraId="1AB651ED" w14:textId="20FBB80E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A76FA">
              <w:rPr>
                <w:rFonts w:ascii="Arial" w:hAnsi="Arial" w:cs="Arial"/>
                <w:sz w:val="20"/>
                <w:szCs w:val="20"/>
              </w:rPr>
              <w:t>Superfrost</w:t>
            </w:r>
            <w:r w:rsidRPr="003A76FA">
              <w:rPr>
                <w:rFonts w:ascii="Arial" w:hAnsi="Arial" w:cs="Arial"/>
                <w:sz w:val="20"/>
                <w:szCs w:val="20"/>
                <w:vertAlign w:val="superscript"/>
              </w:rPr>
              <w:t>TM</w:t>
            </w:r>
            <w:proofErr w:type="spellEnd"/>
            <w:r w:rsidRPr="003A76FA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</w:t>
            </w:r>
            <w:r w:rsidRPr="003A76FA">
              <w:rPr>
                <w:rFonts w:ascii="Arial" w:hAnsi="Arial" w:cs="Arial"/>
                <w:sz w:val="20"/>
                <w:szCs w:val="20"/>
              </w:rPr>
              <w:t xml:space="preserve">Plus Adhesion </w:t>
            </w:r>
            <w:r w:rsidR="00263B7D" w:rsidRPr="003A76FA">
              <w:rPr>
                <w:rFonts w:ascii="Arial" w:hAnsi="Arial" w:cs="Arial"/>
                <w:sz w:val="20"/>
                <w:szCs w:val="20"/>
              </w:rPr>
              <w:t>Microscope</w:t>
            </w:r>
            <w:r w:rsidRPr="003A76FA">
              <w:rPr>
                <w:rFonts w:ascii="Arial" w:hAnsi="Arial" w:cs="Arial"/>
                <w:sz w:val="20"/>
                <w:szCs w:val="20"/>
              </w:rPr>
              <w:t xml:space="preserve"> Slides</w:t>
            </w:r>
          </w:p>
        </w:tc>
        <w:tc>
          <w:tcPr>
            <w:tcW w:w="1368" w:type="dxa"/>
          </w:tcPr>
          <w:p w14:paraId="5F71BEE0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J1810AMNZ</w:t>
            </w:r>
          </w:p>
        </w:tc>
      </w:tr>
      <w:tr w:rsidR="000614AE" w:rsidRPr="003A76FA" w14:paraId="146F478A" w14:textId="77777777" w:rsidTr="00EB016C">
        <w:tc>
          <w:tcPr>
            <w:tcW w:w="3510" w:type="dxa"/>
          </w:tcPr>
          <w:p w14:paraId="0B39F337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National Diagnostics (Georgia, USA)</w:t>
            </w:r>
          </w:p>
        </w:tc>
        <w:tc>
          <w:tcPr>
            <w:tcW w:w="4590" w:type="dxa"/>
          </w:tcPr>
          <w:p w14:paraId="49343E13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A76FA">
              <w:rPr>
                <w:rFonts w:ascii="Arial" w:hAnsi="Arial" w:cs="Arial"/>
                <w:sz w:val="20"/>
                <w:szCs w:val="20"/>
              </w:rPr>
              <w:t>Histomount</w:t>
            </w:r>
            <w:proofErr w:type="spellEnd"/>
            <w:r w:rsidRPr="003A76FA">
              <w:rPr>
                <w:rFonts w:ascii="Arial" w:hAnsi="Arial" w:cs="Arial"/>
                <w:sz w:val="20"/>
                <w:szCs w:val="20"/>
              </w:rPr>
              <w:t xml:space="preserve"> Histological Mounting Medium</w:t>
            </w:r>
          </w:p>
        </w:tc>
        <w:tc>
          <w:tcPr>
            <w:tcW w:w="1368" w:type="dxa"/>
          </w:tcPr>
          <w:p w14:paraId="743E4879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HS-103</w:t>
            </w:r>
          </w:p>
        </w:tc>
      </w:tr>
      <w:tr w:rsidR="000614AE" w:rsidRPr="003A76FA" w14:paraId="766950D7" w14:textId="77777777" w:rsidTr="00EB016C">
        <w:tc>
          <w:tcPr>
            <w:tcW w:w="3510" w:type="dxa"/>
          </w:tcPr>
          <w:p w14:paraId="0C183D19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Vector Laboratories (California, USA)</w:t>
            </w:r>
          </w:p>
        </w:tc>
        <w:tc>
          <w:tcPr>
            <w:tcW w:w="4590" w:type="dxa"/>
          </w:tcPr>
          <w:p w14:paraId="18EC91E5" w14:textId="77777777" w:rsidR="000614AE" w:rsidRPr="003A76FA" w:rsidRDefault="000614AE" w:rsidP="00EB016C">
            <w:pPr>
              <w:spacing w:line="360" w:lineRule="auto"/>
              <w:rPr>
                <w:rFonts w:ascii="Arial" w:hAnsi="Arial" w:cs="Arial"/>
                <w:color w:val="202124"/>
                <w:sz w:val="20"/>
                <w:szCs w:val="20"/>
                <w:shd w:val="clear" w:color="auto" w:fill="FFFFFF"/>
              </w:rPr>
            </w:pPr>
            <w:proofErr w:type="spellStart"/>
            <w:r w:rsidRPr="003A76FA">
              <w:rPr>
                <w:rFonts w:ascii="Arial" w:hAnsi="Arial" w:cs="Arial"/>
                <w:sz w:val="20"/>
                <w:szCs w:val="20"/>
              </w:rPr>
              <w:t>VectaMount</w:t>
            </w:r>
            <w:proofErr w:type="spellEnd"/>
            <w:r w:rsidRPr="00A44359">
              <w:rPr>
                <w:rFonts w:ascii="Arial" w:hAnsi="Arial" w:cs="Arial"/>
                <w:color w:val="202124"/>
                <w:sz w:val="20"/>
                <w:szCs w:val="20"/>
                <w:shd w:val="clear" w:color="auto" w:fill="FFFFFF"/>
              </w:rPr>
              <w:t>®</w:t>
            </w:r>
            <w:r w:rsidRPr="003A76FA">
              <w:rPr>
                <w:rFonts w:ascii="Arial" w:hAnsi="Arial" w:cs="Arial"/>
                <w:color w:val="202124"/>
                <w:sz w:val="20"/>
                <w:szCs w:val="20"/>
                <w:shd w:val="clear" w:color="auto" w:fill="FFFFFF"/>
              </w:rPr>
              <w:t xml:space="preserve"> AQ Aqueous Mounting Medium</w:t>
            </w:r>
          </w:p>
          <w:p w14:paraId="46A5BF4E" w14:textId="77777777" w:rsidR="000614AE" w:rsidRPr="003A76FA" w:rsidRDefault="000614AE" w:rsidP="00EB016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A76FA">
              <w:rPr>
                <w:rFonts w:ascii="Arial" w:hAnsi="Arial" w:cs="Arial"/>
                <w:sz w:val="20"/>
                <w:szCs w:val="20"/>
              </w:rPr>
              <w:t>ImmEdge</w:t>
            </w:r>
            <w:proofErr w:type="spellEnd"/>
            <w:r w:rsidRPr="003A76FA">
              <w:rPr>
                <w:rFonts w:ascii="Arial" w:hAnsi="Arial" w:cs="Arial"/>
                <w:sz w:val="20"/>
                <w:szCs w:val="20"/>
              </w:rPr>
              <w:t>® hydrophobic barrier PAP pen</w:t>
            </w:r>
          </w:p>
        </w:tc>
        <w:tc>
          <w:tcPr>
            <w:tcW w:w="1368" w:type="dxa"/>
            <w:vAlign w:val="center"/>
          </w:tcPr>
          <w:p w14:paraId="5FA8E741" w14:textId="77777777" w:rsidR="000614AE" w:rsidRPr="003A76FA" w:rsidRDefault="000614AE" w:rsidP="00EB016C">
            <w:pPr>
              <w:spacing w:line="36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H-5501</w:t>
            </w:r>
          </w:p>
          <w:p w14:paraId="6DBC933C" w14:textId="77777777" w:rsidR="000614AE" w:rsidRPr="003A76FA" w:rsidRDefault="000614AE" w:rsidP="00EB016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H-4000</w:t>
            </w:r>
          </w:p>
        </w:tc>
      </w:tr>
      <w:tr w:rsidR="000614AE" w:rsidRPr="003A76FA" w14:paraId="51DF7FBC" w14:textId="77777777" w:rsidTr="00EB016C">
        <w:tc>
          <w:tcPr>
            <w:tcW w:w="3510" w:type="dxa"/>
          </w:tcPr>
          <w:p w14:paraId="414F459C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A44359">
              <w:rPr>
                <w:rFonts w:ascii="Arial" w:hAnsi="Arial" w:cs="Arial"/>
                <w:sz w:val="20"/>
                <w:szCs w:val="20"/>
              </w:rPr>
              <w:t xml:space="preserve">erck 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A44359">
              <w:rPr>
                <w:rFonts w:ascii="Arial" w:hAnsi="Arial" w:cs="Arial"/>
                <w:sz w:val="20"/>
                <w:szCs w:val="20"/>
              </w:rPr>
              <w:t>illipore</w:t>
            </w:r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A44359">
              <w:rPr>
                <w:rFonts w:ascii="Arial" w:hAnsi="Arial" w:cs="Arial"/>
                <w:sz w:val="20"/>
                <w:szCs w:val="20"/>
              </w:rPr>
              <w:t>Illinois</w:t>
            </w:r>
            <w:r>
              <w:rPr>
                <w:rFonts w:ascii="Arial" w:hAnsi="Arial" w:cs="Arial"/>
                <w:sz w:val="20"/>
                <w:szCs w:val="20"/>
              </w:rPr>
              <w:t>, USA)</w:t>
            </w:r>
          </w:p>
        </w:tc>
        <w:tc>
          <w:tcPr>
            <w:tcW w:w="4590" w:type="dxa"/>
          </w:tcPr>
          <w:p w14:paraId="192E551B" w14:textId="724E34BB" w:rsidR="000614AE" w:rsidRPr="003A76FA" w:rsidRDefault="000614AE" w:rsidP="00EB016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4359">
              <w:rPr>
                <w:rFonts w:ascii="Arial" w:hAnsi="Arial" w:cs="Arial"/>
                <w:sz w:val="20"/>
                <w:szCs w:val="20"/>
              </w:rPr>
              <w:t>Probumin</w:t>
            </w:r>
            <w:proofErr w:type="spellEnd"/>
            <w:r w:rsidRPr="00A44359">
              <w:rPr>
                <w:rFonts w:ascii="Arial" w:hAnsi="Arial" w:cs="Arial"/>
                <w:sz w:val="20"/>
                <w:szCs w:val="20"/>
              </w:rPr>
              <w:t xml:space="preserve">® Bovine Serum Albumin </w:t>
            </w:r>
            <w:r w:rsidR="00263B7D" w:rsidRPr="00A44359">
              <w:rPr>
                <w:rFonts w:ascii="Arial" w:hAnsi="Arial" w:cs="Arial"/>
                <w:sz w:val="20"/>
                <w:szCs w:val="20"/>
              </w:rPr>
              <w:t>Universal</w:t>
            </w:r>
            <w:r w:rsidRPr="00A44359">
              <w:rPr>
                <w:rFonts w:ascii="Arial" w:hAnsi="Arial" w:cs="Arial"/>
                <w:sz w:val="20"/>
                <w:szCs w:val="20"/>
              </w:rPr>
              <w:t xml:space="preserve"> Grade</w:t>
            </w:r>
          </w:p>
        </w:tc>
        <w:tc>
          <w:tcPr>
            <w:tcW w:w="1368" w:type="dxa"/>
            <w:vAlign w:val="center"/>
          </w:tcPr>
          <w:p w14:paraId="2183A1B6" w14:textId="77777777" w:rsidR="000614AE" w:rsidRPr="003A76FA" w:rsidRDefault="000614AE" w:rsidP="00EB016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A44359">
              <w:rPr>
                <w:rFonts w:ascii="Arial" w:hAnsi="Arial" w:cs="Arial"/>
                <w:sz w:val="20"/>
                <w:szCs w:val="20"/>
              </w:rPr>
              <w:t>810033</w:t>
            </w:r>
          </w:p>
        </w:tc>
      </w:tr>
      <w:tr w:rsidR="000614AE" w:rsidRPr="003A76FA" w14:paraId="75D7854E" w14:textId="77777777" w:rsidTr="00EB016C">
        <w:tc>
          <w:tcPr>
            <w:tcW w:w="3510" w:type="dxa"/>
          </w:tcPr>
          <w:p w14:paraId="0634271E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A76FA">
              <w:rPr>
                <w:rFonts w:ascii="Arial" w:hAnsi="Arial" w:cs="Arial"/>
                <w:b/>
                <w:bCs/>
                <w:sz w:val="20"/>
                <w:szCs w:val="20"/>
              </w:rPr>
              <w:t>Equipment</w:t>
            </w:r>
          </w:p>
        </w:tc>
        <w:tc>
          <w:tcPr>
            <w:tcW w:w="5958" w:type="dxa"/>
            <w:gridSpan w:val="2"/>
          </w:tcPr>
          <w:p w14:paraId="19CD58E2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A76FA">
              <w:rPr>
                <w:rFonts w:ascii="Arial" w:hAnsi="Arial" w:cs="Arial"/>
                <w:b/>
                <w:bCs/>
                <w:sz w:val="20"/>
                <w:szCs w:val="20"/>
              </w:rPr>
              <w:t>Use</w:t>
            </w:r>
          </w:p>
        </w:tc>
      </w:tr>
      <w:tr w:rsidR="000614AE" w:rsidRPr="003A76FA" w14:paraId="568DC643" w14:textId="77777777" w:rsidTr="00EB016C">
        <w:tc>
          <w:tcPr>
            <w:tcW w:w="3510" w:type="dxa"/>
          </w:tcPr>
          <w:p w14:paraId="5E9CA262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 xml:space="preserve">EVOS FL </w:t>
            </w:r>
            <w:proofErr w:type="spellStart"/>
            <w:r w:rsidRPr="003A76FA">
              <w:rPr>
                <w:rFonts w:ascii="Arial" w:hAnsi="Arial" w:cs="Arial"/>
                <w:sz w:val="20"/>
                <w:szCs w:val="20"/>
              </w:rPr>
              <w:t>Autosystem</w:t>
            </w:r>
            <w:proofErr w:type="spellEnd"/>
            <w:r w:rsidRPr="003A76FA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3A76FA"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  <w:r w:rsidRPr="003A76FA">
              <w:rPr>
                <w:rFonts w:ascii="Arial" w:hAnsi="Arial" w:cs="Arial"/>
                <w:sz w:val="20"/>
                <w:szCs w:val="20"/>
              </w:rPr>
              <w:t xml:space="preserve"> Scientific)</w:t>
            </w:r>
          </w:p>
        </w:tc>
        <w:tc>
          <w:tcPr>
            <w:tcW w:w="5958" w:type="dxa"/>
            <w:gridSpan w:val="2"/>
          </w:tcPr>
          <w:p w14:paraId="3A0E6D8E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For brightfield microscopy</w:t>
            </w:r>
          </w:p>
        </w:tc>
      </w:tr>
      <w:tr w:rsidR="000614AE" w:rsidRPr="003A76FA" w14:paraId="0D8787C5" w14:textId="77777777" w:rsidTr="00EB016C">
        <w:tc>
          <w:tcPr>
            <w:tcW w:w="3510" w:type="dxa"/>
          </w:tcPr>
          <w:p w14:paraId="17FBE4D7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Leica SP8 confocal microscope (Leica Microsystems)</w:t>
            </w:r>
          </w:p>
        </w:tc>
        <w:tc>
          <w:tcPr>
            <w:tcW w:w="5958" w:type="dxa"/>
            <w:gridSpan w:val="2"/>
          </w:tcPr>
          <w:p w14:paraId="3586C02E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For fluorescence microscopy</w:t>
            </w:r>
          </w:p>
        </w:tc>
      </w:tr>
      <w:tr w:rsidR="000614AE" w:rsidRPr="003A76FA" w14:paraId="7492654B" w14:textId="77777777" w:rsidTr="00EB016C">
        <w:tc>
          <w:tcPr>
            <w:tcW w:w="3510" w:type="dxa"/>
          </w:tcPr>
          <w:p w14:paraId="237048FD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 xml:space="preserve">Leica CM1950 clinical cryostat </w:t>
            </w:r>
            <w:r w:rsidRPr="003A76FA">
              <w:rPr>
                <w:rFonts w:ascii="Arial" w:hAnsi="Arial" w:cs="Arial"/>
                <w:sz w:val="20"/>
                <w:szCs w:val="20"/>
              </w:rPr>
              <w:lastRenderedPageBreak/>
              <w:t>(Leica Biosystems)</w:t>
            </w:r>
          </w:p>
        </w:tc>
        <w:tc>
          <w:tcPr>
            <w:tcW w:w="5958" w:type="dxa"/>
            <w:gridSpan w:val="2"/>
          </w:tcPr>
          <w:p w14:paraId="25ACE322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lastRenderedPageBreak/>
              <w:t>Tissue sectioning</w:t>
            </w:r>
          </w:p>
        </w:tc>
      </w:tr>
    </w:tbl>
    <w:p w14:paraId="2F44D533" w14:textId="77777777" w:rsidR="000614AE" w:rsidRDefault="000614AE" w:rsidP="000614AE">
      <w:pPr>
        <w:spacing w:line="360" w:lineRule="auto"/>
        <w:jc w:val="both"/>
        <w:rPr>
          <w:rFonts w:ascii="Arial" w:hAnsi="Arial" w:cs="Arial"/>
          <w:lang w:val="en-US"/>
        </w:rPr>
      </w:pPr>
    </w:p>
    <w:p w14:paraId="0EAFFB73" w14:textId="2C9B2D77" w:rsidR="000614AE" w:rsidRPr="00E21C8D" w:rsidRDefault="000614AE" w:rsidP="000614AE">
      <w:pPr>
        <w:spacing w:line="480" w:lineRule="auto"/>
        <w:jc w:val="both"/>
        <w:rPr>
          <w:rFonts w:ascii="Arial" w:hAnsi="Arial" w:cs="Arial"/>
          <w:i/>
          <w:iCs/>
          <w:sz w:val="20"/>
          <w:szCs w:val="20"/>
          <w:lang w:val="en-US"/>
        </w:rPr>
      </w:pPr>
      <w:r>
        <w:rPr>
          <w:rFonts w:ascii="Arial" w:hAnsi="Arial" w:cs="Arial"/>
          <w:b/>
          <w:bCs/>
          <w:i/>
          <w:iCs/>
          <w:sz w:val="20"/>
          <w:szCs w:val="20"/>
        </w:rPr>
        <w:t>Supplementary</w:t>
      </w:r>
      <w:r w:rsidRPr="00E21C8D">
        <w:rPr>
          <w:rStyle w:val="normaltextrun"/>
          <w:rFonts w:ascii="Arial" w:hAnsi="Arial" w:cs="Arial"/>
          <w:b/>
          <w:bCs/>
          <w:i/>
          <w:iCs/>
          <w:color w:val="000000"/>
          <w:sz w:val="20"/>
          <w:szCs w:val="20"/>
          <w:shd w:val="clear" w:color="auto" w:fill="FFFFFF"/>
        </w:rPr>
        <w:t xml:space="preserve"> Table 2: List of antibodies and stains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140"/>
        <w:gridCol w:w="1440"/>
        <w:gridCol w:w="1890"/>
        <w:gridCol w:w="1980"/>
      </w:tblGrid>
      <w:tr w:rsidR="000614AE" w:rsidRPr="003A76FA" w14:paraId="3932208A" w14:textId="77777777" w:rsidTr="00EB016C">
        <w:trPr>
          <w:trHeight w:val="355"/>
        </w:trPr>
        <w:tc>
          <w:tcPr>
            <w:tcW w:w="4140" w:type="dxa"/>
          </w:tcPr>
          <w:p w14:paraId="104E1C62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A76FA">
              <w:rPr>
                <w:rFonts w:ascii="Arial" w:hAnsi="Arial" w:cs="Arial"/>
                <w:b/>
                <w:bCs/>
                <w:sz w:val="20"/>
                <w:szCs w:val="20"/>
              </w:rPr>
              <w:t>Stain/Antibody</w:t>
            </w:r>
          </w:p>
        </w:tc>
        <w:tc>
          <w:tcPr>
            <w:tcW w:w="1440" w:type="dxa"/>
          </w:tcPr>
          <w:p w14:paraId="1FA39885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A76FA">
              <w:rPr>
                <w:rFonts w:ascii="Arial" w:hAnsi="Arial" w:cs="Arial"/>
                <w:b/>
                <w:bCs/>
                <w:sz w:val="20"/>
                <w:szCs w:val="20"/>
              </w:rPr>
              <w:t>Reference ID</w:t>
            </w:r>
          </w:p>
        </w:tc>
        <w:tc>
          <w:tcPr>
            <w:tcW w:w="1890" w:type="dxa"/>
          </w:tcPr>
          <w:p w14:paraId="621EF3A4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A76FA">
              <w:rPr>
                <w:rFonts w:ascii="Arial" w:hAnsi="Arial" w:cs="Arial"/>
                <w:b/>
                <w:bCs/>
                <w:sz w:val="20"/>
                <w:szCs w:val="20"/>
              </w:rPr>
              <w:t>Concentration</w:t>
            </w:r>
          </w:p>
        </w:tc>
        <w:tc>
          <w:tcPr>
            <w:tcW w:w="1980" w:type="dxa"/>
          </w:tcPr>
          <w:p w14:paraId="5875C5CD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A76FA">
              <w:rPr>
                <w:rFonts w:ascii="Arial" w:hAnsi="Arial" w:cs="Arial"/>
                <w:b/>
                <w:bCs/>
                <w:sz w:val="20"/>
                <w:szCs w:val="20"/>
              </w:rPr>
              <w:t>Dilution</w:t>
            </w:r>
          </w:p>
        </w:tc>
      </w:tr>
      <w:tr w:rsidR="000614AE" w:rsidRPr="003A76FA" w14:paraId="7C4DBA87" w14:textId="77777777" w:rsidTr="00EB016C">
        <w:trPr>
          <w:trHeight w:val="355"/>
        </w:trPr>
        <w:tc>
          <w:tcPr>
            <w:tcW w:w="4140" w:type="dxa"/>
          </w:tcPr>
          <w:p w14:paraId="53172A85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1" w:name="_Hlk168057534"/>
            <w:r w:rsidRPr="003A76FA">
              <w:rPr>
                <w:rFonts w:ascii="Arial" w:hAnsi="Arial" w:cs="Arial"/>
                <w:sz w:val="20"/>
                <w:szCs w:val="20"/>
                <w:lang w:val="en-US"/>
              </w:rPr>
              <w:t>4’,6-diamidino-2-phenylindole (</w:t>
            </w:r>
            <w:r w:rsidRPr="003A76FA">
              <w:rPr>
                <w:rFonts w:ascii="Arial" w:hAnsi="Arial" w:cs="Arial"/>
                <w:sz w:val="20"/>
                <w:szCs w:val="20"/>
              </w:rPr>
              <w:t>DAPI) (Sigma)</w:t>
            </w:r>
          </w:p>
        </w:tc>
        <w:tc>
          <w:tcPr>
            <w:tcW w:w="1440" w:type="dxa"/>
          </w:tcPr>
          <w:p w14:paraId="3AC708BC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D-9542</w:t>
            </w:r>
          </w:p>
        </w:tc>
        <w:tc>
          <w:tcPr>
            <w:tcW w:w="1890" w:type="dxa"/>
          </w:tcPr>
          <w:p w14:paraId="00A6D4AA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1mM</w:t>
            </w:r>
          </w:p>
        </w:tc>
        <w:tc>
          <w:tcPr>
            <w:tcW w:w="1980" w:type="dxa"/>
          </w:tcPr>
          <w:p w14:paraId="1B39325C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1:2000 in PBS</w:t>
            </w:r>
          </w:p>
        </w:tc>
      </w:tr>
      <w:tr w:rsidR="000614AE" w:rsidRPr="003A76FA" w14:paraId="21E424AB" w14:textId="77777777" w:rsidTr="00EB016C">
        <w:trPr>
          <w:trHeight w:val="1066"/>
        </w:trPr>
        <w:tc>
          <w:tcPr>
            <w:tcW w:w="4140" w:type="dxa"/>
          </w:tcPr>
          <w:p w14:paraId="4CF9C0D8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Rhodamine phalloidin (</w:t>
            </w:r>
            <w:proofErr w:type="spellStart"/>
            <w:r w:rsidRPr="003A76FA"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  <w:r w:rsidRPr="003A76F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40" w:type="dxa"/>
          </w:tcPr>
          <w:p w14:paraId="24680100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R415</w:t>
            </w:r>
          </w:p>
        </w:tc>
        <w:tc>
          <w:tcPr>
            <w:tcW w:w="1890" w:type="dxa"/>
          </w:tcPr>
          <w:p w14:paraId="44FB315F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300U</w:t>
            </w:r>
          </w:p>
        </w:tc>
        <w:tc>
          <w:tcPr>
            <w:tcW w:w="1980" w:type="dxa"/>
          </w:tcPr>
          <w:p w14:paraId="73A1D137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1:40 in PBS</w:t>
            </w:r>
          </w:p>
        </w:tc>
      </w:tr>
      <w:tr w:rsidR="000614AE" w:rsidRPr="003A76FA" w14:paraId="7B7FB6A7" w14:textId="77777777" w:rsidTr="00EB016C">
        <w:trPr>
          <w:trHeight w:val="710"/>
        </w:trPr>
        <w:tc>
          <w:tcPr>
            <w:tcW w:w="4140" w:type="dxa"/>
          </w:tcPr>
          <w:p w14:paraId="485F66FF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MitoView Green (</w:t>
            </w:r>
            <w:proofErr w:type="spellStart"/>
            <w:r w:rsidRPr="003A76FA">
              <w:rPr>
                <w:rFonts w:ascii="Arial" w:hAnsi="Arial" w:cs="Arial"/>
                <w:sz w:val="20"/>
                <w:szCs w:val="20"/>
              </w:rPr>
              <w:t>Biotium</w:t>
            </w:r>
            <w:proofErr w:type="spellEnd"/>
            <w:r w:rsidRPr="003A76F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40" w:type="dxa"/>
          </w:tcPr>
          <w:p w14:paraId="0EFF2B4B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70055</w:t>
            </w:r>
          </w:p>
        </w:tc>
        <w:tc>
          <w:tcPr>
            <w:tcW w:w="1890" w:type="dxa"/>
          </w:tcPr>
          <w:p w14:paraId="6E2C89E0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200 µM</w:t>
            </w:r>
          </w:p>
        </w:tc>
        <w:tc>
          <w:tcPr>
            <w:tcW w:w="1980" w:type="dxa"/>
          </w:tcPr>
          <w:p w14:paraId="3DB247F7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1:2000 in PBS</w:t>
            </w:r>
          </w:p>
        </w:tc>
      </w:tr>
      <w:tr w:rsidR="000614AE" w:rsidRPr="003A76FA" w14:paraId="378A68E0" w14:textId="77777777" w:rsidTr="00EB016C">
        <w:trPr>
          <w:trHeight w:val="1435"/>
        </w:trPr>
        <w:tc>
          <w:tcPr>
            <w:tcW w:w="4140" w:type="dxa"/>
          </w:tcPr>
          <w:p w14:paraId="6D8F2265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VDAC1/Porin + VDAC 3 (</w:t>
            </w:r>
            <w:proofErr w:type="spellStart"/>
            <w:r w:rsidRPr="003A76FA">
              <w:rPr>
                <w:rFonts w:ascii="Arial" w:hAnsi="Arial" w:cs="Arial"/>
                <w:sz w:val="20"/>
                <w:szCs w:val="20"/>
              </w:rPr>
              <w:t>abcam</w:t>
            </w:r>
            <w:proofErr w:type="spellEnd"/>
            <w:r w:rsidRPr="003A76FA">
              <w:rPr>
                <w:rFonts w:ascii="Arial" w:hAnsi="Arial" w:cs="Arial"/>
                <w:sz w:val="20"/>
                <w:szCs w:val="20"/>
              </w:rPr>
              <w:t>) Mouse (monoclonal)</w:t>
            </w:r>
          </w:p>
        </w:tc>
        <w:tc>
          <w:tcPr>
            <w:tcW w:w="1440" w:type="dxa"/>
          </w:tcPr>
          <w:p w14:paraId="2727751A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ab14734</w:t>
            </w:r>
          </w:p>
        </w:tc>
        <w:tc>
          <w:tcPr>
            <w:tcW w:w="1890" w:type="dxa"/>
          </w:tcPr>
          <w:p w14:paraId="2FC43C64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1 mg/mL</w:t>
            </w:r>
          </w:p>
        </w:tc>
        <w:tc>
          <w:tcPr>
            <w:tcW w:w="1980" w:type="dxa"/>
          </w:tcPr>
          <w:p w14:paraId="164D88EB" w14:textId="6A7CE44C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1:200 in 0.1</w:t>
            </w:r>
            <w:r w:rsidR="00263B7D">
              <w:rPr>
                <w:rFonts w:ascii="Arial" w:hAnsi="Arial" w:cs="Arial"/>
                <w:sz w:val="20"/>
                <w:szCs w:val="20"/>
              </w:rPr>
              <w:t xml:space="preserve"> %</w:t>
            </w:r>
            <w:r w:rsidRPr="003A76FA">
              <w:rPr>
                <w:rFonts w:ascii="Arial" w:hAnsi="Arial" w:cs="Arial"/>
                <w:sz w:val="20"/>
                <w:szCs w:val="20"/>
              </w:rPr>
              <w:t xml:space="preserve"> BSA</w:t>
            </w:r>
          </w:p>
        </w:tc>
      </w:tr>
      <w:tr w:rsidR="000614AE" w:rsidRPr="003A76FA" w14:paraId="6B30DA64" w14:textId="77777777" w:rsidTr="00EB016C">
        <w:trPr>
          <w:trHeight w:val="1066"/>
        </w:trPr>
        <w:tc>
          <w:tcPr>
            <w:tcW w:w="4140" w:type="dxa"/>
          </w:tcPr>
          <w:p w14:paraId="53E63A7B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Alexa Fluor 555 goat anti-mouse IgG (Invitrogen)</w:t>
            </w:r>
          </w:p>
        </w:tc>
        <w:tc>
          <w:tcPr>
            <w:tcW w:w="1440" w:type="dxa"/>
          </w:tcPr>
          <w:p w14:paraId="425E6A1C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A21422</w:t>
            </w:r>
          </w:p>
        </w:tc>
        <w:tc>
          <w:tcPr>
            <w:tcW w:w="1890" w:type="dxa"/>
          </w:tcPr>
          <w:p w14:paraId="3B197D74" w14:textId="77777777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2 mg/mL</w:t>
            </w:r>
          </w:p>
        </w:tc>
        <w:tc>
          <w:tcPr>
            <w:tcW w:w="1980" w:type="dxa"/>
          </w:tcPr>
          <w:p w14:paraId="5BEE9757" w14:textId="7B59D80C" w:rsidR="000614AE" w:rsidRPr="003A76FA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6FA">
              <w:rPr>
                <w:rFonts w:ascii="Arial" w:hAnsi="Arial" w:cs="Arial"/>
                <w:sz w:val="20"/>
                <w:szCs w:val="20"/>
              </w:rPr>
              <w:t>1:100 in 0.1</w:t>
            </w:r>
            <w:r w:rsidR="00263B7D">
              <w:rPr>
                <w:rFonts w:ascii="Arial" w:hAnsi="Arial" w:cs="Arial"/>
                <w:sz w:val="20"/>
                <w:szCs w:val="20"/>
              </w:rPr>
              <w:t xml:space="preserve"> %</w:t>
            </w:r>
            <w:r w:rsidRPr="003A76FA">
              <w:rPr>
                <w:rFonts w:ascii="Arial" w:hAnsi="Arial" w:cs="Arial"/>
                <w:sz w:val="20"/>
                <w:szCs w:val="20"/>
              </w:rPr>
              <w:t xml:space="preserve"> BSA</w:t>
            </w:r>
          </w:p>
        </w:tc>
      </w:tr>
      <w:bookmarkEnd w:id="1"/>
    </w:tbl>
    <w:p w14:paraId="4C371CD9" w14:textId="77777777" w:rsidR="000614AE" w:rsidRDefault="000614AE" w:rsidP="000614AE">
      <w:pPr>
        <w:spacing w:line="480" w:lineRule="auto"/>
        <w:jc w:val="both"/>
        <w:rPr>
          <w:b/>
          <w:bCs/>
        </w:rPr>
      </w:pPr>
    </w:p>
    <w:p w14:paraId="795A87AC" w14:textId="51C5F0FB" w:rsidR="000614AE" w:rsidRPr="00E21C8D" w:rsidRDefault="000614AE" w:rsidP="000614AE">
      <w:pPr>
        <w:spacing w:line="480" w:lineRule="auto"/>
        <w:jc w:val="both"/>
        <w:rPr>
          <w:rFonts w:ascii="Arial" w:hAnsi="Arial" w:cs="Arial"/>
          <w:i/>
          <w:iCs/>
          <w:sz w:val="20"/>
          <w:szCs w:val="20"/>
          <w:lang w:val="en-US"/>
        </w:rPr>
      </w:pPr>
      <w:r>
        <w:rPr>
          <w:rFonts w:ascii="Arial" w:hAnsi="Arial" w:cs="Arial"/>
          <w:b/>
          <w:bCs/>
          <w:i/>
          <w:iCs/>
          <w:sz w:val="20"/>
          <w:szCs w:val="20"/>
        </w:rPr>
        <w:t>Supplementary</w:t>
      </w:r>
      <w:r w:rsidRPr="00E21C8D">
        <w:rPr>
          <w:rFonts w:ascii="Arial" w:hAnsi="Arial" w:cs="Arial"/>
          <w:b/>
          <w:bCs/>
          <w:i/>
          <w:iCs/>
          <w:sz w:val="20"/>
          <w:szCs w:val="20"/>
        </w:rPr>
        <w:t xml:space="preserve"> Table 3: List of software used and their application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146"/>
        <w:gridCol w:w="1984"/>
        <w:gridCol w:w="4320"/>
      </w:tblGrid>
      <w:tr w:rsidR="000614AE" w:rsidRPr="00040884" w14:paraId="3FF5E624" w14:textId="77777777" w:rsidTr="00EB016C">
        <w:tc>
          <w:tcPr>
            <w:tcW w:w="3146" w:type="dxa"/>
          </w:tcPr>
          <w:p w14:paraId="2113BF55" w14:textId="77777777" w:rsidR="000614AE" w:rsidRPr="00040884" w:rsidRDefault="000614AE" w:rsidP="00EB016C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40884">
              <w:rPr>
                <w:rFonts w:ascii="Arial" w:hAnsi="Arial" w:cs="Arial"/>
                <w:b/>
                <w:bCs/>
                <w:sz w:val="20"/>
                <w:szCs w:val="20"/>
              </w:rPr>
              <w:t>Software</w:t>
            </w:r>
          </w:p>
        </w:tc>
        <w:tc>
          <w:tcPr>
            <w:tcW w:w="1984" w:type="dxa"/>
          </w:tcPr>
          <w:p w14:paraId="0D9FDE73" w14:textId="77777777" w:rsidR="000614AE" w:rsidRPr="00040884" w:rsidRDefault="000614AE" w:rsidP="00EB016C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Version</w:t>
            </w:r>
          </w:p>
        </w:tc>
        <w:tc>
          <w:tcPr>
            <w:tcW w:w="4320" w:type="dxa"/>
          </w:tcPr>
          <w:p w14:paraId="49258897" w14:textId="77777777" w:rsidR="000614AE" w:rsidRPr="00040884" w:rsidRDefault="000614AE" w:rsidP="00EB016C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40884">
              <w:rPr>
                <w:rFonts w:ascii="Arial" w:hAnsi="Arial" w:cs="Arial"/>
                <w:b/>
                <w:bCs/>
                <w:sz w:val="20"/>
                <w:szCs w:val="20"/>
              </w:rPr>
              <w:t>Application</w:t>
            </w:r>
          </w:p>
        </w:tc>
      </w:tr>
      <w:tr w:rsidR="000614AE" w:rsidRPr="00040884" w14:paraId="566EB2FE" w14:textId="77777777" w:rsidTr="00EB016C">
        <w:tc>
          <w:tcPr>
            <w:tcW w:w="3146" w:type="dxa"/>
          </w:tcPr>
          <w:p w14:paraId="578AD263" w14:textId="77777777" w:rsidR="000614AE" w:rsidRPr="00040884" w:rsidRDefault="000614AE" w:rsidP="00EB016C">
            <w:pPr>
              <w:spacing w:line="360" w:lineRule="auto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040884">
              <w:rPr>
                <w:rFonts w:ascii="Arial" w:hAnsi="Arial" w:cs="Arial"/>
                <w:sz w:val="20"/>
                <w:szCs w:val="20"/>
              </w:rPr>
              <w:t>GraphPad Prism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03B5FB9B" w14:textId="77777777" w:rsidR="000614AE" w:rsidRPr="00040884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Version 8.0.2</w:t>
            </w:r>
          </w:p>
        </w:tc>
        <w:tc>
          <w:tcPr>
            <w:tcW w:w="4320" w:type="dxa"/>
          </w:tcPr>
          <w:p w14:paraId="77822267" w14:textId="77777777" w:rsidR="000614AE" w:rsidRPr="00040884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40884">
              <w:rPr>
                <w:rFonts w:ascii="Arial" w:hAnsi="Arial" w:cs="Arial"/>
                <w:sz w:val="20"/>
                <w:szCs w:val="20"/>
              </w:rPr>
              <w:t xml:space="preserve">Generation of bar graphs and statistical analysis </w:t>
            </w:r>
          </w:p>
        </w:tc>
      </w:tr>
      <w:tr w:rsidR="000614AE" w:rsidRPr="00040884" w14:paraId="45102AB3" w14:textId="77777777" w:rsidTr="00EB016C">
        <w:tc>
          <w:tcPr>
            <w:tcW w:w="3146" w:type="dxa"/>
          </w:tcPr>
          <w:p w14:paraId="6FD59190" w14:textId="77777777" w:rsidR="000614AE" w:rsidRPr="00040884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(Fiji is Just) ImageJ </w:t>
            </w:r>
          </w:p>
        </w:tc>
        <w:tc>
          <w:tcPr>
            <w:tcW w:w="1984" w:type="dxa"/>
          </w:tcPr>
          <w:p w14:paraId="6F3E329A" w14:textId="77777777" w:rsidR="000614AE" w:rsidRPr="00040884" w:rsidRDefault="000614AE" w:rsidP="00EB016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2.14.0/1.54f; Java 1.8.0_322 [64-bit]</w:t>
            </w:r>
          </w:p>
        </w:tc>
        <w:tc>
          <w:tcPr>
            <w:tcW w:w="4320" w:type="dxa"/>
          </w:tcPr>
          <w:p w14:paraId="4028305C" w14:textId="77777777" w:rsidR="000614AE" w:rsidRPr="00040884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40884">
              <w:rPr>
                <w:rFonts w:ascii="Arial" w:hAnsi="Arial" w:cs="Arial"/>
                <w:sz w:val="20"/>
                <w:szCs w:val="20"/>
              </w:rPr>
              <w:t>Ice crystal quantification</w:t>
            </w:r>
          </w:p>
          <w:p w14:paraId="60D42159" w14:textId="77777777" w:rsidR="000614AE" w:rsidRPr="00040884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40884">
              <w:rPr>
                <w:rFonts w:ascii="Arial" w:hAnsi="Arial" w:cs="Arial"/>
                <w:sz w:val="20"/>
                <w:szCs w:val="20"/>
              </w:rPr>
              <w:t>EVOS/Confocal image composition</w:t>
            </w:r>
          </w:p>
        </w:tc>
      </w:tr>
      <w:tr w:rsidR="000614AE" w:rsidRPr="00040884" w14:paraId="057A2072" w14:textId="77777777" w:rsidTr="00EB016C">
        <w:tc>
          <w:tcPr>
            <w:tcW w:w="3146" w:type="dxa"/>
          </w:tcPr>
          <w:p w14:paraId="1842E6ED" w14:textId="77777777" w:rsidR="000614AE" w:rsidRPr="00040884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40884">
              <w:rPr>
                <w:rFonts w:ascii="Arial" w:hAnsi="Arial" w:cs="Arial"/>
                <w:sz w:val="20"/>
                <w:szCs w:val="20"/>
              </w:rPr>
              <w:t>EndNote</w:t>
            </w:r>
          </w:p>
        </w:tc>
        <w:tc>
          <w:tcPr>
            <w:tcW w:w="1984" w:type="dxa"/>
          </w:tcPr>
          <w:p w14:paraId="59A1DA07" w14:textId="77777777" w:rsidR="000614AE" w:rsidRPr="00040884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21.3.0.17918</w:t>
            </w:r>
          </w:p>
        </w:tc>
        <w:tc>
          <w:tcPr>
            <w:tcW w:w="4320" w:type="dxa"/>
          </w:tcPr>
          <w:p w14:paraId="313626C5" w14:textId="77777777" w:rsidR="000614AE" w:rsidRPr="00040884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40884">
              <w:rPr>
                <w:rFonts w:ascii="Arial" w:hAnsi="Arial" w:cs="Arial"/>
                <w:sz w:val="20"/>
                <w:szCs w:val="20"/>
              </w:rPr>
              <w:t>Reference manager</w:t>
            </w:r>
          </w:p>
        </w:tc>
      </w:tr>
      <w:tr w:rsidR="000614AE" w:rsidRPr="00040884" w14:paraId="67A6ADC4" w14:textId="77777777" w:rsidTr="00EB016C">
        <w:tc>
          <w:tcPr>
            <w:tcW w:w="3146" w:type="dxa"/>
          </w:tcPr>
          <w:p w14:paraId="393B76D4" w14:textId="77777777" w:rsidR="000614AE" w:rsidRPr="00040884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40884">
              <w:rPr>
                <w:rFonts w:ascii="Arial" w:hAnsi="Arial" w:cs="Arial"/>
                <w:sz w:val="20"/>
                <w:szCs w:val="20"/>
              </w:rPr>
              <w:t xml:space="preserve">Microsoft PowerPoint </w:t>
            </w:r>
          </w:p>
        </w:tc>
        <w:tc>
          <w:tcPr>
            <w:tcW w:w="1984" w:type="dxa"/>
          </w:tcPr>
          <w:p w14:paraId="394A6C72" w14:textId="77777777" w:rsidR="000614AE" w:rsidRPr="00040884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Version 2404</w:t>
            </w:r>
          </w:p>
        </w:tc>
        <w:tc>
          <w:tcPr>
            <w:tcW w:w="4320" w:type="dxa"/>
          </w:tcPr>
          <w:p w14:paraId="772F2B8D" w14:textId="77777777" w:rsidR="000614AE" w:rsidRPr="00040884" w:rsidRDefault="000614AE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Figure</w:t>
            </w:r>
            <w:r w:rsidRPr="00040884">
              <w:rPr>
                <w:rFonts w:ascii="Arial" w:hAnsi="Arial" w:cs="Arial"/>
                <w:sz w:val="20"/>
                <w:szCs w:val="20"/>
              </w:rPr>
              <w:t xml:space="preserve"> composition</w:t>
            </w:r>
          </w:p>
        </w:tc>
      </w:tr>
      <w:tr w:rsidR="00631205" w:rsidRPr="00040884" w14:paraId="37B6E4B2" w14:textId="77777777" w:rsidTr="00EB016C">
        <w:tc>
          <w:tcPr>
            <w:tcW w:w="3146" w:type="dxa"/>
          </w:tcPr>
          <w:p w14:paraId="74404168" w14:textId="56651154" w:rsidR="00631205" w:rsidRPr="00040884" w:rsidRDefault="00631205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Microsoft Excel</w:t>
            </w:r>
          </w:p>
        </w:tc>
        <w:tc>
          <w:tcPr>
            <w:tcW w:w="1984" w:type="dxa"/>
          </w:tcPr>
          <w:p w14:paraId="601A2D70" w14:textId="27298021" w:rsidR="00631205" w:rsidRDefault="00631205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Version 2406</w:t>
            </w:r>
          </w:p>
        </w:tc>
        <w:tc>
          <w:tcPr>
            <w:tcW w:w="4320" w:type="dxa"/>
          </w:tcPr>
          <w:p w14:paraId="674E08DD" w14:textId="16C6410C" w:rsidR="00631205" w:rsidRDefault="00631205" w:rsidP="00EB016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Data organisation and structuring of measurements</w:t>
            </w:r>
          </w:p>
        </w:tc>
      </w:tr>
    </w:tbl>
    <w:p w14:paraId="006527A0" w14:textId="77777777" w:rsidR="000614AE" w:rsidRDefault="000614AE" w:rsidP="000614AE">
      <w:pPr>
        <w:spacing w:line="480" w:lineRule="auto"/>
        <w:jc w:val="both"/>
        <w:rPr>
          <w:rFonts w:ascii="Arial" w:hAnsi="Arial" w:cs="Arial"/>
          <w:b/>
          <w:bCs/>
          <w:i/>
          <w:iCs/>
          <w:u w:val="single"/>
          <w:lang w:val="en-US"/>
        </w:rPr>
      </w:pPr>
    </w:p>
    <w:p w14:paraId="5E326410" w14:textId="77777777" w:rsidR="00254A19" w:rsidRDefault="00254A19" w:rsidP="000614AE">
      <w:pPr>
        <w:spacing w:line="480" w:lineRule="auto"/>
        <w:jc w:val="both"/>
        <w:rPr>
          <w:rFonts w:ascii="Arial" w:hAnsi="Arial" w:cs="Arial"/>
          <w:b/>
          <w:bCs/>
          <w:i/>
          <w:iCs/>
          <w:u w:val="single"/>
          <w:lang w:val="en-US"/>
        </w:rPr>
      </w:pPr>
    </w:p>
    <w:p w14:paraId="7C96F200" w14:textId="5357AA79" w:rsidR="0007663C" w:rsidRDefault="0007663C" w:rsidP="0007663C">
      <w:pPr>
        <w:spacing w:after="0" w:line="360" w:lineRule="auto"/>
        <w:jc w:val="both"/>
        <w:textAlignment w:val="baseline"/>
        <w:rPr>
          <w:rFonts w:ascii="Arial" w:eastAsia="Times New Roman" w:hAnsi="Arial" w:cs="Arial"/>
          <w:b/>
          <w:bCs/>
          <w:i/>
          <w:iCs/>
          <w:kern w:val="0"/>
          <w:sz w:val="20"/>
          <w:szCs w:val="20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i/>
          <w:iCs/>
          <w:kern w:val="0"/>
          <w:sz w:val="20"/>
          <w:szCs w:val="20"/>
          <w:lang w:eastAsia="en-GB"/>
          <w14:ligatures w14:val="none"/>
        </w:rPr>
        <w:lastRenderedPageBreak/>
        <w:t xml:space="preserve">Supplementary </w:t>
      </w:r>
      <w:r w:rsidRPr="00E10497">
        <w:rPr>
          <w:rFonts w:ascii="Arial" w:eastAsia="Times New Roman" w:hAnsi="Arial" w:cs="Arial"/>
          <w:b/>
          <w:bCs/>
          <w:i/>
          <w:iCs/>
          <w:kern w:val="0"/>
          <w:sz w:val="20"/>
          <w:szCs w:val="20"/>
          <w:lang w:eastAsia="en-GB"/>
          <w14:ligatures w14:val="none"/>
        </w:rPr>
        <w:t xml:space="preserve">Table </w:t>
      </w:r>
      <w:r>
        <w:rPr>
          <w:rFonts w:ascii="Arial" w:eastAsia="Times New Roman" w:hAnsi="Arial" w:cs="Arial"/>
          <w:b/>
          <w:bCs/>
          <w:i/>
          <w:iCs/>
          <w:kern w:val="0"/>
          <w:sz w:val="20"/>
          <w:szCs w:val="20"/>
          <w:lang w:eastAsia="en-GB"/>
          <w14:ligatures w14:val="none"/>
        </w:rPr>
        <w:t>4</w:t>
      </w:r>
      <w:r w:rsidRPr="00E10497">
        <w:rPr>
          <w:rFonts w:ascii="Arial" w:eastAsia="Times New Roman" w:hAnsi="Arial" w:cs="Arial"/>
          <w:b/>
          <w:bCs/>
          <w:i/>
          <w:iCs/>
          <w:kern w:val="0"/>
          <w:sz w:val="20"/>
          <w:szCs w:val="20"/>
          <w:lang w:eastAsia="en-GB"/>
          <w14:ligatures w14:val="none"/>
        </w:rPr>
        <w:t>: Quantitative analysis of area occupied by ice crystals in the core and periphery of both edge and belly regions</w:t>
      </w:r>
    </w:p>
    <w:p w14:paraId="05FDE30B" w14:textId="77777777" w:rsidR="00254A19" w:rsidRPr="00E10497" w:rsidRDefault="00254A19" w:rsidP="0007663C">
      <w:pPr>
        <w:spacing w:after="0" w:line="360" w:lineRule="auto"/>
        <w:jc w:val="both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en-GB"/>
          <w14:ligatures w14:val="none"/>
        </w:rPr>
      </w:pPr>
    </w:p>
    <w:tbl>
      <w:tblPr>
        <w:tblW w:w="0" w:type="dxa"/>
        <w:tblInd w:w="19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0"/>
        <w:gridCol w:w="2295"/>
        <w:gridCol w:w="2295"/>
        <w:gridCol w:w="2310"/>
      </w:tblGrid>
      <w:tr w:rsidR="0007663C" w:rsidRPr="00E10497" w14:paraId="7F5D66BB" w14:textId="77777777" w:rsidTr="00EB016C">
        <w:trPr>
          <w:trHeight w:val="285"/>
        </w:trPr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CEF5BE" w14:textId="77777777" w:rsidR="0007663C" w:rsidRPr="00E10497" w:rsidRDefault="0007663C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1049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  <w:r w:rsidRPr="00E1049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9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B64AB9" w14:textId="77777777" w:rsidR="0007663C" w:rsidRPr="00E10497" w:rsidRDefault="0007663C" w:rsidP="00EB016C">
            <w:pPr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1049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Percentage Area Occupied by Ice Crystals</w:t>
            </w:r>
            <w:r w:rsidRPr="00E1049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  <w:r w:rsidRPr="0064612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(median (IQR))</w:t>
            </w:r>
          </w:p>
        </w:tc>
      </w:tr>
      <w:tr w:rsidR="0007663C" w:rsidRPr="00E10497" w14:paraId="01FE8631" w14:textId="77777777" w:rsidTr="00EB016C">
        <w:trPr>
          <w:trHeight w:val="285"/>
        </w:trPr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3B17BC" w14:textId="77777777" w:rsidR="0007663C" w:rsidRPr="00E10497" w:rsidRDefault="0007663C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1049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  <w:r w:rsidRPr="00E1049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0A4E42" w14:textId="77777777" w:rsidR="0007663C" w:rsidRPr="00E10497" w:rsidRDefault="0007663C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1049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Edge</w:t>
            </w:r>
            <w:r w:rsidRPr="00E1049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2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68EDF9" w14:textId="77777777" w:rsidR="0007663C" w:rsidRPr="00E10497" w:rsidRDefault="0007663C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1049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Belly</w:t>
            </w:r>
            <w:r w:rsidRPr="00E1049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2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7E6BE7" w14:textId="77777777" w:rsidR="0007663C" w:rsidRPr="00E10497" w:rsidRDefault="0007663C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10497"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  <w:r w:rsidRPr="00E1049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 xml:space="preserve"> value</w:t>
            </w:r>
            <w:r w:rsidRPr="00E1049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7663C" w:rsidRPr="00E10497" w14:paraId="7AB12AD0" w14:textId="77777777" w:rsidTr="00EB016C">
        <w:trPr>
          <w:trHeight w:val="285"/>
        </w:trPr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6EB04A" w14:textId="77777777" w:rsidR="0007663C" w:rsidRPr="00E10497" w:rsidRDefault="0007663C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1049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Core</w:t>
            </w:r>
            <w:r w:rsidRPr="00E1049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6DB9FC" w14:textId="77777777" w:rsidR="0007663C" w:rsidRPr="00E10497" w:rsidRDefault="0007663C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1049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16.07 (11.10-17.20) 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84E4BE" w14:textId="77777777" w:rsidR="0007663C" w:rsidRPr="00E10497" w:rsidRDefault="0007663C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1049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6.11 (4.18-10.24) 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4831F3" w14:textId="77777777" w:rsidR="0007663C" w:rsidRPr="00E10497" w:rsidRDefault="0007663C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1049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0.0047 </w:t>
            </w:r>
          </w:p>
        </w:tc>
      </w:tr>
      <w:tr w:rsidR="0007663C" w:rsidRPr="00E10497" w14:paraId="2ED5432B" w14:textId="77777777" w:rsidTr="00EB016C">
        <w:trPr>
          <w:trHeight w:val="285"/>
        </w:trPr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C47135" w14:textId="77777777" w:rsidR="0007663C" w:rsidRPr="00E10497" w:rsidRDefault="0007663C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1049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Periphery</w:t>
            </w:r>
            <w:r w:rsidRPr="00E1049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380401" w14:textId="77777777" w:rsidR="0007663C" w:rsidRPr="00E10497" w:rsidRDefault="0007663C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1049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37.58 (20.58-47.05) 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FE56AD" w14:textId="77777777" w:rsidR="0007663C" w:rsidRPr="00E10497" w:rsidRDefault="0007663C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1049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27.56 (17.44-41.16) 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503384" w14:textId="77777777" w:rsidR="0007663C" w:rsidRPr="00E10497" w:rsidRDefault="0007663C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1049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0.1854 </w:t>
            </w:r>
          </w:p>
        </w:tc>
      </w:tr>
      <w:tr w:rsidR="0007663C" w:rsidRPr="00E10497" w14:paraId="143DD79F" w14:textId="77777777" w:rsidTr="00EB016C">
        <w:trPr>
          <w:trHeight w:val="285"/>
        </w:trPr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7E97E5" w14:textId="77777777" w:rsidR="0007663C" w:rsidRPr="00E10497" w:rsidRDefault="0007663C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10497"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  <w:r w:rsidRPr="00E1049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 xml:space="preserve"> value</w:t>
            </w:r>
            <w:r w:rsidRPr="00E1049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960CC7" w14:textId="77777777" w:rsidR="0007663C" w:rsidRPr="00E10497" w:rsidRDefault="0007663C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1049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0.0002 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74E6F0" w14:textId="77777777" w:rsidR="0007663C" w:rsidRPr="00E10497" w:rsidRDefault="0007663C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1049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0.0002 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CC6B51" w14:textId="77777777" w:rsidR="0007663C" w:rsidRPr="00E10497" w:rsidRDefault="0007663C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1049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 </w:t>
            </w:r>
          </w:p>
        </w:tc>
      </w:tr>
    </w:tbl>
    <w:p w14:paraId="43ADDC6C" w14:textId="77777777" w:rsidR="000614AE" w:rsidRDefault="000614AE" w:rsidP="000614AE">
      <w:pPr>
        <w:spacing w:line="480" w:lineRule="auto"/>
        <w:jc w:val="both"/>
        <w:rPr>
          <w:rFonts w:ascii="Arial" w:hAnsi="Arial" w:cs="Arial"/>
          <w:b/>
          <w:bCs/>
          <w:i/>
          <w:iCs/>
          <w:u w:val="single"/>
          <w:lang w:val="en-US"/>
        </w:rPr>
      </w:pPr>
    </w:p>
    <w:p w14:paraId="47AF30ED" w14:textId="77777777" w:rsidR="00254A19" w:rsidRDefault="00254A19" w:rsidP="000614AE">
      <w:pPr>
        <w:spacing w:line="480" w:lineRule="auto"/>
        <w:jc w:val="both"/>
        <w:rPr>
          <w:rFonts w:ascii="Arial" w:hAnsi="Arial" w:cs="Arial"/>
          <w:b/>
          <w:bCs/>
          <w:i/>
          <w:iCs/>
          <w:u w:val="single"/>
          <w:lang w:val="en-US"/>
        </w:rPr>
      </w:pPr>
    </w:p>
    <w:p w14:paraId="35EE5B52" w14:textId="7C918E21" w:rsidR="00254A19" w:rsidRPr="00F11D6F" w:rsidRDefault="00254A19" w:rsidP="00254A19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0"/>
          <w:szCs w:val="20"/>
          <w14:ligatures w14:val="none"/>
        </w:rPr>
      </w:pPr>
      <w:bookmarkStart w:id="2" w:name="_Hlk169682013"/>
      <w:r>
        <w:rPr>
          <w:rFonts w:ascii="Arial" w:hAnsi="Arial" w:cs="Arial"/>
          <w:b/>
          <w:bCs/>
          <w:i/>
          <w:iCs/>
          <w:sz w:val="20"/>
          <w:szCs w:val="20"/>
        </w:rPr>
        <w:t xml:space="preserve">Supplementary </w:t>
      </w:r>
      <w:r w:rsidRPr="00F11D6F">
        <w:rPr>
          <w:rFonts w:ascii="Arial" w:hAnsi="Arial" w:cs="Arial"/>
          <w:b/>
          <w:bCs/>
          <w:i/>
          <w:iCs/>
          <w:sz w:val="20"/>
          <w:szCs w:val="20"/>
        </w:rPr>
        <w:t xml:space="preserve">Table 5: </w:t>
      </w:r>
      <w:r w:rsidRPr="00F11D6F">
        <w:rPr>
          <w:rFonts w:ascii="Arial" w:hAnsi="Arial" w:cs="Arial"/>
          <w:b/>
          <w:bCs/>
          <w:i/>
          <w:iCs/>
          <w:sz w:val="20"/>
          <w:szCs w:val="20"/>
          <w14:ligatures w14:val="none"/>
        </w:rPr>
        <w:t xml:space="preserve">Quantitative analysis of various mitochondrial network parameters obtained using </w:t>
      </w:r>
      <w:proofErr w:type="spellStart"/>
      <w:r w:rsidRPr="00F11D6F">
        <w:rPr>
          <w:rFonts w:ascii="Arial" w:hAnsi="Arial" w:cs="Arial"/>
          <w:b/>
          <w:bCs/>
          <w:i/>
          <w:iCs/>
          <w:sz w:val="20"/>
          <w:szCs w:val="20"/>
          <w14:ligatures w14:val="none"/>
        </w:rPr>
        <w:t>MiNA</w:t>
      </w:r>
      <w:proofErr w:type="spellEnd"/>
      <w:r w:rsidRPr="00F11D6F">
        <w:rPr>
          <w:rFonts w:ascii="Arial" w:hAnsi="Arial" w:cs="Arial"/>
          <w:b/>
          <w:bCs/>
          <w:i/>
          <w:iCs/>
          <w:sz w:val="20"/>
          <w:szCs w:val="20"/>
          <w14:ligatures w14:val="none"/>
        </w:rPr>
        <w:t xml:space="preserve"> plugins in type I and II myofibres</w:t>
      </w:r>
      <w:r w:rsidRPr="00F11D6F">
        <w:rPr>
          <w:rFonts w:ascii="Arial" w:hAnsi="Arial" w:cs="Arial"/>
          <w:sz w:val="20"/>
          <w:szCs w:val="20"/>
          <w14:ligatures w14:val="none"/>
        </w:rPr>
        <w:t> </w:t>
      </w:r>
    </w:p>
    <w:p w14:paraId="14322DFC" w14:textId="77777777" w:rsidR="00254A19" w:rsidRPr="00F11D6F" w:rsidRDefault="00254A19" w:rsidP="00254A19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14:ligatures w14:val="none"/>
        </w:rPr>
      </w:pPr>
    </w:p>
    <w:tbl>
      <w:tblPr>
        <w:tblW w:w="0" w:type="dxa"/>
        <w:tblInd w:w="19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0"/>
        <w:gridCol w:w="2010"/>
        <w:gridCol w:w="1920"/>
        <w:gridCol w:w="960"/>
      </w:tblGrid>
      <w:tr w:rsidR="00254A19" w:rsidRPr="00F11D6F" w14:paraId="2EB29BAC" w14:textId="77777777" w:rsidTr="00EB016C">
        <w:trPr>
          <w:trHeight w:val="285"/>
        </w:trPr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1AE42D" w14:textId="77777777" w:rsidR="00254A19" w:rsidRPr="005C7E53" w:rsidRDefault="00254A19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C7E5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Parameter</w:t>
            </w:r>
            <w:r w:rsidRPr="005C7E5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  <w:r w:rsidRPr="00F90FF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(mean (SD))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B0850F" w14:textId="77777777" w:rsidR="00254A19" w:rsidRPr="005C7E53" w:rsidRDefault="00254A19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C7E5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Type I Myofibre</w:t>
            </w:r>
            <w:r w:rsidRPr="005C7E5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ED942C" w14:textId="77777777" w:rsidR="00254A19" w:rsidRPr="005C7E53" w:rsidRDefault="00254A19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C7E5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Type II Myofibre</w:t>
            </w:r>
            <w:r w:rsidRPr="005C7E5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5A4269" w14:textId="77777777" w:rsidR="00254A19" w:rsidRPr="005C7E53" w:rsidRDefault="00254A19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C7E53"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0"/>
                <w:szCs w:val="20"/>
                <w:lang w:eastAsia="en-GB"/>
                <w14:ligatures w14:val="none"/>
              </w:rPr>
              <w:t xml:space="preserve">p </w:t>
            </w:r>
            <w:r w:rsidRPr="005C7E5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value</w:t>
            </w:r>
            <w:r w:rsidRPr="005C7E5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254A19" w:rsidRPr="00F11D6F" w14:paraId="38A1EE13" w14:textId="77777777" w:rsidTr="00EB016C">
        <w:trPr>
          <w:trHeight w:val="285"/>
        </w:trPr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AF41F" w14:textId="77777777" w:rsidR="00254A19" w:rsidRPr="005C7E53" w:rsidRDefault="00254A19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C7E5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Mitochondrial footprint (µm</w:t>
            </w:r>
            <w:r w:rsidRPr="005C7E53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vertAlign w:val="superscript"/>
                <w:lang w:eastAsia="en-GB"/>
                <w14:ligatures w14:val="none"/>
              </w:rPr>
              <w:t>2</w:t>
            </w:r>
            <w:r w:rsidRPr="005C7E5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  <w:r w:rsidRPr="005C7E5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440C8C" w14:textId="77777777" w:rsidR="00254A19" w:rsidRPr="005C7E53" w:rsidRDefault="00254A19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C7E5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67.51 (0.97) 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A2350C" w14:textId="77777777" w:rsidR="00254A19" w:rsidRPr="005C7E53" w:rsidRDefault="00254A19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C7E5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63.61 (0.79) 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D9CD33" w14:textId="77777777" w:rsidR="00254A19" w:rsidRPr="005C7E53" w:rsidRDefault="00254A19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C7E5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0.0008 </w:t>
            </w:r>
          </w:p>
        </w:tc>
      </w:tr>
      <w:tr w:rsidR="00254A19" w:rsidRPr="00F11D6F" w14:paraId="2B5296A2" w14:textId="77777777" w:rsidTr="00EB016C">
        <w:trPr>
          <w:trHeight w:val="285"/>
        </w:trPr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3732DC" w14:textId="77777777" w:rsidR="00254A19" w:rsidRPr="005C7E53" w:rsidRDefault="00254A19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C7E5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Mean branched length (µm)</w:t>
            </w:r>
            <w:r w:rsidRPr="005C7E5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A6E13C" w14:textId="77777777" w:rsidR="00254A19" w:rsidRPr="005C7E53" w:rsidRDefault="00254A19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C7E5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1.20 (0.06) 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1BA74B" w14:textId="77777777" w:rsidR="00254A19" w:rsidRPr="005C7E53" w:rsidRDefault="00254A19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C7E5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1.08 (0.04) 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EDC2AF" w14:textId="77777777" w:rsidR="00254A19" w:rsidRPr="005C7E53" w:rsidRDefault="00254A19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C7E5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0.0190 </w:t>
            </w:r>
          </w:p>
        </w:tc>
      </w:tr>
      <w:tr w:rsidR="00254A19" w:rsidRPr="00F11D6F" w14:paraId="69D0DDA1" w14:textId="77777777" w:rsidTr="00EB016C">
        <w:trPr>
          <w:trHeight w:val="285"/>
        </w:trPr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697D46" w14:textId="77777777" w:rsidR="00254A19" w:rsidRPr="005C7E53" w:rsidRDefault="00254A19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C7E5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Mean summed branch length (µm)</w:t>
            </w:r>
            <w:r w:rsidRPr="005C7E5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F7B7A7" w14:textId="77777777" w:rsidR="00254A19" w:rsidRPr="005C7E53" w:rsidRDefault="00254A19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C7E5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13.96 (4.42) 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4D579C" w14:textId="77777777" w:rsidR="00254A19" w:rsidRPr="005C7E53" w:rsidRDefault="00254A19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C7E5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11.62 (2.55) 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26E2A0" w14:textId="77777777" w:rsidR="00254A19" w:rsidRPr="005C7E53" w:rsidRDefault="00254A19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C7E5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0.3941 </w:t>
            </w:r>
          </w:p>
        </w:tc>
      </w:tr>
      <w:tr w:rsidR="00254A19" w:rsidRPr="00F11D6F" w14:paraId="1056AD12" w14:textId="77777777" w:rsidTr="00EB016C">
        <w:trPr>
          <w:trHeight w:val="285"/>
        </w:trPr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D34A99" w14:textId="77777777" w:rsidR="00254A19" w:rsidRPr="005C7E53" w:rsidRDefault="00254A19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C7E5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Mean network branches </w:t>
            </w:r>
            <w:r w:rsidRPr="005C7E5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E192A5" w14:textId="77777777" w:rsidR="00254A19" w:rsidRPr="005C7E53" w:rsidRDefault="00254A19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C7E5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11.68 (3.55) 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C38D3A" w14:textId="77777777" w:rsidR="00254A19" w:rsidRPr="005C7E53" w:rsidRDefault="00254A19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C7E5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10.74 (2.47) 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0D8FE9" w14:textId="77777777" w:rsidR="00254A19" w:rsidRPr="005C7E53" w:rsidRDefault="00254A19" w:rsidP="00EB016C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C7E5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0.6783 </w:t>
            </w:r>
          </w:p>
        </w:tc>
      </w:tr>
      <w:bookmarkEnd w:id="2"/>
    </w:tbl>
    <w:p w14:paraId="7FEDF705" w14:textId="77777777" w:rsidR="000614AE" w:rsidRDefault="000614AE" w:rsidP="000614AE">
      <w:pPr>
        <w:spacing w:line="480" w:lineRule="auto"/>
        <w:jc w:val="both"/>
        <w:rPr>
          <w:rFonts w:ascii="Arial" w:hAnsi="Arial" w:cs="Arial"/>
          <w:b/>
          <w:bCs/>
          <w:i/>
          <w:iCs/>
          <w:u w:val="single"/>
          <w:lang w:val="en-US"/>
        </w:rPr>
      </w:pPr>
    </w:p>
    <w:p w14:paraId="3B3B091F" w14:textId="77777777" w:rsidR="000614AE" w:rsidRPr="00B66B86" w:rsidRDefault="000614AE" w:rsidP="00B66B86">
      <w:pPr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63572F8D" w14:textId="77777777" w:rsidR="00B66B86" w:rsidRDefault="00B66B86" w:rsidP="00B66B86">
      <w:pPr>
        <w:jc w:val="center"/>
        <w:rPr>
          <w:rFonts w:ascii="Arial" w:hAnsi="Arial" w:cs="Arial"/>
          <w:b/>
          <w:bCs/>
          <w:sz w:val="36"/>
          <w:szCs w:val="36"/>
          <w:lang w:val="en-US"/>
        </w:rPr>
      </w:pPr>
    </w:p>
    <w:p w14:paraId="68930298" w14:textId="16002A59" w:rsidR="00B66B86" w:rsidRPr="00B66B86" w:rsidRDefault="00B66B86" w:rsidP="00B66B86">
      <w:pPr>
        <w:jc w:val="center"/>
        <w:rPr>
          <w:rFonts w:ascii="Arial" w:hAnsi="Arial" w:cs="Arial"/>
          <w:b/>
          <w:bCs/>
          <w:sz w:val="36"/>
          <w:szCs w:val="36"/>
          <w:lang w:val="en-US"/>
        </w:rPr>
      </w:pPr>
    </w:p>
    <w:sectPr w:rsidR="00B66B86" w:rsidRPr="00B66B86" w:rsidSect="00164F08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1E5FF2"/>
    <w:multiLevelType w:val="multilevel"/>
    <w:tmpl w:val="123CD27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56C4FED"/>
    <w:multiLevelType w:val="multilevel"/>
    <w:tmpl w:val="D97E794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13E370C"/>
    <w:multiLevelType w:val="multilevel"/>
    <w:tmpl w:val="0FEAF9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FD6134D"/>
    <w:multiLevelType w:val="multilevel"/>
    <w:tmpl w:val="52981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65084690">
    <w:abstractNumId w:val="3"/>
  </w:num>
  <w:num w:numId="2" w16cid:durableId="52897507">
    <w:abstractNumId w:val="2"/>
  </w:num>
  <w:num w:numId="3" w16cid:durableId="1431386747">
    <w:abstractNumId w:val="1"/>
  </w:num>
  <w:num w:numId="4" w16cid:durableId="2058313414">
    <w:abstractNumId w:val="0"/>
  </w:num>
  <w:num w:numId="5" w16cid:durableId="64605775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13123333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02203684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19184346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25B"/>
    <w:rsid w:val="000614AE"/>
    <w:rsid w:val="0007663C"/>
    <w:rsid w:val="00090477"/>
    <w:rsid w:val="000C31F2"/>
    <w:rsid w:val="00164F08"/>
    <w:rsid w:val="00214FF9"/>
    <w:rsid w:val="00254A19"/>
    <w:rsid w:val="00263B7D"/>
    <w:rsid w:val="00307B43"/>
    <w:rsid w:val="003B77BA"/>
    <w:rsid w:val="0041325B"/>
    <w:rsid w:val="00413ED9"/>
    <w:rsid w:val="004C5F29"/>
    <w:rsid w:val="00525107"/>
    <w:rsid w:val="00563EE1"/>
    <w:rsid w:val="005D0052"/>
    <w:rsid w:val="00631205"/>
    <w:rsid w:val="00692A19"/>
    <w:rsid w:val="0083040A"/>
    <w:rsid w:val="00862FF4"/>
    <w:rsid w:val="008C1DFF"/>
    <w:rsid w:val="008E6305"/>
    <w:rsid w:val="009632C5"/>
    <w:rsid w:val="00A253FF"/>
    <w:rsid w:val="00A32FFF"/>
    <w:rsid w:val="00A46006"/>
    <w:rsid w:val="00B06666"/>
    <w:rsid w:val="00B17CAB"/>
    <w:rsid w:val="00B61DF2"/>
    <w:rsid w:val="00B66B86"/>
    <w:rsid w:val="00B82BDB"/>
    <w:rsid w:val="00C73816"/>
    <w:rsid w:val="00E17F0B"/>
    <w:rsid w:val="00F60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8C4BD"/>
  <w15:chartTrackingRefBased/>
  <w15:docId w15:val="{A9814F33-4C4F-4D35-ABEA-E7CDD247D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325B"/>
  </w:style>
  <w:style w:type="paragraph" w:styleId="Heading1">
    <w:name w:val="heading 1"/>
    <w:basedOn w:val="Normal"/>
    <w:next w:val="Normal"/>
    <w:link w:val="Heading1Char"/>
    <w:uiPriority w:val="9"/>
    <w:qFormat/>
    <w:rsid w:val="004132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32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32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32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32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32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32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32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32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32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32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32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32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32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32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32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32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32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32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32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32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32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32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32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32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32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32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32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325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3040A"/>
    <w:rPr>
      <w:color w:val="467886" w:themeColor="hyperlink"/>
      <w:u w:val="single"/>
    </w:rPr>
  </w:style>
  <w:style w:type="character" w:customStyle="1" w:styleId="normaltextrun">
    <w:name w:val="normaltextrun"/>
    <w:basedOn w:val="DefaultParagraphFont"/>
    <w:rsid w:val="0083040A"/>
  </w:style>
  <w:style w:type="paragraph" w:customStyle="1" w:styleId="paragraph">
    <w:name w:val="paragraph"/>
    <w:basedOn w:val="Normal"/>
    <w:rsid w:val="00830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</w:rPr>
  </w:style>
  <w:style w:type="character" w:customStyle="1" w:styleId="eop">
    <w:name w:val="eop"/>
    <w:basedOn w:val="DefaultParagraphFont"/>
    <w:rsid w:val="0083040A"/>
  </w:style>
  <w:style w:type="character" w:styleId="LineNumber">
    <w:name w:val="line number"/>
    <w:basedOn w:val="DefaultParagraphFont"/>
    <w:uiPriority w:val="99"/>
    <w:semiHidden/>
    <w:unhideWhenUsed/>
    <w:rsid w:val="00164F08"/>
  </w:style>
  <w:style w:type="table" w:styleId="TableGrid">
    <w:name w:val="Table Grid"/>
    <w:basedOn w:val="TableNormal"/>
    <w:uiPriority w:val="39"/>
    <w:rsid w:val="000614AE"/>
    <w:pPr>
      <w:spacing w:after="0" w:line="240" w:lineRule="auto"/>
    </w:pPr>
    <w:rPr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1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7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rgaret.cunningham@strath.ac.uk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maheen.wahid.2022@uni.strath.ac.uk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951</Words>
  <Characters>5425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Maheen Wahid</dc:creator>
  <cp:keywords/>
  <dc:description/>
  <cp:lastModifiedBy>Maheen Wahid</cp:lastModifiedBy>
  <cp:revision>9</cp:revision>
  <dcterms:created xsi:type="dcterms:W3CDTF">2024-06-12T13:27:00Z</dcterms:created>
  <dcterms:modified xsi:type="dcterms:W3CDTF">2024-08-07T22:05:00Z</dcterms:modified>
</cp:coreProperties>
</file>