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071" w:rsidRPr="00BF3260" w:rsidRDefault="00044071" w:rsidP="00044071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BF3260">
        <w:rPr>
          <w:rFonts w:asciiTheme="majorBidi" w:hAnsiTheme="majorBidi" w:cstheme="majorBidi"/>
          <w:b/>
          <w:bCs/>
          <w:sz w:val="24"/>
          <w:szCs w:val="24"/>
          <w:lang w:val="en-GB"/>
        </w:rPr>
        <w:t>Appendix A. Supplementary data</w:t>
      </w:r>
    </w:p>
    <w:p w:rsidR="00044071" w:rsidRPr="00BF3260" w:rsidRDefault="00044071" w:rsidP="00044071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BF3260">
        <w:rPr>
          <w:rFonts w:asciiTheme="majorBidi" w:hAnsiTheme="majorBidi" w:cstheme="majorBidi"/>
          <w:sz w:val="24"/>
          <w:szCs w:val="24"/>
          <w:lang w:val="en-GB"/>
        </w:rPr>
        <w:t xml:space="preserve">Supplementary data accompany this paper at </w:t>
      </w:r>
      <w:r w:rsidRPr="00BF3260">
        <w:rPr>
          <w:rFonts w:asciiTheme="majorBidi" w:hAnsiTheme="majorBidi" w:cstheme="majorBidi"/>
          <w:color w:val="00B0F0"/>
          <w:sz w:val="24"/>
          <w:szCs w:val="24"/>
          <w:lang w:val="en-GB"/>
        </w:rPr>
        <w:t>https://doi.org/</w:t>
      </w:r>
    </w:p>
    <w:p w:rsidR="00044071" w:rsidRPr="00BF3260" w:rsidRDefault="00044071" w:rsidP="00044071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BF3260">
        <w:rPr>
          <w:rFonts w:asciiTheme="majorBidi" w:hAnsiTheme="majorBidi" w:cstheme="majorBidi"/>
          <w:sz w:val="24"/>
          <w:szCs w:val="24"/>
          <w:lang w:val="en-GB"/>
        </w:rPr>
        <w:t xml:space="preserve">Sharing data including </w:t>
      </w:r>
      <w:proofErr w:type="spellStart"/>
      <w:r w:rsidRPr="00BF3260">
        <w:rPr>
          <w:rFonts w:asciiTheme="majorBidi" w:hAnsiTheme="majorBidi" w:cstheme="majorBidi"/>
          <w:sz w:val="24"/>
          <w:szCs w:val="24"/>
          <w:lang w:val="en-GB"/>
        </w:rPr>
        <w:t>symptomology</w:t>
      </w:r>
      <w:proofErr w:type="spellEnd"/>
      <w:r w:rsidRPr="00BF3260">
        <w:rPr>
          <w:rFonts w:asciiTheme="majorBidi" w:hAnsiTheme="majorBidi" w:cstheme="majorBidi"/>
          <w:sz w:val="24"/>
          <w:szCs w:val="24"/>
          <w:lang w:val="en-GB"/>
        </w:rPr>
        <w:t>, clinical, and medical observations, challenging behaviour, psychology, oral prophylaxis and dental assessment, and detailed methods used for physical and biochemical analyses are presented in the Supplementary Information file. The Supplementary Material-A (SM-A) and Supplementary Material-B (SM-B) involve two tables for elemental comparison.</w:t>
      </w:r>
    </w:p>
    <w:p w:rsidR="00C36527" w:rsidRDefault="00C36527"/>
    <w:sectPr w:rsidR="00C36527" w:rsidSect="00C365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44071"/>
    <w:rsid w:val="00044071"/>
    <w:rsid w:val="00C36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071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2020-07-31T17:34:00Z</dcterms:created>
  <dcterms:modified xsi:type="dcterms:W3CDTF">2020-07-31T17:35:00Z</dcterms:modified>
</cp:coreProperties>
</file>