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B0B56">
      <w:pPr>
        <w:pStyle w:val="2"/>
        <w:bidi w:val="0"/>
        <w:jc w:val="center"/>
      </w:pPr>
      <w:bookmarkStart w:id="0" w:name="OLE_LINK1"/>
      <w:r>
        <w:t>Effects of Maturation Stage on Physical Fitness in Youth Male Team Sports Players After Plyometric Training: A Systematic Review and Meta-Analysis</w:t>
      </w:r>
    </w:p>
    <w:bookmarkEnd w:id="0"/>
    <w:p w14:paraId="720D8270"/>
    <w:p w14:paraId="117ECC1A"/>
    <w:p w14:paraId="682C452C">
      <w:r>
        <w:drawing>
          <wp:inline distT="0" distB="0" distL="114300" distR="114300">
            <wp:extent cx="5266055" cy="5853430"/>
            <wp:effectExtent l="0" t="0" r="698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l="21677" t="5701" r="21207" b="7613"/>
                    <a:stretch>
                      <a:fillRect/>
                    </a:stretch>
                  </pic:blipFill>
                  <pic:spPr>
                    <a:xfrm>
                      <a:off x="0" y="0"/>
                      <a:ext cx="5266055" cy="5853430"/>
                    </a:xfrm>
                    <a:prstGeom prst="rect">
                      <a:avLst/>
                    </a:prstGeom>
                    <a:noFill/>
                    <a:ln>
                      <a:noFill/>
                    </a:ln>
                  </pic:spPr>
                </pic:pic>
              </a:graphicData>
            </a:graphic>
          </wp:inline>
        </w:drawing>
      </w:r>
    </w:p>
    <w:p w14:paraId="0D4652D8">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es-CL"/>
        </w:rPr>
        <w:t>Supplementary Fig. S1.</w:t>
      </w:r>
      <w:r>
        <w:rPr>
          <w:rFonts w:hint="default" w:ascii="Times New Roman" w:hAnsi="Times New Roman" w:eastAsia="宋体" w:cs="Times New Roman"/>
          <w:sz w:val="24"/>
          <w:szCs w:val="24"/>
        </w:rPr>
        <w:t>Compared to the control group, the forest plot for changes in countermovement jump height in youth male team sports players participating in plyometric training (PT). The values shown are effect sizes (Hedges's g) with 95% confidence intervals (CI).</w:t>
      </w:r>
    </w:p>
    <w:p w14:paraId="69CA0F88"/>
    <w:p w14:paraId="6A2F8AB9"/>
    <w:p w14:paraId="7E1BAABF"/>
    <w:p w14:paraId="005144EC">
      <w:r>
        <w:drawing>
          <wp:inline distT="0" distB="0" distL="114300" distR="114300">
            <wp:extent cx="5297805" cy="5422265"/>
            <wp:effectExtent l="0" t="0" r="5715"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rcRect l="18768" t="5005" r="18275" b="7046"/>
                    <a:stretch>
                      <a:fillRect/>
                    </a:stretch>
                  </pic:blipFill>
                  <pic:spPr>
                    <a:xfrm>
                      <a:off x="0" y="0"/>
                      <a:ext cx="5297805" cy="5422265"/>
                    </a:xfrm>
                    <a:prstGeom prst="rect">
                      <a:avLst/>
                    </a:prstGeom>
                    <a:noFill/>
                    <a:ln>
                      <a:noFill/>
                    </a:ln>
                  </pic:spPr>
                </pic:pic>
              </a:graphicData>
            </a:graphic>
          </wp:inline>
        </w:drawing>
      </w:r>
    </w:p>
    <w:p w14:paraId="5445C924"/>
    <w:p w14:paraId="0FFB970E">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es-CL"/>
        </w:rPr>
        <w:t>Supplementary Fig. S</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lang w:eastAsia="es-CL"/>
        </w:rPr>
        <w:t>.</w:t>
      </w:r>
      <w:r>
        <w:rPr>
          <w:rFonts w:hint="default" w:ascii="Times New Roman" w:hAnsi="Times New Roman" w:eastAsia="宋体" w:cs="Times New Roman"/>
          <w:sz w:val="24"/>
          <w:szCs w:val="24"/>
        </w:rPr>
        <w:t xml:space="preserve">Compared to the control group, the forest plot for changes in </w:t>
      </w:r>
      <w:bookmarkStart w:id="1" w:name="OLE_LINK46"/>
      <w:r>
        <w:rPr>
          <w:rFonts w:hint="eastAsia" w:ascii="Times New Roman" w:hAnsi="Times New Roman" w:eastAsia="宋体" w:cs="Times New Roman"/>
          <w:sz w:val="24"/>
          <w:szCs w:val="24"/>
          <w:lang w:val="en-US" w:eastAsia="zh-CN"/>
        </w:rPr>
        <w:t>Standing long jump distance</w:t>
      </w:r>
      <w:bookmarkEnd w:id="1"/>
      <w:r>
        <w:rPr>
          <w:rFonts w:hint="default" w:ascii="Times New Roman" w:hAnsi="Times New Roman" w:eastAsia="宋体" w:cs="Times New Roman"/>
          <w:sz w:val="24"/>
          <w:szCs w:val="24"/>
        </w:rPr>
        <w:t xml:space="preserve"> in youth male team sports players participating in plyometric training (PT). The values shown are effect sizes (Hedges's g) with 95% confidence intervals (CI).</w:t>
      </w:r>
    </w:p>
    <w:p w14:paraId="7FA8CF4D"/>
    <w:p w14:paraId="417ABD83"/>
    <w:p w14:paraId="64765AE2"/>
    <w:p w14:paraId="624B709C"/>
    <w:p w14:paraId="62A61960"/>
    <w:p w14:paraId="4406720F"/>
    <w:p w14:paraId="47B1A450"/>
    <w:p w14:paraId="19469CBC"/>
    <w:p w14:paraId="5CBEB205">
      <w:r>
        <w:drawing>
          <wp:inline distT="0" distB="0" distL="114300" distR="114300">
            <wp:extent cx="5320030" cy="5744845"/>
            <wp:effectExtent l="0" t="0" r="1397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rcRect l="20407" t="4793" r="19667" b="6852"/>
                    <a:stretch>
                      <a:fillRect/>
                    </a:stretch>
                  </pic:blipFill>
                  <pic:spPr>
                    <a:xfrm>
                      <a:off x="0" y="0"/>
                      <a:ext cx="5320030" cy="5744845"/>
                    </a:xfrm>
                    <a:prstGeom prst="rect">
                      <a:avLst/>
                    </a:prstGeom>
                    <a:noFill/>
                    <a:ln>
                      <a:noFill/>
                    </a:ln>
                  </pic:spPr>
                </pic:pic>
              </a:graphicData>
            </a:graphic>
          </wp:inline>
        </w:drawing>
      </w:r>
    </w:p>
    <w:p w14:paraId="122129D9">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es-CL"/>
        </w:rPr>
        <w:t>Supplementary Fig. S</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lang w:eastAsia="es-CL"/>
        </w:rPr>
        <w:t>.</w:t>
      </w:r>
      <w:r>
        <w:rPr>
          <w:rFonts w:hint="default" w:ascii="Times New Roman" w:hAnsi="Times New Roman" w:eastAsia="宋体" w:cs="Times New Roman"/>
          <w:sz w:val="24"/>
          <w:szCs w:val="24"/>
        </w:rPr>
        <w:t xml:space="preserve">Compared to the control group, the forest plot for changes in </w:t>
      </w:r>
      <w:bookmarkStart w:id="2" w:name="OLE_LINK47"/>
      <w:r>
        <w:rPr>
          <w:rFonts w:hint="eastAsia" w:ascii="Times New Roman" w:hAnsi="Times New Roman" w:eastAsia="宋体" w:cs="Times New Roman"/>
          <w:sz w:val="24"/>
          <w:szCs w:val="24"/>
          <w:lang w:val="en-US" w:eastAsia="zh-CN"/>
        </w:rPr>
        <w:t xml:space="preserve">≤10-m </w:t>
      </w:r>
      <w:bookmarkStart w:id="3" w:name="OLE_LINK24"/>
      <w:r>
        <w:rPr>
          <w:rFonts w:hint="eastAsia" w:ascii="Times New Roman" w:hAnsi="Times New Roman" w:eastAsia="宋体" w:cs="Times New Roman"/>
          <w:sz w:val="24"/>
          <w:szCs w:val="24"/>
          <w:lang w:val="en-US" w:eastAsia="zh-CN"/>
        </w:rPr>
        <w:t xml:space="preserve">linear </w:t>
      </w:r>
      <w:bookmarkStart w:id="4" w:name="OLE_LINK23"/>
      <w:r>
        <w:rPr>
          <w:rFonts w:hint="eastAsia" w:ascii="Times New Roman" w:hAnsi="Times New Roman" w:eastAsia="宋体" w:cs="Times New Roman"/>
          <w:sz w:val="24"/>
          <w:szCs w:val="24"/>
          <w:lang w:val="en-US" w:eastAsia="zh-CN"/>
        </w:rPr>
        <w:t>sprint time</w:t>
      </w:r>
      <w:bookmarkEnd w:id="2"/>
      <w:bookmarkEnd w:id="3"/>
      <w:bookmarkEnd w:id="4"/>
      <w:r>
        <w:rPr>
          <w:rFonts w:hint="default" w:ascii="Times New Roman" w:hAnsi="Times New Roman" w:eastAsia="宋体" w:cs="Times New Roman"/>
          <w:sz w:val="24"/>
          <w:szCs w:val="24"/>
        </w:rPr>
        <w:t xml:space="preserve"> in youth male team sports players participating in plyometric training (PT). The values shown are effect sizes (Hedges's g) with 95% confidence intervals (CI).</w:t>
      </w:r>
    </w:p>
    <w:p w14:paraId="189628A6"/>
    <w:p w14:paraId="67575D91"/>
    <w:p w14:paraId="33474596"/>
    <w:p w14:paraId="0C40F454"/>
    <w:p w14:paraId="4772461D"/>
    <w:p w14:paraId="326C06AE"/>
    <w:p w14:paraId="75E73905"/>
    <w:p w14:paraId="05A0F759"/>
    <w:p w14:paraId="0CEAF0B5"/>
    <w:p w14:paraId="1BDFF234"/>
    <w:p w14:paraId="0867EF7D"/>
    <w:p w14:paraId="67062E54"/>
    <w:p w14:paraId="4E906EAC"/>
    <w:p w14:paraId="0D35E358">
      <w:r>
        <w:drawing>
          <wp:inline distT="0" distB="0" distL="114300" distR="114300">
            <wp:extent cx="5306695" cy="6687185"/>
            <wp:effectExtent l="0" t="0" r="1206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rcRect l="24806" t="4834" r="24198" b="7427"/>
                    <a:stretch>
                      <a:fillRect/>
                    </a:stretch>
                  </pic:blipFill>
                  <pic:spPr>
                    <a:xfrm>
                      <a:off x="0" y="0"/>
                      <a:ext cx="5306695" cy="6687185"/>
                    </a:xfrm>
                    <a:prstGeom prst="rect">
                      <a:avLst/>
                    </a:prstGeom>
                    <a:noFill/>
                    <a:ln>
                      <a:noFill/>
                    </a:ln>
                  </pic:spPr>
                </pic:pic>
              </a:graphicData>
            </a:graphic>
          </wp:inline>
        </w:drawing>
      </w:r>
    </w:p>
    <w:p w14:paraId="3C6BE4E8">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es-CL"/>
        </w:rPr>
        <w:t>Supplementary Fig. S</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lang w:eastAsia="es-CL"/>
        </w:rPr>
        <w:t>.</w:t>
      </w:r>
      <w:r>
        <w:rPr>
          <w:rFonts w:hint="default" w:ascii="Times New Roman" w:hAnsi="Times New Roman" w:eastAsia="宋体" w:cs="Times New Roman"/>
          <w:sz w:val="24"/>
          <w:szCs w:val="24"/>
        </w:rPr>
        <w:t xml:space="preserve">Compared to the control group, the forest plot for changes in </w:t>
      </w:r>
      <w:bookmarkStart w:id="5" w:name="OLE_LINK48"/>
      <w:r>
        <w:rPr>
          <w:rFonts w:hint="eastAsia" w:ascii="Times New Roman" w:hAnsi="Times New Roman" w:eastAsia="宋体" w:cs="Times New Roman"/>
          <w:sz w:val="24"/>
          <w:szCs w:val="24"/>
          <w:lang w:val="en-US" w:eastAsia="zh-CN"/>
        </w:rPr>
        <w:t>＞10-m linear sprint time</w:t>
      </w:r>
      <w:bookmarkEnd w:id="5"/>
      <w:r>
        <w:rPr>
          <w:rFonts w:hint="default" w:ascii="Times New Roman" w:hAnsi="Times New Roman" w:eastAsia="宋体" w:cs="Times New Roman"/>
          <w:sz w:val="24"/>
          <w:szCs w:val="24"/>
        </w:rPr>
        <w:t xml:space="preserve"> in youth male team sports players participating in plyometric training (PT). The values shown are effect sizes (Hedges's g) with 95% confidence intervals (CI).</w:t>
      </w:r>
    </w:p>
    <w:p w14:paraId="3F78B27B"/>
    <w:p w14:paraId="76F33145"/>
    <w:p w14:paraId="046E80D1"/>
    <w:p w14:paraId="24CAA568"/>
    <w:p w14:paraId="7DB78DD0"/>
    <w:p w14:paraId="61D0F1F4"/>
    <w:p w14:paraId="721AA7E8"/>
    <w:p w14:paraId="48C15302">
      <w:r>
        <w:drawing>
          <wp:inline distT="0" distB="0" distL="114300" distR="114300">
            <wp:extent cx="5299075" cy="5237480"/>
            <wp:effectExtent l="0" t="0" r="4445"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rcRect l="17494" t="4657" r="17151" b="7139"/>
                    <a:stretch>
                      <a:fillRect/>
                    </a:stretch>
                  </pic:blipFill>
                  <pic:spPr>
                    <a:xfrm>
                      <a:off x="0" y="0"/>
                      <a:ext cx="5299075" cy="5237480"/>
                    </a:xfrm>
                    <a:prstGeom prst="rect">
                      <a:avLst/>
                    </a:prstGeom>
                    <a:noFill/>
                    <a:ln>
                      <a:noFill/>
                    </a:ln>
                  </pic:spPr>
                </pic:pic>
              </a:graphicData>
            </a:graphic>
          </wp:inline>
        </w:drawing>
      </w:r>
    </w:p>
    <w:p w14:paraId="341C08C7">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es-CL"/>
        </w:rPr>
        <w:t>Supplementary Fig. S</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lang w:eastAsia="es-CL"/>
        </w:rPr>
        <w:t>.</w:t>
      </w:r>
      <w:r>
        <w:rPr>
          <w:rFonts w:hint="default" w:ascii="Times New Roman" w:hAnsi="Times New Roman" w:eastAsia="宋体" w:cs="Times New Roman"/>
          <w:sz w:val="24"/>
          <w:szCs w:val="24"/>
        </w:rPr>
        <w:t xml:space="preserve">Compared to the control group, the forest plot for changes in </w:t>
      </w:r>
      <w:bookmarkStart w:id="6" w:name="OLE_LINK25"/>
      <w:r>
        <w:rPr>
          <w:rFonts w:hint="eastAsia" w:ascii="Times New Roman" w:hAnsi="Times New Roman" w:eastAsia="宋体" w:cs="Times New Roman"/>
          <w:sz w:val="24"/>
          <w:szCs w:val="24"/>
          <w:lang w:val="en-US" w:eastAsia="zh-CN"/>
        </w:rPr>
        <w:t>change-of-direction time</w:t>
      </w:r>
      <w:bookmarkEnd w:id="6"/>
      <w:r>
        <w:rPr>
          <w:rFonts w:hint="default" w:ascii="Times New Roman" w:hAnsi="Times New Roman" w:eastAsia="宋体" w:cs="Times New Roman"/>
          <w:sz w:val="24"/>
          <w:szCs w:val="24"/>
        </w:rPr>
        <w:t xml:space="preserve"> in youth male team sports players participating in plyometric training (PT). The values shown are effect sizes (Hedges's g) with 95% confidence intervals (CI).</w:t>
      </w:r>
    </w:p>
    <w:p w14:paraId="2B150D2B"/>
    <w:p w14:paraId="51D7B6A5"/>
    <w:p w14:paraId="02FB2887"/>
    <w:p w14:paraId="6BDDA035"/>
    <w:p w14:paraId="041A0169"/>
    <w:p w14:paraId="3BCCCA25"/>
    <w:p w14:paraId="650073CA"/>
    <w:p w14:paraId="0CE648A1"/>
    <w:p w14:paraId="5AA7CE70"/>
    <w:p w14:paraId="70708D97"/>
    <w:p w14:paraId="4EB66AD3"/>
    <w:p w14:paraId="3BF2FBDE">
      <w:r>
        <w:drawing>
          <wp:inline distT="0" distB="0" distL="114300" distR="114300">
            <wp:extent cx="5323840" cy="3724910"/>
            <wp:effectExtent l="0" t="0" r="1016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rcRect l="4471" t="4874" r="3900" b="7596"/>
                    <a:stretch>
                      <a:fillRect/>
                    </a:stretch>
                  </pic:blipFill>
                  <pic:spPr>
                    <a:xfrm>
                      <a:off x="0" y="0"/>
                      <a:ext cx="5323840" cy="3724910"/>
                    </a:xfrm>
                    <a:prstGeom prst="rect">
                      <a:avLst/>
                    </a:prstGeom>
                    <a:noFill/>
                    <a:ln>
                      <a:noFill/>
                    </a:ln>
                  </pic:spPr>
                </pic:pic>
              </a:graphicData>
            </a:graphic>
          </wp:inline>
        </w:drawing>
      </w:r>
    </w:p>
    <w:p w14:paraId="7373EAA1">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eastAsia="es-CL"/>
        </w:rPr>
        <w:t>Supplementary Fig. S</w:t>
      </w: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lang w:eastAsia="es-CL"/>
        </w:rPr>
        <w:t>.</w:t>
      </w:r>
      <w:r>
        <w:rPr>
          <w:rFonts w:hint="default" w:ascii="Times New Roman" w:hAnsi="Times New Roman" w:eastAsia="宋体" w:cs="Times New Roman"/>
          <w:sz w:val="24"/>
          <w:szCs w:val="24"/>
        </w:rPr>
        <w:t>Compared to the control group, the forest plot for changes in maximal strength in youth male team sports players participating in plyometric training (PT). The values shown are effect sizes (Hedges's g) with 95% confidence intervals (CI).</w:t>
      </w:r>
    </w:p>
    <w:p w14:paraId="580BF7D1">
      <w:bookmarkStart w:id="7" w:name="_GoBack"/>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yM2Y1YjA4OGIyNTFiNjRiYmQ1NGVlOTJmM2IyOTgifQ=="/>
  </w:docVars>
  <w:rsids>
    <w:rsidRoot w:val="00000000"/>
    <w:rsid w:val="61897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86181</dc:creator>
  <cp:lastModifiedBy>林格胜</cp:lastModifiedBy>
  <dcterms:modified xsi:type="dcterms:W3CDTF">2024-07-23T16:37:09Z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E2856E460A584C778AB96BB7D9E0CCC3_12</vt:lpwstr>
  </property>
</Properties>
</file>