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B0B56">
      <w:pPr>
        <w:pStyle w:val="2"/>
        <w:bidi w:val="0"/>
        <w:jc w:val="center"/>
      </w:pPr>
      <w:bookmarkStart w:id="0" w:name="OLE_LINK1"/>
      <w:r>
        <w:t>Effects of Maturation Stage on Physical Fitness in Youth Male Team Sports Players After Plyometric Training: A Systematic Review and Meta-Analysis</w:t>
      </w:r>
    </w:p>
    <w:bookmarkEnd w:id="0"/>
    <w:p w14:paraId="0AFE348B">
      <w:pPr>
        <w:rPr>
          <w:rFonts w:hint="eastAsia"/>
        </w:rPr>
      </w:pPr>
    </w:p>
    <w:p w14:paraId="5E7E41C6">
      <w:pPr>
        <w:rPr>
          <w:rFonts w:hint="eastAsia"/>
        </w:rPr>
      </w:pPr>
    </w:p>
    <w:p w14:paraId="56444750">
      <w:pPr>
        <w:rPr>
          <w:rFonts w:hint="eastAsia"/>
        </w:rPr>
      </w:pPr>
    </w:p>
    <w:p w14:paraId="1D26B25B">
      <w:pP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eastAsia="zh-CN"/>
        </w:rPr>
        <w:t xml:space="preserve">Supplementary </w:t>
      </w:r>
      <w:r>
        <w:rPr>
          <w:rFonts w:hint="eastAsia" w:ascii="Times New Roman" w:hAnsi="Times New Roman" w:eastAsia="宋体" w:cs="Times New Roman"/>
          <w:sz w:val="24"/>
          <w:szCs w:val="24"/>
          <w:lang w:eastAsia="es-CL"/>
        </w:rPr>
        <w:t xml:space="preserve">Table </w:t>
      </w:r>
      <w:r>
        <w:rPr>
          <w:rFonts w:hint="eastAsia" w:ascii="Times New Roman" w:hAnsi="Times New Roman" w:eastAsia="宋体" w:cs="Times New Roman"/>
          <w:sz w:val="24"/>
          <w:szCs w:val="24"/>
          <w:lang w:val="en-US" w:eastAsia="zh-CN"/>
        </w:rPr>
        <w:t>1.</w:t>
      </w:r>
    </w:p>
    <w:p w14:paraId="3607B8E0">
      <w:p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Rating of studies according to the Physiotherapy Evidence Database (PEDRo) scale</w:t>
      </w:r>
      <w:r>
        <w:rPr>
          <w:rFonts w:hint="eastAsia" w:ascii="Times New Roman" w:hAnsi="Times New Roman" w:eastAsia="宋体" w:cs="Times New Roman"/>
          <w:sz w:val="24"/>
          <w:szCs w:val="24"/>
          <w:lang w:val="en-US" w:eastAsia="zh-CN"/>
        </w:rPr>
        <w:t>.</w:t>
      </w:r>
    </w:p>
    <w:tbl>
      <w:tblPr>
        <w:tblStyle w:val="3"/>
        <w:tblpPr w:leftFromText="180" w:rightFromText="180" w:vertAnchor="text" w:horzAnchor="page" w:tblpXSpec="center" w:tblpY="248"/>
        <w:tblOverlap w:val="never"/>
        <w:tblW w:w="11807"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29"/>
        <w:gridCol w:w="557"/>
        <w:gridCol w:w="578"/>
        <w:gridCol w:w="600"/>
        <w:gridCol w:w="600"/>
        <w:gridCol w:w="556"/>
        <w:gridCol w:w="600"/>
        <w:gridCol w:w="600"/>
        <w:gridCol w:w="611"/>
        <w:gridCol w:w="611"/>
        <w:gridCol w:w="644"/>
        <w:gridCol w:w="654"/>
        <w:gridCol w:w="799"/>
        <w:gridCol w:w="1368"/>
      </w:tblGrid>
      <w:tr w14:paraId="0D6CEF0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8" w:hRule="atLeast"/>
          <w:jc w:val="center"/>
        </w:trPr>
        <w:tc>
          <w:tcPr>
            <w:tcW w:w="3029" w:type="dxa"/>
            <w:tcBorders>
              <w:bottom w:val="single" w:color="auto" w:sz="6" w:space="0"/>
            </w:tcBorders>
            <w:shd w:val="clear" w:color="auto" w:fill="auto"/>
            <w:noWrap/>
            <w:vAlign w:val="center"/>
          </w:tcPr>
          <w:p w14:paraId="5B5E8ECC">
            <w:pPr>
              <w:keepNext w:val="0"/>
              <w:keepLines w:val="0"/>
              <w:widowControl/>
              <w:suppressLineNumbers w:val="0"/>
              <w:ind w:firstLine="180" w:firstLineChars="100"/>
              <w:jc w:val="left"/>
              <w:textAlignment w:val="center"/>
              <w:rPr>
                <w:rFonts w:hint="default" w:ascii="宋体" w:hAnsi="宋体" w:eastAsia="宋体" w:cs="宋体"/>
                <w:i w:val="0"/>
                <w:iCs w:val="0"/>
                <w:color w:val="000000"/>
                <w:sz w:val="18"/>
                <w:szCs w:val="18"/>
                <w:u w:val="none"/>
                <w:lang w:val="en-US" w:eastAsia="zh-CN"/>
              </w:rPr>
            </w:pPr>
          </w:p>
        </w:tc>
        <w:tc>
          <w:tcPr>
            <w:tcW w:w="557" w:type="dxa"/>
            <w:tcBorders>
              <w:bottom w:val="single" w:color="auto" w:sz="6" w:space="0"/>
            </w:tcBorders>
            <w:shd w:val="clear" w:color="auto" w:fill="auto"/>
            <w:noWrap/>
            <w:vAlign w:val="center"/>
          </w:tcPr>
          <w:p w14:paraId="7D3B9BC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bottom w:val="single" w:color="auto" w:sz="6" w:space="0"/>
            </w:tcBorders>
            <w:shd w:val="clear" w:color="auto" w:fill="auto"/>
            <w:noWrap/>
            <w:vAlign w:val="center"/>
          </w:tcPr>
          <w:p w14:paraId="7383AFD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w:t>
            </w:r>
          </w:p>
        </w:tc>
        <w:tc>
          <w:tcPr>
            <w:tcW w:w="600" w:type="dxa"/>
            <w:tcBorders>
              <w:bottom w:val="single" w:color="auto" w:sz="6" w:space="0"/>
            </w:tcBorders>
            <w:shd w:val="clear" w:color="auto" w:fill="auto"/>
            <w:noWrap/>
            <w:vAlign w:val="center"/>
          </w:tcPr>
          <w:p w14:paraId="374A2C5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600" w:type="dxa"/>
            <w:tcBorders>
              <w:bottom w:val="single" w:color="auto" w:sz="6" w:space="0"/>
            </w:tcBorders>
            <w:shd w:val="clear" w:color="auto" w:fill="auto"/>
            <w:noWrap/>
            <w:vAlign w:val="center"/>
          </w:tcPr>
          <w:p w14:paraId="74B4632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w:t>
            </w:r>
          </w:p>
        </w:tc>
        <w:tc>
          <w:tcPr>
            <w:tcW w:w="556" w:type="dxa"/>
            <w:tcBorders>
              <w:bottom w:val="single" w:color="auto" w:sz="6" w:space="0"/>
            </w:tcBorders>
            <w:shd w:val="clear" w:color="auto" w:fill="auto"/>
            <w:noWrap/>
            <w:vAlign w:val="center"/>
          </w:tcPr>
          <w:p w14:paraId="60F44EB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600" w:type="dxa"/>
            <w:tcBorders>
              <w:bottom w:val="single" w:color="auto" w:sz="6" w:space="0"/>
            </w:tcBorders>
            <w:shd w:val="clear" w:color="auto" w:fill="auto"/>
            <w:noWrap/>
            <w:vAlign w:val="center"/>
          </w:tcPr>
          <w:p w14:paraId="2FE767A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600" w:type="dxa"/>
            <w:tcBorders>
              <w:bottom w:val="single" w:color="auto" w:sz="6" w:space="0"/>
            </w:tcBorders>
            <w:shd w:val="clear" w:color="auto" w:fill="auto"/>
            <w:noWrap/>
            <w:vAlign w:val="center"/>
          </w:tcPr>
          <w:p w14:paraId="6C3BE71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611" w:type="dxa"/>
            <w:tcBorders>
              <w:bottom w:val="single" w:color="auto" w:sz="6" w:space="0"/>
            </w:tcBorders>
            <w:shd w:val="clear" w:color="auto" w:fill="auto"/>
            <w:noWrap/>
            <w:vAlign w:val="center"/>
          </w:tcPr>
          <w:p w14:paraId="19530B5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8</w:t>
            </w:r>
          </w:p>
        </w:tc>
        <w:tc>
          <w:tcPr>
            <w:tcW w:w="611" w:type="dxa"/>
            <w:tcBorders>
              <w:bottom w:val="single" w:color="auto" w:sz="6" w:space="0"/>
            </w:tcBorders>
            <w:shd w:val="clear" w:color="auto" w:fill="auto"/>
            <w:noWrap/>
            <w:vAlign w:val="center"/>
          </w:tcPr>
          <w:p w14:paraId="410EDCF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w:t>
            </w:r>
          </w:p>
        </w:tc>
        <w:tc>
          <w:tcPr>
            <w:tcW w:w="644" w:type="dxa"/>
            <w:tcBorders>
              <w:bottom w:val="single" w:color="auto" w:sz="6" w:space="0"/>
            </w:tcBorders>
            <w:shd w:val="clear" w:color="auto" w:fill="auto"/>
            <w:noWrap/>
            <w:vAlign w:val="center"/>
          </w:tcPr>
          <w:p w14:paraId="720B0CE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654" w:type="dxa"/>
            <w:tcBorders>
              <w:bottom w:val="single" w:color="auto" w:sz="6" w:space="0"/>
            </w:tcBorders>
            <w:shd w:val="clear" w:color="auto" w:fill="auto"/>
            <w:noWrap/>
            <w:vAlign w:val="center"/>
          </w:tcPr>
          <w:p w14:paraId="5951F41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11</w:t>
            </w:r>
          </w:p>
        </w:tc>
        <w:tc>
          <w:tcPr>
            <w:tcW w:w="799" w:type="dxa"/>
            <w:tcBorders>
              <w:bottom w:val="single" w:color="auto" w:sz="6" w:space="0"/>
            </w:tcBorders>
            <w:shd w:val="clear" w:color="auto" w:fill="auto"/>
            <w:noWrap/>
            <w:vAlign w:val="center"/>
          </w:tcPr>
          <w:p w14:paraId="5EACD074">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Score</w:t>
            </w:r>
          </w:p>
        </w:tc>
        <w:tc>
          <w:tcPr>
            <w:tcW w:w="1368" w:type="dxa"/>
            <w:tcBorders>
              <w:bottom w:val="single" w:color="auto" w:sz="6" w:space="0"/>
            </w:tcBorders>
            <w:shd w:val="clear" w:color="auto" w:fill="auto"/>
            <w:noWrap/>
            <w:vAlign w:val="center"/>
          </w:tcPr>
          <w:p w14:paraId="30C58D16">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Study quality</w:t>
            </w:r>
          </w:p>
        </w:tc>
      </w:tr>
      <w:tr w14:paraId="3F9BCDF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op w:val="single" w:color="auto" w:sz="6" w:space="0"/>
              <w:tl2br w:val="nil"/>
              <w:tr2bl w:val="nil"/>
            </w:tcBorders>
            <w:shd w:val="clear" w:color="auto" w:fill="auto"/>
            <w:noWrap/>
            <w:vAlign w:val="center"/>
          </w:tcPr>
          <w:p w14:paraId="6B9D32A5">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Asadi et al.(2018)</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{"citationID":"nDZZxwtv","properties":{"formattedCitation":"\\super 34\\nosupersub{}","plainCitation":"34","noteIndex":0},"citationItems":[{"id":24854,"uris":["http://zotero.org/groups/5375891/items/PFYWQYWN"],"itemData":{"id":24854,"type":"article-journal","abstract":"The aim of this study was to investigate the effects of maturation on power and sprint performance adaptations following 6 weeks of plyometric training in youth  soccer players during pre-season. Sixty male soccer players were categorized into  3 maturity groups (Pre, Mid and Post peak height velocity [PHV]) and then  randomly assigned to plyometric group and control group. Vertical jump, standing  long jump, and 20-m sprint (with and without ball) tests were collected before-  and after-intervention. After the intervention, the Pre, Mid and Post-PHV groups  showed significant (P ≤ 0.05) and small to moderate effect size (ES) improvement  in vertical jump (ES = 0.48; 0.57; 0.73), peak power output (E = 0.60; 0.64;  0.76), standing long jump (ES = 0.62; 0.65; 0.7), 20-m sprint (ES = -0.58;  -0.66), and 20-m sprint with ball (ES = -0.44; -0.8; -0.55) performances. The  Post-PHV soccer players indicated greater gains than Pre-PHV in vertical jump and  sprint performance after training (P ≤ 0.05). Short-term plyometric training had  positive effects on sprinting and jumping-power which are important determinants  of match-winning actions in soccer. These results indicate that a sixty foot  contact, twice per week program, seems effective in improving power and sprint  performance in youth soccer players.","container-title":"Journal of sports sciences","DOI":"10.1080/02640414.2018.1459151","ISSN":"1466-447X 0264-0414","issue":"21","journalAbbreviation":"J Sports Sci","language":"en","note":"publisher-place: England\nPMID: 29611771\ntitleTranslation: 成熟对青少年足球运动员的跳跃能力和短跑适应增强式训练的影响。\nabstractTranslation:  本研究的目的是调查青少年足球运动员在季前赛期间进行 6 周的增强式训练后，成熟度对力量和冲刺表现适应的影响。 60 名男子足球运动员被分为 3 个成熟组（峰值身高速度前、中和后组 [PHV]），然后随机分配到增强式训练组和对照组。收集干预前后的垂直跳远、立定跳远和20米短跑（有球和无球）测试。干预后，PHV 前、中和后组在垂直弹跳（ES = 0.48；0.57；0.73）、峰值功率输出（E = 0.60）方面表现出显着（P ≤ 0.05）和小至中等效应大小（ES）改善。 ; 0.64; 0.76)、立定跳远 (ES = 0.62; 0.65; 0.7)、20 米短跑 (ES = -0.58; -0.66) 和 20 米带球短跑 (ES = -0.44; -0.8; - 0.55）表演。 PHV 后的足球运动员在训练后的垂直弹跳和冲刺表现方面比 PHV 前有更大的进步 (P ≤ 0.05)。短期增强式训练对冲刺和跳跃力有积极影响，而这些是足球比赛获胜的重要决定因素。这些结果表明，每周两次六十英尺接触的计划似乎可以有效提高青少年足球运动员的力量和冲刺表现。","page":"2405-2411","title":"The effects of maturation on jumping ability and sprint adaptations to plyometric training in youth soccer players.","volume":"36","author":[{"family":"Asadi","given":"Abbas"},{"family":"Ramirez-Campillo","given":"Rodrigo"},{"family":"Arazi","given":"Hamid"},{"family":"Sáez de Villarreal","given":"Eduardo"}],"issued":{"date-parts":[["2018",11]]}}}],"schema":"https://github.com/citation-style-language/schema/raw/master/csl-citation.json"}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34</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op w:val="single" w:color="auto" w:sz="6" w:space="0"/>
              <w:tl2br w:val="nil"/>
              <w:tr2bl w:val="nil"/>
            </w:tcBorders>
            <w:shd w:val="clear" w:color="auto" w:fill="auto"/>
            <w:noWrap/>
            <w:vAlign w:val="center"/>
          </w:tcPr>
          <w:p w14:paraId="01D22305">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op w:val="single" w:color="auto" w:sz="6" w:space="0"/>
              <w:tl2br w:val="nil"/>
              <w:tr2bl w:val="nil"/>
            </w:tcBorders>
            <w:shd w:val="clear" w:color="auto" w:fill="auto"/>
            <w:noWrap/>
            <w:vAlign w:val="center"/>
          </w:tcPr>
          <w:p w14:paraId="091609E7">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op w:val="single" w:color="auto" w:sz="6" w:space="0"/>
              <w:tl2br w:val="nil"/>
              <w:tr2bl w:val="nil"/>
            </w:tcBorders>
            <w:shd w:val="clear" w:color="auto" w:fill="auto"/>
            <w:noWrap/>
            <w:vAlign w:val="center"/>
          </w:tcPr>
          <w:p w14:paraId="0B96FFE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600" w:type="dxa"/>
            <w:tcBorders>
              <w:top w:val="single" w:color="auto" w:sz="6" w:space="0"/>
              <w:tl2br w:val="nil"/>
              <w:tr2bl w:val="nil"/>
            </w:tcBorders>
            <w:shd w:val="clear" w:color="auto" w:fill="auto"/>
            <w:noWrap/>
            <w:vAlign w:val="center"/>
          </w:tcPr>
          <w:p w14:paraId="1AB58EF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556" w:type="dxa"/>
            <w:tcBorders>
              <w:top w:val="single" w:color="auto" w:sz="6" w:space="0"/>
              <w:tl2br w:val="nil"/>
              <w:tr2bl w:val="nil"/>
            </w:tcBorders>
            <w:shd w:val="clear" w:color="auto" w:fill="auto"/>
            <w:noWrap/>
            <w:vAlign w:val="center"/>
          </w:tcPr>
          <w:p w14:paraId="70EF57DD">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600" w:type="dxa"/>
            <w:tcBorders>
              <w:top w:val="single" w:color="auto" w:sz="6" w:space="0"/>
              <w:tl2br w:val="nil"/>
              <w:tr2bl w:val="nil"/>
            </w:tcBorders>
            <w:shd w:val="clear" w:color="auto" w:fill="auto"/>
            <w:noWrap/>
            <w:vAlign w:val="center"/>
          </w:tcPr>
          <w:p w14:paraId="7ECC07AA">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600" w:type="dxa"/>
            <w:tcBorders>
              <w:top w:val="single" w:color="auto" w:sz="6" w:space="0"/>
              <w:tl2br w:val="nil"/>
              <w:tr2bl w:val="nil"/>
            </w:tcBorders>
            <w:shd w:val="clear" w:color="auto" w:fill="auto"/>
            <w:noWrap/>
            <w:vAlign w:val="center"/>
          </w:tcPr>
          <w:p w14:paraId="4F74D09E">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611" w:type="dxa"/>
            <w:tcBorders>
              <w:top w:val="single" w:color="auto" w:sz="6" w:space="0"/>
              <w:tl2br w:val="nil"/>
              <w:tr2bl w:val="nil"/>
            </w:tcBorders>
            <w:shd w:val="clear" w:color="auto" w:fill="auto"/>
            <w:noWrap/>
            <w:vAlign w:val="center"/>
          </w:tcPr>
          <w:p w14:paraId="28781165">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op w:val="single" w:color="auto" w:sz="6" w:space="0"/>
              <w:tl2br w:val="nil"/>
              <w:tr2bl w:val="nil"/>
            </w:tcBorders>
            <w:shd w:val="clear" w:color="auto" w:fill="auto"/>
            <w:noWrap/>
            <w:vAlign w:val="center"/>
          </w:tcPr>
          <w:p w14:paraId="6ACA123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op w:val="single" w:color="auto" w:sz="6" w:space="0"/>
              <w:tl2br w:val="nil"/>
              <w:tr2bl w:val="nil"/>
            </w:tcBorders>
            <w:shd w:val="clear" w:color="auto" w:fill="auto"/>
            <w:noWrap/>
            <w:vAlign w:val="center"/>
          </w:tcPr>
          <w:p w14:paraId="61FE37CB">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op w:val="single" w:color="auto" w:sz="6" w:space="0"/>
              <w:tl2br w:val="nil"/>
              <w:tr2bl w:val="nil"/>
            </w:tcBorders>
            <w:shd w:val="clear" w:color="auto" w:fill="auto"/>
            <w:noWrap/>
            <w:vAlign w:val="center"/>
          </w:tcPr>
          <w:p w14:paraId="06777802">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op w:val="single" w:color="auto" w:sz="6" w:space="0"/>
              <w:tl2br w:val="nil"/>
              <w:tr2bl w:val="nil"/>
            </w:tcBorders>
            <w:shd w:val="clear" w:color="auto" w:fill="auto"/>
            <w:noWrap/>
            <w:vAlign w:val="center"/>
          </w:tcPr>
          <w:p w14:paraId="607F7CA8">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1368" w:type="dxa"/>
            <w:tcBorders>
              <w:top w:val="single" w:color="auto" w:sz="6" w:space="0"/>
              <w:tl2br w:val="nil"/>
              <w:tr2bl w:val="nil"/>
            </w:tcBorders>
            <w:shd w:val="clear" w:color="auto" w:fill="auto"/>
            <w:noWrap/>
            <w:vAlign w:val="center"/>
          </w:tcPr>
          <w:p w14:paraId="5B761185">
            <w:pPr>
              <w:jc w:val="left"/>
              <w:rPr>
                <w:rFonts w:hint="default" w:ascii="宋体" w:hAnsi="宋体" w:eastAsia="宋体" w:cs="宋体"/>
                <w:i w:val="0"/>
                <w:iCs w:val="0"/>
                <w:color w:val="000000"/>
                <w:sz w:val="18"/>
                <w:szCs w:val="18"/>
                <w:u w:val="none"/>
                <w:lang w:val="en-US" w:eastAsia="zh-CN"/>
              </w:rPr>
            </w:pPr>
            <w:r>
              <w:rPr>
                <w:rFonts w:hint="default" w:ascii="宋体" w:hAnsi="宋体" w:eastAsia="宋体" w:cs="宋体"/>
                <w:i w:val="0"/>
                <w:iCs w:val="0"/>
                <w:color w:val="000000"/>
                <w:sz w:val="18"/>
                <w:szCs w:val="18"/>
                <w:u w:val="none"/>
                <w:lang w:val="en-US" w:eastAsia="zh-CN"/>
              </w:rPr>
              <w:t>Moderate</w:t>
            </w:r>
          </w:p>
        </w:tc>
      </w:tr>
      <w:tr w14:paraId="3AB137F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02BF791A">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Buga et al.(2022)</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{"citationID":"9jjFJXEr","properties":{"formattedCitation":"\\super 35\\nosupersub{}","plainCitation":"35","noteIndex":0},"citationItems":[{"id":21501,"uris":["http://zotero.org/groups/5375891/items/G7CJFJEA"],"itemData":{"id":21501,"type":"article-journal","abstract":"Study Objective: This study aimed to examine the effects of plyometric training performed on different surfaces on some performance measurement parameters in basketball players and compare them. Methods: Experimental design with the pretest-posttest control group, which was one of the real experimental models, was used in the study. Using simple random sampling, one of the random sampling methods, 48 male basketball players were divided into aqua (n=12), grass surface (n=12), parquet surface (n=12), and control groups (n=12). In the study, after the plyometric training, on-court basketball technical training was applied to the experimental groups. On the other hand, only basketball technical training was applied to the control group. Height, body weight, vertical jump, long jump, balance, agility, flexibility, speed, and anaerobic power measurements were taken before and after the training. Results: In the pre-test and post-test comparisons within the group, the difference was significant in balance and sprint measurement, except for the control group, in the aqua group in the flexibility measurement tests, in all groups in the vertical jump and long jump measurements, and in the aqua, grass and parquet surface groups in the agility measurement (p&lt;0,05) was found and it was determined that the best improvement was in favor of the group working in water. Conclusions: As a result, it can be said that plyometric exercises applied in aqua, grass, and parquet surfaces will positively improve the vertical jump strength, agility, balance skills, long jump, and anaerobic power performance of 12-15 age-group basketball players.","archive_location":"WOS:000775430800014","container-title":"PROGRESS IN NUTRITION","DOI":"10.23751/pn.v24iS1.13014","ISSN":"1129-8723","language":"en","note":"titleTranslation: 在不同表面上进行的增强式训练对某些性能参数的影响\nabstractTranslation:  研究目的：本研究旨在探讨在不同表面上进行的增强式训练对篮球运动员某些表现测量参数的影响并进行比较。方法：本研究采用前测后测对照组的实验设计，这是真实的实验模型之一。采用随机抽样方法之一的简单随机抽样，将 48 名男子篮球运动员分为水组（n=12）、草地组（n=12）、镶木地板组（n=12）和对照组（n=12） 。在研究中，在增强式训练之后，对实验组进行了场上篮球技术训练。另一方面，对照组仅进行篮球技术训练。训练前后测量身高、体重、纵跳、跳远、平衡、敏捷性、柔韧性、速度和无氧功率测量。结果：在组内测试前和测试后比较中，除对照组外，在平衡和冲刺测量中，水中组在灵活性测量测试中差异显着，各组在垂直弹跳和冲刺测量中差异显着。跳远测量以及在水、草地和镶木地板表面组中的敏捷性测量（p&lt;0.05）被发现，并确定最好的改进有利于在水中工作的组。结论：因此，可以说，在水上、草地和镶木地板上进行增强式训练将积极提高 12-15 岁年龄段篮球运动员的垂直弹跳力量、敏捷性、平衡能力、跳远和无氧力量表现玩家。","title":"The Effect of Plyometric Training Performed on Different Surfaces on Some Performance Parameters","volume":"24","author":[{"family":"Buga","given":"S"},{"family":"Gencer","given":"YG"}],"issued":{"date-parts":[["2022"]]}}}],"schema":"https://github.com/citation-style-language/schema/raw/master/csl-citation.json"}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35</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48AE26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416FC63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5ED78E2A">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BC4847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4CE3EBAB">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C57B37E">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30934B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20AE4B0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D3C7A3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14669BD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0E0E202C">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48C657F5">
            <w:pPr>
              <w:jc w:val="left"/>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5370B2D9">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2D1BE12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145236C6">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Chelly et al.(2014)</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{"citationID":"4fNRNDgl","properties":{"formattedCitation":"\\super 36\\nosupersub{}","plainCitation":"36","noteIndex":0},"citationItems":[{"id":36664,"uris":["http://zotero.org/groups/5375891/items/Y43C7ZND"],"itemData":{"id":36664,"type":"article-journal","abstract":"We hypothesized that replacement of a part of the normal in-season regimen of toplevel adolescent handball players by an 8-week biweekly course of lower and upper limb plyometric training would enhance characteristics important to competition, including peak power output (Wpeak), jump performance, muscle volume, and ball throwing velocity. Study participants (23 men, age: 17.4 ± 0.5 years, body mass: 79.9 ± 11.5 kg, height: 1.79 ± 6.19 m, body fat: 13.8 ± 2.1%) were randomly assigned between controls (C; n = 11) and an experimental group (E, n = 12). Measur es preintervention and postintervention included force-velocity ergometer tests for upper (W upper peak) and lower limbs (Wlower peak), force platform determinations of squat jump (SJ) and countermovement jump (CMJ) characteristics (jump height, maximal force, initial velocity, and average power), video filming of sprint velocities (first step [V1S], first 5 m [V 5m], and 25-30 m [Vmax]), and anthropometric estimates of leg muscle volume. E showed gains relative to C in Wupper peak andWlower peak (p &lt;, 0.01 and p &lt;, 0.001), SJ (height p &lt;, 0.01; force p ≤ 0.05), CMJ (height p &lt; 0.01; force p &lt;, 0.01 and relative power p ≤ 0.05), and sprint velocities (p, 0.001 for V1S, V5m, and Vmax). E also showed increases in leg and thigh muscle volumes (p &lt;, 0.001), but arm muscle volumes did not differ from control. We conclude that introduction of biweekly plyometric training into the standard regimen improved components important to handball performance, particularly explosive actions, such as sprinting, jumping, and ball throwing elocity. © 2014 National Strength and Conditioning Association.","archive":"Scopus","container-title":"Journal of Strength and Conditioning Research","DOI":"10.1519/JSC.0000000000000279","issue":"5","note":"titleTranslation: 8周季内增强式训练对青少年手球精英运动员上肢和下肢表现的影响\nabstractTranslation:  我们假设，用每两周一次的 8 周下肢和上肢增强式训练课程取代顶级青少年手球运动员正常赛季中的一部分训练，将增强对比赛重要的特征，包括峰值功率输出 (Wpeak)、跳跃表现、肌肉体积和投球速度。研究参与者（23 名男性，年龄：17.4 ± 0.5 岁，体重：79.9 ± 11.5 kg，身高：1.79 ± 6.19 m，体脂：13.8 ± 2.1%）被随机分配在对照组（C；n = 11）和对照组之间。实验组（E，n = 12）。干预前和干预后的测量包括上肢（W上峰）和下肢（W下峰）的力-速度测力计测试、深蹲跳（SJ）和反向运动跳跃（CMJ）特征（跳跃高度、最大力量、初始力量）的力量平台测定。速度和平均功率）、冲刺速度的视频拍摄（第一步 [V1S]、前 5 m [V 5m] 和 25-30 m [Vmax]）以及腿部肌肉体积的人体测量估计。 E 显示相对于 C 的 Wupper 峰和 Wlower 峰（p &lt;, 0.01 和 p &lt;, 0.001）、SJ（高度 p &lt;, 0.01；力 p ≤ 0.05）、CMJ（高度 p &lt; 0.01；力 p &lt;, 0.01 和相对功率 p ≤ 0.05）和冲刺速度（V1S、V5m 和 Vmax 的 p，0.001）。 E 还显示腿部和大腿肌肉体积增加（p &lt;, 0.001），但手臂肌肉体积与对照组没有差异。我们的结论是，将每两周一次的增强式训练引入标准训练方案可以改善对手球表现重要的组成部分，特别是爆发力动作，例如冲刺、跳跃和投球速度。 © 2014 年国家体能协会。","page":"1401-1410","title":"Effects of 8-week in-season plyometric training on upper and lower limb performance of elite adolescent handball players","volume":"28","author":[{"family":"Chelly","given":"M.S."},{"family":"Hermassi","given":"S."},{"family":"Aouadi","given":"R."},{"family":"Shephard","given":"R.J."}],"issued":{"date-parts":[["2014"]]}}}],"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36</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474D919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1E4C098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717C90F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B55281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0EFE5E5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1C574E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7C38E3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6361C0F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BD6F5E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5009A28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6FE015E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7D2D7247">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39E54850">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615ED46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15E30C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Drouzas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{"citationID":"tiZiEOMF","properties":{"formattedCitation":"\\super 37\\nosupersub{}","plainCitation":"37","noteIndex":0},"citationItems":[{"id":32314,"uris":["http://zotero.org/groups/5375891/items/TNJ6Y5AD"],"itemData":{"id":32314,"type":"article-journal","abstract":"This study compared the effects of unilateral and bilateral plyometric training on strength, sprint performance and lower limb power. Sixty-eight preadolescent soccer athletes were randomly assigned to a unilateral plyometric training group (n=23), a bilateral plyometric training group (n=23) and a control group (n=22). Both plyometric training groups trained with equal volumes of unilateral or bilateral exercises for 15 minutes in each session, at which time the control group performed soccer-specific drills. Plyometric exercises were executed twice weekly for 10 weeks during the competitive season. The following tests were performed before and after the intervention: single-leg and double-leg countermovement jump, squat jump, horizontal jumps in different directions, maximal isometric strength of quadriceps and hamstrings, sprint performance, agility and balance. Unilateral plyometric training resulted in greater improvements compared to the control group in the following variables: hamstrings strength (ES: 0.91, p=0.037), 5m sprint time (ES: 0.93, p=0.004), single-leg countermovement jump (ES: 0.90, p=0.006), single- and double-leg squat jump (ES: 0.87, p=0.030 and ES: 0.73, p=0.067, respectively) and single-leg hop performance (ES: 1.01, p=0.004). The only tests where there was an improvement of BPT compared with the CG were the single-leg and double leg SJ (ES: 0.76, p=0.026; ES: 0.70, p=0.050). Quadriceps strength, side hop test, double-leg horizontal jump test, flamingo balance test and modified agility T-test were equally improved in all three groups (p&lt;0.001). In conclusion, unilateral lower-limb plyometric training is more effective in increasing muscle strength and power in preadolescent soccer players when compared to bilateral training or soccer training alone.  © 2020 Vasileios Drouzas, Christos Katsikas, Andreas Zafeiridis, Athanasios Z. Jamurtas, Gregory C. Bogdanis, published by Sciendo 2020.","archive":"Scopus","container-title":"Journal of Human Kinetics","DOI":"10.2478/hukin-2020-0022","issue":"1","note":"titleTranslation: 在提高青春期前足球运动员下肢的力量、速度和力量方面，单侧增强式训练优于容量匹配的双边训练\nabstractTranslation:  这项研究比较了单侧和双侧增强式训练对力量、冲刺表现和下肢力量的影响。 68 名青春期前足球运动员被随机分配到单侧增强式训练组 (n=23)、双侧增强式训练组 (n=23) 和对照组 (n=22)。两个增强式训练组每次均进行等量的单侧或双边练习 15 分钟，同时对照组进行足球专项训练。在比赛期间，每周进行两次增强式训练，持续 10 周。干预前后进行以下测试：单腿和双腿反动跳、深蹲跳、不同方向水平跳、股四头肌和腘绳肌最大等长肌力、冲刺能力、敏捷性和平衡性。与对照组相比，单侧增强式训练在以下变量方面取得了更大的进步：腿筋力量（ES：0.91，p = 0.037），5m冲刺时间（ES：0.93，p = 0.004），单腿反向运动跳跃（ES： 0.90，p = 0.006），单腿和双腿深蹲跳（分别为ES：0.87，p = 0.030和ES：0.73，p = 0.067）和单腿跳跃表现（ES：1.01，p = 0.004）。与 CG 相比，BPT 有所改善的唯一测试是单腿和双腿 SJ（ES：0.76，p=0.026；ES：0.70，p=0.050）。所有三组的股四头肌力量、侧跳测试、双腿水平跳跃测试、火烈鸟平衡测试和改良敏捷性 T 测试都有同等程度的改善（p&lt;0.001）。总之，与双边训练或单独的足球训练相比，单侧下肢增强式训练对于增加青春期前足球运动员的肌肉力量和爆发力更有效。 © 2020 Vasileios Drouzas、Christos Katsikas、Andreas Zafeiridis、Athanasios Z. Jamurtas、Gregory C. Bogdanis，由 Sciendo 2020 出版。","page":"161-176","title":"Unilateral Plyometric Training is Superior to Volume-Matched Bilateral Training for Improving Strength, Speed and Power of Lower Limbs in Preadolescent Soccer Athletes","volume":"74","author":[{"family":"Drouzas","given":"V."},{"family":"Katsikas","given":"C."},{"family":"Zafeiridis","given":"A."},{"family":"Jamurtas","given":"A.Z."},{"family":"Bogdanis","given":"G.C."}],"issued":{"date-parts":[["2020"]]}}}],"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37</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7509442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359C1DC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251DB43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B354EE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153ADCD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4E9F88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785504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0A05B3C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0B700AD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3E526AC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5DF8315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47AAE7AA">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1368" w:type="dxa"/>
            <w:tcBorders>
              <w:tl2br w:val="nil"/>
              <w:tr2bl w:val="nil"/>
            </w:tcBorders>
            <w:shd w:val="clear" w:color="auto" w:fill="auto"/>
            <w:noWrap/>
            <w:vAlign w:val="center"/>
          </w:tcPr>
          <w:p w14:paraId="77CB5891">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sz w:val="18"/>
                <w:szCs w:val="18"/>
                <w:u w:val="none"/>
                <w:lang w:val="en-US" w:eastAsia="zh-CN"/>
              </w:rPr>
              <w:t>Moderate</w:t>
            </w:r>
          </w:p>
        </w:tc>
      </w:tr>
      <w:tr w14:paraId="586EB01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4F718D5D">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Fathi et al.(2019)</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{"citationID":"QZbwoUmv","properties":{"formattedCitation":"\\super 38\\nosupersub{}","plainCitation":"38","noteIndex":0},"citationItems":[{"id":33350,"uris":["http://zotero.org/groups/5375891/items/72BFRLGR"],"itemData":{"id":33350,"type":"article-journal","abstract":"The purpose of this study was to determine the effects of 16 weeks of combined strength and plyometric training or plyometric training alone and how a detraining program can modify adaptations in response to the training stimulus. Sixty male volleyball players (circa peakheight- velocity [PHV]: 21 to +1 year from PHV) were assigned to a combined training group (CTG) (n = 20), a plyometric training group (PTG) (n = 20), or a control group (n = 20). The experimental groups (CTG and PTG) participated in training twice weekly for 16 weeks. Thigh muscle volume, body fat, flexibility, sprint, jump height, and medicine ball throw were measured before and after the intervention and after the period of detraining. Respectively, the CTG and PTG showed increases in thigh muscle volume (effect size: 0.71 and 0.42) and decreases in body fat (20.42 and 20.34), as well as improvements in 5-m sprint (20.69 and 20.46), 10-m sprint (20.31 and 20.3), lower-body muscle power (0.44 and 0.36), and upper-body muscle power (1.32 and 0.7). After the detraining period, all groups maintained previously attained muscle power (6.79-9.87%; p , 0.001). In conclusion, combined strength and plyometric training provided better improvements than plyometric training only. The combination of strength and plyometric training is a time-effective training modality that confers improvements in physical performance measures, muscle size, and body fat. A temporary period of detraining may not undermine performance gains in pubertal volleyball players. © 2019 NSCA National Strength and Conditioning Association. All rights reserved.","archive":"Scopus","container-title":"Journal of Strength and Conditioning Research","DOI":"10.1519/JSC.0000000000002461","issue":"8","note":"titleTranslation: 为期 16 周的综合力量和增强训练计划以及随后的休整期对青春期排球运动员运动表现的影响\nabstractTranslation:  本研究的目的是确定 16 周的力量和增强式训练相结合或单独的增强式训练的效果，以及训练中断计划如何根据训练刺激来调整适应性。 60 名男子排球运动员（大约峰值身高速度 [PHV]：距 PHV 21 至 +1 年）被分配到联合训练组 (CTG) (n = 20)、增强式训练组 (PTG) (n = 20)、或对照组 (n = 20)。实验组（CTG 和 PTG）每周参加两次训练，持续 16 周。在干预前后和停止训练后测量大腿肌肉体积、身体脂肪、灵活性、冲刺、跳跃高度和健身球投掷。 CTG 和 PTG 分别显示大腿肌肉体积增加（效果大小：0.71 和 0.42）和体脂减少（20.42 和 20.34），以及 5 米冲刺（20.69 和 20.46）、10 米冲刺的改善（20.31 和 20.3）、下半身肌肉力量（0.44 和 0.36）以及上半身肌肉力量（1.32 和 0.7）。停止训练期后，所有组都保持了先前获得的肌肉力量（6.79-9.87%；p，0.001）。总之，力量和增强式训练相结合比单独的增强式训练提供了更好的改善。力量训练和增强式训练相结合是一种省时有效的训练方式，可以改善身体表现、肌肉大小和体脂。暂时的停止训练可能不会影响青春期排球运动员的成绩提升。 © 2019 NSCA 国家体能协会。版权所有。","page":"2117-2127","title":"EFFECT OF A 16-WEEK COMBINED STRENGTH AND PLYOMETRIC TRAINING PROGRAM FOLLOWED BY A DETRAINING PERIOD ON ATHLETIC PERFORMANCE IN PUBERTAL VOLLEYBALL PLAYERS","volume":"33","author":[{"family":"Fathi","given":"A."},{"family":"Hammami","given":"R."},{"family":"Moran","given":"J."},{"family":"Borji","given":"R."},{"family":"Sahli","given":"S."},{"family":"Rebai","given":"H."}],"issued":{"date-parts":[["2019"]]}}}],"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38</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4F8AA25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76AD4C9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6F90701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FB7AAB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FC3E24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67B95F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36286E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48DDDB8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3D6578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554A75B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268F37E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19118BA6">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7729B2FA">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7B4BED6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15BE20D7">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Fernandes Correia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{"citationID":"UbMX4Pc8","properties":{"formattedCitation":"\\super 39\\nosupersub{}","plainCitation":"39","noteIndex":0},"citationItems":[{"id":32604,"uris":["http://zotero.org/groups/5375891/items/2LVZE3LX"],"itemData":{"id":32604,"type":"article-journal","abstract":"This study investigated the effect of plyometric training (PT) on vertical jump in young basketball athletes. A total of 39 athletes were divided into two experimental groups (male – MEG and female – FEG) and two control groups (male – MCG and female – FCG). The My Jump app quantified jump height from flight time. Data analysis relied on repeated measures ANOVA, Cohen's effect size (ES) and magnitude-based inference, with a level of significance of p≤ 0.05. Results showed that the MEG and the MCG obtained significant improvements in the countermovement jump (CMJ) and in the squat jump (SJ). The FEG and the FCG presented significant differences in the SJ, with interaction effect; as for the CMJ, only the FEG showed improvements with interaction effect. Concerning ES, the MEG showed greater effects in the CMJ and in the SJ compared to the MCG; within the FEG, the ES was greater only for the CMJ in comparison with the FCG. Qualitative responses showed that PT is likely beneficial for the MEG, whereas for the FEG it is likely beneficial in the SJ, and very likely beneficial in the CMJ. It is concluded that PT brought about positive effects on the MEG and on the FEG, both in the CMJ and in the SJ. In the control groups, both obtained significant improvements in the SJ, but only the MCG showed an improvement in the CMJ. Furthermore, results were better in the MEG and in the FEG compared to the MGC and to the FCG. Thus, PT is suitable for vertical jump enhancement in young basketball athletes. © 2021 Universidade Estadual de Maringa. All rights reserved.","archive":"Scopus","container-title":"Journal of Physical Education (Maringa)","DOI":"10.4025/JPHYSEDUC.V31I1.3175","issue":"1","note":"titleTranslation: 增强式训练对青少年篮球运动员纵跳能力的影响\nabstractTranslation:  本研究调查了增强式训练（PT）对年轻篮球运动员垂直弹跳的影响。共有 39 名运动员被分为两个实验组（男性 – MEG 和女性 – FEG）和两个对照组（男性 – MCG 和女性 – FCG）。 My Jump 应用程序根据飞行时间量化了跳跃高度。数据分析依赖于重复测量方差分析、科恩效应大小 (ES) 和基于幅度的推断，显着性水平为 p≤ 0.05。结果表明，MEG 和 MCG 在反动跳 (CMJ) 和深蹲跳 (SJ) 方面获得了显着改善。 FEG与FCG在SJ上呈现显着差异，且存在交互作用；至于CMJ，只有FEG表现出交互效应的改善。对于 ES，与 MCG 相比，MEG 对 CMJ 和 SJ 的影响更大；在 FEG 内，与 FCG 相比，仅 CMJ 的 ES 更大。定性反应表明，PT 可能对 MEG 有益，而对 FEG 来说，它可能对 SJ 有益，并且很可能对 CMJ 有益。结论是，PT 对 CMJ 和 SJ 中的 MEG 和 FEG 产生了积极的影响。在对照组中，两者的 SJ 均获得显着改善，但只有 MCG 表现出 CMJ 的改善。此外，与 MGC 和 FCG 相比，MEG 和 FEG 的结果更好。因此，PT适合青少年篮球运动员的垂直弹跳增强。 © 2021 马林加大学。版权所有。","title":"The effect of plyometric training on vertical jump performance in young basketball athletes","title-short":"O efeito do treinamento pliomÉtrico no desempenho do salto vertical em atletas jovens de basquete","URL":"https://www.scopus.com/inward/record.uri?eid=2-s2.0-85100132647&amp;doi=10.4025%2fJPHYSEDUC.V31I1.3175&amp;partnerID=40&amp;md5=25b89910fec5fa8844cab2e39cd9aef1","volume":"31","author":[{"family":"Fernandes Correia","given":"G.A."},{"family":"De Freitas Júnior","given":"C.G."},{"family":"Da Silva Lira","given":"H.A.A."},{"family":"De Oliveira","given":"S.F.M."},{"family":"Dos Santos","given":"W.R."},{"family":"Bezerra Da Silva","given":"C.K.D.F."},{"family":"Vaz da Silva","given":"P.H."},{"family":"Paes","given":"P.P."}],"issued":{"date-parts":[["2020"]]}}}],"schema":"https://github.com/citation-style-language/schema/raw/master/csl-citation.json"}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39</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F17B2D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3844404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DF2EED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6A8343C">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7C5995A0">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262C13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5E98B0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5F679DCE">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3731241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6786B8C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3A77812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0EC6D6C1">
            <w:pPr>
              <w:jc w:val="left"/>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380D84D0">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49CD311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650CD40">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Fonseca et al.(2022)</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{"citationID":"sqUx2Y4p","properties":{"formattedCitation":"\\super 40\\nosupersub{}","plainCitation":"40","noteIndex":0},"citationItems":[{"id":31110,"uris":["http://zotero.org/groups/5375891/items/A93T62VH"],"itemData":{"id":31110,"type":"article-journal","abstract":"This study analyzed the effects of plyometric and strength training on vertical jump (VJ), rating of perceived exertion (RPE), delayed-onset muscle soreness (DOMS), and absolute (APP) and relative (RPP) muscle peak power in young male football players. Twenty-five participants were randomly divided into semi-squat training group (SSTG), plyometric training group (PTG), and control group (CG). The duration of the intervention was six weeks. VJ was analyzed with a computerized jumping platform. DOMS and RPE with the Borg's Visual Analogue Scale (VAS) and the Adapted Borg Scale (ABS), respectively. The SSTG showed improvements (p &lt; 0.05) in countermovement jump (CMJ), squat jump (SJ), APP (3190.67 ± 338.49 W), and RPP (47.75 ± 5.01 W/kg). PTG showed improvements (p &lt; 0.05) in SJ. In the intragroup comparations, SSTG, PTG, and CG showed an increase (p &lt; 0.05) in RPE and DOMS. Between groups, PTG presented an increase (p &lt; 0.05) on RPE and DOMS compared with SSTG and CG. CMJ presented strong correlations between APP and VJ, RPP, and VJ, and APP and RPP. SJ showed a higher positive correlation between all the physical variables. Only SSTG promoted an increase in both types of jumps, with a greater APP and RPP and a lower RPE and DOMS. © 2022 Federacion Espanola de Docentes de Educacion Fisica. All rights reserved.","archive":"Scopus","container-title":"Retos","issue":"46","note":"titleTranslation: 对巴西年轻男子足球运动员进行增强式和半蹲举重训练的垂直弹跳、感知用力等级、延迟性肌肉酸痛和肌肉峰值功率进行分析\nabstractTranslation:  本研究分析了增强式训练和力量训练对年轻男性垂直跳跃 (VJ)、感知用力等级 (RPE)、延迟性肌肉酸痛 (DOMS) 以及绝对 (APP) 和相对 (RPP) 肌肉峰值功率的影响足球运动员。 25 名参与者被随机分为半蹲训练组（SSTG）、增强式训练组（PTG）和对照组（CG）。干预的持续时间为六周。 VJ 通过计算机化的跳跃平台进行分析。 DOMS 和 RPE 分别采用博格视觉模拟量表 (VAS) 和适应博格量表 (ABS)。 SSTG 在反向运动跳跃 (CMJ)、深蹲跳 (SJ)、APP (3190.67 ± 338.49 W) 和 RPP (47.75 ± 5.01 W/kg) 方面显示出改善 (p &lt; 0.05)。 PTG 在 SJ 中显示出改善（p &lt; 0.05）。在组内比较中，SSTG、PTG 和 CG 显示 RPE 和 DOMS 有所增加 (p &lt; 0.05)。组间，与 SSTG 和 CG 相比，PTG 的 RPE 和 DOMS 有所增加 (p &lt; 0.05)。 CMJ 呈现 APP 与 VJ、RPP 与 VJ、APP 与 RPP 之间的强相关性。 SJ 在所有物理变量之间表现出较高的正相关性。只有 SSTG 促进了两种类型跳跃的增加，APP 和 RPP 更高，RPE 和 DOMS 更低。 © 2022 Federacion Espanola de Docentes de Educacion Fisica。版权所有。","page":"613-621","title":"Analysis of vertical jump, rating of perceived exertion, delayed-onset muscle soreness, and muscular peak power in young male Brazilian football players submitted to plyometric and semi-squat training with weights","author":[{"family":"Fonseca","given":"R.T."},{"family":"Lopes","given":"G.C."},{"family":"De Castro","given":"J.B.P."},{"family":"Dos Santos","given":"L.A.V."},{"family":"Lima","given":"B.L.P."},{"family":"De Oliveira Filho","given":"G.R."},{"family":"De Alkmim Moreira Nunes","given":"R."},{"family":"De Souza Vale","given":"R.G."}],"issued":{"date-parts":[["2022"]]}}}],"schema":"https://github.com/citation-style-language/schema/raw/master/csl-citation.json"}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40</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03862FB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79E192D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1B06561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5654E4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589A567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FC82D5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39887E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2A72C28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12E6E2B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1A8C17F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670999D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5499B58B">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5856FB63">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22BC88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5F56787D">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Hammami et al.(2016)</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{"citationID":"3BzZSKOc","properties":{"formattedCitation":"\\super 41\\nosupersub{}","plainCitation":"41","noteIndex":0},"citationItems":[{"id":39412,"uris":["http://zotero.org/groups/5375891/items/5247AEHF"],"itemData":{"id":39412,"type":"article-journal","abstract":"Hammami, M, Negra, Y, Aouadi, R, Shephard, RJ, and Chelly, MS. Effects of an in-season plyometric training program on repeated change of direction and sprint performance in the junior soccer player. J Strength Cond Res 30(12): 3312-3320, 2016-We aimed to determine the gains in explosive movements of male junior soccer players induced by incorporating an 8-week plyometric training program (PTP) into a standard soccer conditioning regimen 5 months after the beginning of the competitive season. Our hypothesis was that PTP would enhance explosive movements, and thus sprint running, repeated shuttle sprint ability (RSSA), agility and the ability to make repeated changes of direction (RCOD). A group of junior soccer players were randomly divided into 2 groups: An experimental group (E, n = 15, age 15.7 ± 0.2 years) and a control group (C, n = 13, age 15.8 ± 0.2 years). The participants in E and C performed training exercises and matches together, but for an 8-week period in the latter part of the season, the experimental group replaced a part of the normal regimen (the tactical session) by a biweekly course of PTP (hurdle and drop jumps). Two familiarization sessions were held 2 weeks before definitive testing. The ability of the players was assessed by 3 agility tests (a sprint test with 180° turns, a 9-3-6-3-9 m sprint with backward and forward running, and a four 5-m sprint test with turns); 2 repeated sprint tests (RSSA and RCOD); and running times over 5-, 10-, 20-, 30-, and 40-m distances. Participants in E showed gains relative to C in sprint times (p ≤ 0.05 for 5, 10, and 20 m), and 2 of 3 the RCOD parameters (RCOD best, p ≤ 0.001; RCOD total, p ≤ 0.05). However, with the pattern of plyometric training that we adopted, and perhaps because participants were in good initial physical condition, the agility and RSSA test scores remained unchanged. Nevertheless, we conclude that our PTP can be commended to junior soccer players as a means of improving important components of their physical performance. © 2016 National Strength and Conditioning Association.","archive":"Scopus","container-title":"Journal of Strength and Conditioning Research","DOI":"10.1519/JSC.0000000000001470","issue":"12","note":"titleTranslation: 赛季中增强式训练计划对青少年足球运动员反复改变方向和冲刺表现的影响\nabstractTranslation:  Hammami, M、Negra, Y、Aouadi, R、Shephard, RJ 和 Chelly, MS。赛季中增强式训练计划对青少年足球运动员反复改变方向和冲刺表现的影响。 J Strength Cond Res 30(12): 3312-3320, 2016 - 我们的目的是确定将 8 周的增强式训练计划 (PTP) 纳入 5 个月的标准足球训练方案中所诱导的男性青少年足球运动员爆发力运动的增益赛季开始后。我们的假设是 PTP 会增强爆发力运动，从而增强冲刺跑、反复穿梭冲刺能力 (RSSA)、敏捷性和反复改变方向的能力 (RCOD)。一组青少年足球运动员被随机分为 2 组：实验组（E，n = 15，年龄 15.7 ± 0.2 岁）和对照组（C，n = 13，年龄 15.8 ± 0.2 岁）。 E组和C组的参与者一起进行训练和比赛，但在赛季后半段的8周时间内，实验组用每两周一次的PTP课程取代了部分正常训练（战术训练）（跨栏和跳伞）。最终测试前两周举行了两次熟悉会议。运动员的能力通过3项敏捷性测试进行评估（一项180°转身冲刺测试、一项向后和向前跑的9-3-6-3-9米冲刺测试以及四项5米转身冲刺测试）； 2次重复冲刺测试（RSSA和RCOD）；以及 5、10、20、30 和 40 米距离的跑步时间。 E 组的参与者在冲刺时间（5、10 和 20 m 时 p ≤ 0.05）和 3 个 RCOD 参数中的 2 个（RCOD 最佳，p ≤ 0.001；RCOD 总计，p ≤ 0.05）方面表现出相对于 C 的增益。然而，由于我们采用的增强式训练模式，也许是因为参与者初始身体状况良好，敏捷性和 RSSA 测试分数保持不变。尽管如此，我们得出的结论是，我们的 PTP 可以推荐给青少年足球运动员，作为提高他们身体表现的重要组成部分的一种手段。 © 2016 年国家体能协会。","page":"3312-3320","title":"Effects of an In-season Plyometric Training Program on Repeated Change of Direction and Sprint Performance in the Junior Soccer Player","volume":"30","author":[{"family":"Hammami","given":"M."},{"family":"Negra","given":"Y."},{"family":"Aouadi","given":"R."},{"family":"Shephard","given":"R.J."},{"family":"Chelly","given":"M.S."}],"issued":{"date-parts":[["2016"]]}}}],"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41</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6D4C526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26E9D42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990941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1E7292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63CF61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D38BF9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3EC82F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0584336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703F9F1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6F9B8EC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7D2E2B1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1DCC1389">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696FBFCE">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4670089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5A9F5701">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Hammami et al.(2019)</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{"citationID":"SDmT89eD","properties":{"formattedCitation":"\\super 42\\nosupersub{}","plainCitation":"42","noteIndex":0},"citationItems":[{"id":33306,"uris":["http://zotero.org/groups/5375891/items/8DJXBE4C"],"itemData":{"id":33306,"type":"article-journal","abstract":"The aim was to compare the effects of 2 differing 8-week in-season strength training programs (contrast strength training [CST] vs. plyometric training [PT]) on selected performance tests (5 and 40 m sprints, S 4 3 5 m change of direction test, squat jump [SJ] and countermovement jump [CMJ], leg peak power on a cycle-ergometer force-velocity test, 1 repetition maximal half-squat, and electromyographic [EMG] activity of the vastus lateralis, vastus medialis, and rectus femoris muscles during vertical jump tests). Forty male soccer players (age = 15.8 6 0.4 years; body mass = 58.8 6 6.3 kg; body height = 1.74 6 0.06 m; body fat = 10.5 6 1.9%) were divided between a contrast strength group (CSG, n = 14), plyometric group (PG, n = 14), and control group (CG, n = 12). Both training programs enhanced sprint performance (p &lt; 0.001 in 5 m; p ge; 0.05 in 40 m) and change of direction test scores (p &lt; 0.001) relative to controls. The plyometric group and CSG increased SJ height relative to the CG, with a slightly greater response in CSG compared with PG (p ≥ 0.05). Most CMJ scores increased significantly in both CSG and PG relative to the CG, with no intergroup differences in training response. Most force-velocity scores increased significantly in the CSG relative to PG and CG. The EMG parameters also increased in the CSG relative to both PG and CG. In summary, most measures of athletic performance in male soccer players were enhanced after CST and PT. However, the improvement of physical performance was better with 8 weeks of CST than with PT. Thus, coaches should be encouraged to include CST as an element of in-season conditioning. © 2019 NSCA National Strength and Conditioning Association. All rights reserved.","archive":"Scopus","container-title":"Journal of Strength and Conditioning Research","DOI":"10.1519/JSC.0000000000002425","issue":"8","note":"titleTranslation: 对比度强度与对比度的影响针对足球运动员下肢爆发力、变向能力和神经肌肉适应的增强训练\nabstractTranslation:  目的是比较 2 个不同的 8 周季节内力量训练计划（对比力量训练 [CST] 与增强式训练 [PT]）对选定性能测试（5 和 40 m 冲刺、S 4 3 5 m变向测试、深蹲跳 [SJ] 和反向运动跳 [CMJ]、自行车测力计力速度测试的腿部峰值功率、1 次重复最大半蹲以及股外侧肌、股内侧肌的肌电图 [EMG] 活动，以及垂直跳跃测试中的股直肌）。 40 名男子足球运动员（年龄 = 15.8 × 6 0.4 岁；体重 = 58.8 × 6 × 6.3 kg；身高 = 1.74 × 6 × 0.06 m；体脂 = 10.5 × 6 × 1.9%）被分为对比强度组（CSG，n = 14） 、增强式训练组（PG，n = 14）和对照组（CG，n = 12）。相对于对照组，两种训练计划均提高了冲刺表现（5 m 中 p &lt; 0.001；p ge；40 m 中 0.05）和变向测试分数（p &lt; 0.001）。增强式训练组和 CSG 相对于 CG 增加了 SJ 高度，与 PG 相比，CSG 的反应稍大（p ≥ 0.05）。相对于 CG，CSG 和 PG 中的大多数 CMJ 分数均显着增加，并且训练反应没有组间差异。相对于 PG 和 CG，CSG 中的大多数力-速度分数显着增加。相对于 PG 和 CG，CSG 中的 EMG 参数也有所增加。总之，男性足球运动员的大多数运动表现指标在 CST 和 PT 后都有所提高。然而，8周的CST对身体机能的改善比PT更好。因此，应该鼓励教练将 CST 作为赛季内训练的一个要素。 © 2019 NSCA 国家体能协会。版权所有。","page":"2094-2103","title":"EFFECTS OF CONTRAST STRENGTH VS. PLYOMETRIC TRAINING ON LOWER-LIMB EXPLOSIVE PERFORMANCE, ABILITY TO CHANGE DIRECTION AND NEUROMUSCULAR ADAPTATION IN SOCCER PLAYERS","volume":"33","author":[{"family":"Hammami","given":"M."},{"family":"Gaamouri","given":"N."},{"family":"Shephard","given":"R.J."},{"family":"Chelly","given":"M.S."}],"issued":{"date-parts":[["2019"]]}}}],"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42</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1F6EF87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692DFA3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4BEBE5A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B25179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42B63EB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582AE5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B424A9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3958BF5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5B09AAF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77CC118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71EDE1A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1AB8BC66">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1C9E6A71">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1A85661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1A0D5DB4">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Hammami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{"citationID":"3aJCroFS","properties":{"formattedCitation":"\\super 43\\nosupersub{}","plainCitation":"43","noteIndex":0},"citationItems":[{"id":32210,"uris":["http://zotero.org/groups/5375891/items/ISENU7N2"],"itemData":{"id":32210,"type":"article-journal","abstract":"The aim of this study was to compare the impact of two differing plyometric training programs (loaded plyometrics (with 2.5% of body mass placed above the ankle joint) vs. unloaded plyometrics), performed biweekly for 10 weeks, on the physical fitness of elite junior male soccer players. Participants aged 16.0 ± 0.5 years were randomly assigned between unloaded plyometrics (UP; n = 12), loaded plyometrics (LP; n = 14) and control (C; n = 12) groups. Two-way analyses of performance (group x time) were assessed by 40-m sprint times; 9–3–6–3–9 m sprints with 180◦ turns (S180◦); 9–3–6–3–9 m sprints with backward and forward running (SBF); and 4 × 5 m sprints (S4 × 5 m); four jump tests; measures of static and dynamic balance; repeated change of direction tests and the Yo-Yo intermittent recovery test. Both LP and UP enhanced sprinting performance relative to C (p &lt; 0.05) but performance increased more in LP relative to UP (p &lt; 0.05) in all sprints except 40 m. Change of direction times were also significantly shortened by LP relative to UP (p &lt; 0.05) and C (p &lt; 0.01) in all tests, with no significant differences between UP and C. Jumps heights increased similarly in both LP and UP relative to C (p &lt; 0.05), with no significance between LP and UP. LP and UP also enhanced repeated change of direction scores relative to C (p &lt; 0.01) with greater changes in LP than in UP (p &lt; 0.01). Finally, LP enhanced some balance scores relative to UP (p &lt; 0.05) and C (p &lt; 0.05). We conclude that the introduction of 10 weeks of in-season loaded plyometrics into the regimen of U17 male soccer players yields gains in several physical performance scores relative to either unloaded plyometrics or the control training regimen. © 2020 by the authors. Licensee MDPI, Basel, Switzerland.","archive":"Scopus","container-title":"International Journal of Environmental Research and Public Health","DOI":"10.3390/ijerph17217877","issue":"21","note":"titleTranslation: 空载与踝关节负载增强式训练对U-17男足球运动员身体素质的影响\nabstractTranslation:  本研究的目的是比较两种不同的增强式训练计划（负载增强式训练（将体重的 2.5% 置于踝关节上方）与空载增强式训练）对精英运动员身体健康的影响，每两周进行一次，持续 10 周少年男子足球运动员。年龄为 16.0 ± 0.5 岁的参与者被随机分配到无负荷增强式训练组 (UP; n = 12)、负荷增强式训练组 (LP; n = 14) 和对照组 (C; n = 12)。通过 40 米冲刺时间评估表现的双向分析（组 x 时间）； 9–3–6–3–9 m 冲刺，180° 转弯 (S180°)； 9–3–6–3–9 m 冲刺，前后跑 (SBF)；和 4 × 5 m 短跑（S4 × 5 m）；四次跳跃测试；静态和动态平衡措施；反复改变方向测试和溜溜球间歇恢复测试。相对于 C（p &lt; 0.05），LP 和 UP 均提高了短跑成绩，但在除 40 m 之外的所有冲刺中，LP 相对于 UP（p &lt; 0.05）的成绩提高更多。在所有测试中，LP 相对于 UP (p &lt; 0.05) 和 C (p &lt; 0.01) 也显着缩短了改变方向的时间，UP 和 C 之间没有显着差异。相对于 C，LP 和 UP 的跳跃高度增加相似(p &lt; 0.05)，LP 和 UP 之间没有显着性。 LP 和 UP 还增强了相对于 C 的方向分数的重复变化（p &lt; 0.01），其中 LP 的变化比 UP 的变化更大（p &lt; 0.01）。最后，LP 相对于 UP (p &lt; 0.05) 和 C (p &lt; 0.05) 提高了一些平衡分数。我们得出的结论是，在 U17 男子足球运动员的训练方案中引入 10 周的赛季内负荷增强式训练，相对于空载增强式训练或对照训练方案，可以在多项身体表现得分上有所提高。 © 2020 作者版权所有。被许可方 MDPI，瑞士巴塞尔。","page":"1-18","title":"Effects of unloaded vs. Ankle-loaded plyometric training on the physical fitness of U-17 male soccer players","volume":"17","author":[{"family":"Hammami","given":"M."},{"family":"Gaamouri","given":"N."},{"family":"Suzuki","given":"K."},{"family":"Aouadi","given":"R."},{"family":"Shephard","given":"R.J."},{"family":"Chelly","given":"M.S."}],"issued":{"date-parts":[["2020"]]}}}],"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43</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429B33A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7F468B9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499AE2D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05CC63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26CF3B4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C339D5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F1D472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29427FA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0B23AD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6D6B1CC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09DDC06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46A6DB99">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20195E04">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2033139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0DBB4CDE">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Hammami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{"citationID":"ikRzEN8j","properties":{"formattedCitation":"\\super 44\\nosupersub{}","plainCitation":"44","noteIndex":0},"citationItems":[{"id":21099,"uris":["http://zotero.org/groups/5375891/items/MHYRUQ74"],"itemData":{"id":21099,"type":"article-journal","abstract":"Background The effects of 7 weeks plyometric training on a stable surface and on sand were compared in junior male handball players. Methods A team of experienced players was divided randomly between three groups, undertaking a standard in-season regimen (C, n = 10), or supplementing this regimen by plyometric training on sand (PS, n = 11) or a stable surface (P, n = 10) for 7 weeks. Assessments included 20 m sprint times, change of direction tests (Modified change-of-direction T-test and Modified Illinois test), a repeated sprint T-test, jumping ability (squat, countermovement and five jump tests), and static and dynamic balance. Results After the intervention, PS showed significant increases of sprint speed relative to P and C. Change of direction scores were also improved for PS relative to P and C. Both PS and P increased vertical jump performance (squat jump, p = 0.005; ES = 0.170; counter-movement jump p &lt; 0.001; ES = 0.247). Repeated sprint T-test scores improved in PS and P relative to C, with best times of PS &gt; P (p &lt; 0.05). Both plyometric groups improved their dynamic balance (p &lt; 0.05), with three parameters of PS and only one of P being significantly greater than C. Static balance was also enhanced in both experimental groups (PS &gt; P). Conclusions We conclude that for reasons that remain to be clarified, several performance measures in adolescent male handball players were increased more by 7 weeks of PS than by P.","archive_location":"WOS:000530348000001","container-title":"BMC SPORTS SCIENCE MEDICINE AND REHABILITATION","DOI":"10.1186/s13102-020-00176-x","ISSN":"2052-1847","issue":"1","language":"en","note":"titleTranslation: 沙面对青少年男子手球运动员增强式训练身体表现反应的影响\nabstractTranslation:  背景 对初级男子手球运动员在稳定地面和沙地上进行 7 周增强式训练的效果进行了比较。方法 将一支由经验丰富的运动员组成的团队随机分为三组，进行标准的赛季训练方案（C，n = 10），或通过在沙子上进行增强式训练（PS，n = 11）或稳定的表面（P）来补充该方案。 ，n = 10) 7 周。评估包括 20 m 冲刺时间、变向测试（改进的变向 T 测试和改进的伊利诺伊测试）、重复冲刺 T 测试、跳跃能力（深蹲、反向运动和五次跳跃测试）以及静态和动态平衡。结果 干预后，PS 相对于 P 和 C 而言，冲刺速度显着增加。相对于 P 和 C，PS 的方向变化得分也有所改善。PS 和 P 均提高了垂直跳跃性能（深蹲跳，p = 0.005；ES = 0.170；反向运动跳跃 p &lt; 0.001；ES = 0.247）。相对于 C，重复冲刺 T 测试分数在 PS 和 P 方面有所提高，最佳时间为 PS &gt; P (p &lt; 0.05)。两个增强式训练组的动态平衡能力均得到改善（p &lt; 0.05），PS 的三个参数中只有一个 P 显着大于 C。两个实验组的静态平衡能力也得到增强（PS &gt; P）。结论 我们得出的结论是，由于仍有待澄清的原因，青少年男子手球运动员的一些表现指标在 7 周的 PS 训练中比在 P 训练中得到了更多的提高。","title":"The effect of a sand surface on physical performance responses of junior male handball players to plyometric training","volume":"12","author":[{"family":"Hammami","given":"M"},{"family":"Bragazzi","given":"NL"},{"family":"Hermassi","given":"S"},{"family":"Gaamouri","given":"N"},{"family":"Aouadi","given":"R"},{"family":"Shephard","given":"RJ"},{"family":"Chelly","given":"MS"}],"issued":{"date-parts":[["2020",4,25]]}}}],"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44</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561AE9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304911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62ECA83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0C5C4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51EA68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5DEC9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FA60A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25DC71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461663F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1E5CA0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03FDFE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6C4E5EBA">
            <w:pPr>
              <w:jc w:val="left"/>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7ADE2396">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1041D69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15E9D250">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Hernandez-Martinez et al.(2023)</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{"citationID":"Gbw8BWFN","properties":{"formattedCitation":"\\super 45\\nosupersub{}","plainCitation":"45","noteIndex":0},"citationItems":[{"id":21500,"uris":["http://zotero.org/groups/5375891/items/7I77IKGR"],"itemData":{"id":21500,"type":"article-journal","abstract":"This study aimed to analyze the effect of plyometric training (PT) at different frequencies on jump performance, running sprint speed, and service speed in youth male volleyball players. The participants were randomly assigned to one PT session per week (Experimental Group 1, EG1, n = 15), two PT sessions per week (Experimental Group 2, EG2, n = 14), and a control group (CG, n = 13). The total weekly jumping ranged between 98 and 196 jumps (equalized between, EG1 and, EG2). The assessments performed were squat jump (SJ), countermovement jump (CMJ), CMJ-arms, drop jump (DJ), 5-m sprint, 10-m sprint, and service speed. The intragroup comparisons showed that, EG1 significantly (p &lt; 0.001) improved SJ (Delta = 12.74%; d = 1.30), CMJ (Delta = 11.94%; d = 1.71), CMJ-arms (Delta = 12.02%; d = 1.47), DJ (Delta = 10.93%; d = 1.30), 5-m sprint (Delta = -4.61%; d = 0.29), 10-m sprint (Delta = -3.95%; d = 0.40) and service speed (Delta = 8.17%; d = 1.53). Similarly, EG2 significantly (p(&lt;) 0.001) improved SJ (Delta = 11.52%; d = 1.25), CMJ (. = 11.29%; d = 1.38), CMJ-arms (Delta = 11.42%; d = 1.26), DJ (Delta = 13.90%; d = 2.17), 5-m sprint (Delta = -3.85%; d = 0.25), 10-m sprint (Delta = -2.73%; d = 0.25) and service speed (Delta = 6.77%; d = 1.44). The CG significantly (p &lt; 0.05) improved SJ (Delta = 2.68; d = 0.28), CMJ-arms (Delta = 2.30; d = 0.35), 5-m sprint (Delta = -1.27; d = 0.10) and service speed (Delta = 1.42; d = 0.30). Intergroup comparisons revealed significantly greater improvements in all variables (p &lt; 0.001) in, EG1 and, EG2 concerning to CG. However, no significant differences were found between, EG1 and, EG2. A moderate weekly PT volume, distributed in one or two sessions per week, seems equally effective.","archive_location":"WOS:001118943200001","container-title":"FRONTIERS IN PHYSIOLOGY","DOI":"10.3389/fphys.2023.1270512","ISSN":"1664-042X","language":"en","note":"titleTranslation: 不同增强式训练频率对青年男排运动员身体表现的影响：一项随机试验\nabstractTranslation:  本研究旨在分析不同频率的增强式训练（PT）对青少年男排运动员跳跃表现、跑步冲刺速度和发球速度的影响。参与者被随机分配到每周一次 PT 课程（实验组 1，EG1，n = 15）、每周两次 PT 课程（实验组 2，EG2，n = 14）和对照组（CG，n = 13） ）。每周总跳跃次数在 98 至 196 次之间（EG1 和 EG2 之间相等）。进行的评估包括深蹲跳 (SJ)、反向运动跳 (CMJ)、CMJ 臂、跳远 (DJ)、5 米冲刺、10 米冲刺和发球速度。组内比较表明，EG1 显着（p &lt; 0.001）改善了 SJ（Delta = 12.74%；d = 1.30）、CMJ（Delta = 11.94%；d = 1.71）、CMJ-arms（Delta = 12.02%；d = 1.47） ）、DJ（Delta = 10.93%；d = 1.30）、5 米冲刺（Delta = -4.61%；d = 0.29）、10 米冲刺（Delta = -3.95%；d = 0.40）和服务速度（Delta = 8.17%；d = 1.53）。同样，EG2 显着 (p(&lt;) 0.001) 改善了 SJ (Delta = 11.52%；d = 1.25)、CMJ (. = 11.29%；d = 1.38)、CMJ-arms (Delta = 11.42%；d = 1.26)、 DJ（Delta = 13.90%；d = 2.17）、5 米冲刺（Delta = -3.85%；d = 0.25）、10 米冲刺（Delta = -2.73%；d = 0.25）和服务速度（Delta = 6.77） %；d = 1.44)。 CG 显着 (p &lt; 0.05) 改善了 SJ（Delta = 2.68；d = 0.28）、CMJ 臂（Delta = 2.30；d = 0.35）、5 米冲刺（Delta = -1.27；d = 0.10）和服务速度（德尔塔 = 1.42；d = 0.30）。组间比较显示，EG1 和 EG2 中与 CG 相关的所有变量 (p &lt; 0.001) 都有显着更大的改善。然而，EG1和EG2之间没有发现显着差异。每周适度的 PT 训练量，每周进行一到两次训练，似乎同样有效。","title":"Effects of different plyometric training frequencies on physical performance in youth male volleyball players: a randomized trial","volume":"14","author":[{"family":"Hernandez-Martinez","given":"J"},{"family":"Guzman-Muñoz","given":"E"},{"family":"Ramirez-Campillo","given":"R"},{"family":"Herrera-Valenzuela","given":"T"},{"family":"Branco","given":"BHM"},{"family":"Avila-Valencia","given":"S"},{"family":"Carter-Beltran","given":"JL"},{"family":"Aravena-Sagardia","given":"P"},{"family":"Méndez-Cornejo","given":"J"},{"family":"Valdés-Badilla","given":"P"}],"issued":{"date-parts":[["2023",11,23]]}}}],"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45</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847DD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52FA370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64922D40">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00" w:type="dxa"/>
            <w:tcBorders>
              <w:tl2br w:val="nil"/>
              <w:tr2bl w:val="nil"/>
            </w:tcBorders>
            <w:shd w:val="clear" w:color="auto" w:fill="auto"/>
            <w:noWrap/>
            <w:vAlign w:val="center"/>
          </w:tcPr>
          <w:p w14:paraId="2F3C46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A2CD6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202FF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527484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11" w:type="dxa"/>
            <w:tcBorders>
              <w:tl2br w:val="nil"/>
              <w:tr2bl w:val="nil"/>
            </w:tcBorders>
            <w:shd w:val="clear" w:color="auto" w:fill="auto"/>
            <w:noWrap/>
            <w:vAlign w:val="center"/>
          </w:tcPr>
          <w:p w14:paraId="02C1B4E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7F6685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417646B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0C5AF85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78CCA137">
            <w:pPr>
              <w:jc w:val="left"/>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w:t>
            </w:r>
          </w:p>
        </w:tc>
        <w:tc>
          <w:tcPr>
            <w:tcW w:w="1368" w:type="dxa"/>
            <w:tcBorders>
              <w:tl2br w:val="nil"/>
              <w:tr2bl w:val="nil"/>
            </w:tcBorders>
            <w:shd w:val="clear" w:color="auto" w:fill="auto"/>
            <w:noWrap/>
            <w:vAlign w:val="center"/>
          </w:tcPr>
          <w:p w14:paraId="70917971">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74B050A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41866DDB">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Jlid et al.(2019)</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{"citationID":"Krhn5q15","properties":{"formattedCitation":"\\super 46\\nosupersub{}","plainCitation":"46","noteIndex":0},"citationItems":[{"id":26566,"uris":["http://zotero.org/groups/5375891/items/RBL8VNW5"],"itemData":{"id":26566,"type":"article-journal","abstract":"The aim of the study was to assess the effects of multidirectional plyometric training (MPT) on vertical jump height, change of direction performance (CODP),  and dynamic postural control (DPC) in young soccer players. Twenty-eight young  male soccer players were randomly assigned to an experimental group (EG, n = 14;  age: 11.8 ± 0.4 years) and a control group (CG, n = 14; age: 11.6 ± 0.5 years).  The EG introduced 8-week MPT, two days per week into their in-season training,  while CG continued training without change. Measurements of vertical jump height,  CODP, and DPC were completed at the beginning and end of the 8-week MPT. A  significant group × time interaction was observed for Squat-Jump (p &lt; 0.05), for  Counter-Movement Jump (p &lt; 0.05), and for CODP test (p &lt; 0.05). In addition, a  significant group × time interaction was observed for DPC in seven axes for the  dominant- (anterior, lateral, postero-lateral, posterior, postero-medial, medial,  and antero-medial; p &lt; 0.05 for all) and in seven axes for the non-dominant-  (anterior, antero-lateral, lateral, posterior, postero-medial, medial and  antero-medial; p &lt; 0.05 for all) legs. The rest of the axes of both legs did not  show any significant group × time interaction (p &gt; 0.05). In conclusion,  incorporating MPT into the in-season regimen of young male soccer players  improved performance of various indices related to soccer activity (i.e.,  vertical jump height, CODP, and DPC). MPT has the potential to be appealing to  coaches, as it requires little time while yielding valuable results in the  physical preparation of young soccer players.","container-title":"Frontiers in physiology","DOI":"10.3389/fphys.2019.01462","ISSN":"1664-042X","journalAbbreviation":"Front Physiol","language":"en","license":"Copyright © 2019 Jlid, Racil, Coquart, Paillard, Bisciotti and Chamari.","note":"publisher-place: Switzerland\nPMID: 31920686 \nPMCID: PMC6913538\ntitleTranslation: 多向增强式训练：提高年轻足球运动员垂直跳跃表现、变向表现和动态姿势控制的非常有效的方法。\nabstractTranslation:  该研究的目的是评估多向增强式训练（MPT）对年轻足球运动员垂直跳跃高度、变向表现（CODP）和动态姿势控制（DPC）的影响。 28 名年轻男子足球运动员被随机分配到实验组（EG，n = 14；年龄：11.8 ± 0.4 岁）和对照组（CG，n = 14；年龄：11.6 ± 0.5 岁）。 EG在季内训练中引入了为期8周的MPT，每周两天，而CG则继续训练，没有任何变化。在 8 周 MPT 开始和结束时完成垂直弹跳高度、CODP 和 DPC 的测量。在深蹲跳跃 (p &lt; 0.05)、反向运动跳跃 (p &lt; 0.05) 和 CODP 测试 (p &lt; 0.05) 中观察到显着的组 × 时间交互作用。此外，在 DPC 的七个主导轴（前、外侧、后外侧、后、后内侧、内侧和前内侧；全部 p &lt; 0.05）和中观察到显着的组 × 时间交互作用。非优势腿（前、前外侧、外侧、后、后内侧、内侧和前内侧；所有）腿的七个轴。双腿的其余轴没有显示任何显着的组×时间交互作用（p &gt; 0.05）。总之，将 MPT 纳入年轻男子足球运动员的赛季养生方案中，可以改善与足球活动相关的各种指标（即垂直弹跳高度、CODP 和 DPC）的表现。 MPT 有潜力吸引教练，因为它只需要很少的时间，就能在年轻足球运动员的身体准备方面产生有价值的结果。","page":"1462","title":"Multidirectional Plyometric Training: Very Efficient Way to Improve Vertical Jump Performance, Change of Direction Performance and Dynamic Postural Control in  Young Soccer Players.","volume":"10","author":[{"family":"Jlid","given":"Mohamed C."},{"family":"Racil","given":"Ghazi"},{"family":"Coquart","given":"Jeremy"},{"family":"Paillard","given":"Thierry"},{"family":"Bisciotti","given":"Gian Nicola"},{"family":"Chamari","given":"Karim"}],"issued":{"date-parts":[["2019"]]}}}],"schema":"https://github.com/citation-style-language/schema/raw/master/csl-citation.json"}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46</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0A220B5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2518779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A75E9C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1E0849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59BEBA0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8DFC47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4EAAAE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6C51BFF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12B85E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73A7AA3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4F26416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2990BAE7">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704883E5">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AA295B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2FBF12B">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Kurt et al.(2023)</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{"citationID":"tT73KcgQ","properties":{"formattedCitation":"\\super 47\\nosupersub{}","plainCitation":"47","noteIndex":0},"citationItems":[{"id":21002,"uris":["http://zotero.org/groups/5375891/items/HEK6A3CS"],"itemData":{"id":21002,"type":"article-journal","abstract":"Plyometric exercise is a major tool for improving explosive actions. This study aimed to compare the efficacy of a vertical and horizontal plyometric training program on stretch-shortening performance variables in adolescent soccer players. Thirty-two male soccer players (aged 12.09 +/- 0.89 years, with soccer experience 5.37 +/- 1.58 years) were divided into horizontal plyometric, vertical plyometric, or control groups. The horizontal and vertical plyometric groups participated in a 6-week training program that was performed twice per week, with a 48-h interval, in conjunction with regular soccer training. The control group participated only in regular soccer training. Vertical jump height, reactive strength index, leg stiffness, ground contact time, standing long jump distance, agility, and 10 and 20 m sprint performances were tested as stretch-shortening performance variables of the participants. Stretch-shortening performance variables were assessed before and after completion of the training program. The results showed that either horizontal or vertical plyometric training had no effect on VJH, RSI, GCT, or Kleg performance (F = 2.14, 1.32, 0.66, 1.03; p &gt; 0.05). Furthermore, there was no effect on SLJ, 10 m sprint, 20 m sprint, or agility performance (F = 2.06, 0.14, 0.06, 0.27; p &gt; 0.05). A 6-week horizontal or vertical plyometric intervention was found to be insufficient to elicit stretchshortening performance enhancement in adolescent male soccer players. Although there was no performance change in any group, it was observed that the players enjoyed plyometric training. Therefore, coaches could safely use plyometric exercises to design enjoyable training programs.","archive_location":"WOS:001005495300001","container-title":"HEALTHCARE","DOI":"10.3390/healthcare11111615","ISSN":"2227-9032","issue":"11","language":"en","note":"titleTranslation: 垂直与水平增强式训练对青少年足球运动员拉伸-缩短周期表现增强的有效性\nabstractTranslation:  增强式训练是提高爆发力的主要工具。本研究旨在比较垂直和水平增强式训练计划对青少年足球运动员拉伸-缩短表现变量的效果。 32 名男性足球运动员（年龄 12.09 +/- 0.89 岁，足球经验 5.37 +/- 1.58 年）被分为水平增强式、垂直增强式或对照组。水平和垂直增强式训练组参加了为期 6 周的训练计划，每周进行两次，间隔 48 小时，并与常规足球训练相结合。对照组仅参加常规足球训练。垂直跳跃高度、反应强度指数、腿部刚度、触地时间、立定跳远距离、敏捷性以及10和20 m冲刺表现作为参与者的拉伸-缩短表现变量进行测试。在训练计划完成之前和之后评估拉伸-缩短性能变量。结果表明，水平或垂直增强式训练对 VJH、RSI、GCT 或 Kleg 表现没有影响（F = 2.14、1.32、0.66、1.03；p &gt; 0.05）。此外，对 SLJ、10 m 冲刺、20 m 冲刺或敏捷性表现没有影响（F = 2.06、0.14、0.06、0.27；p &gt; 0.05）。研究发现，为期 6 周的水平或垂直增强式干预不足以提高青少年男子足球运动员的拉伸缩短表现。尽管任何一组的表现都没有变化，但观察到球员们都享受增强式训练。因此，教练可以安全地使用增强式训练来设计令人愉快的训练计划。","title":"Effectiveness of Vertical versus Horizontal Plyometric Training on Stretch-Shortening Cycle Performance Enhancement in Adolescent Soccer Players","volume":"11","author":[{"family":"Kurt","given":"C"},{"family":"Canli","given":"U"},{"family":"Erdas","given":"SE"},{"family":"Poli","given":"L"},{"family":"Carvutto","given":"R"},{"family":"Cataldi","given":"S"},{"family":"Fischetti","given":"F"},{"family":"Greco","given":"G"}],"issued":{"date-parts":[["2023",6,1]]}}}],"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47</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4B3DAD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24AB511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0CB1C9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71289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31624E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0425DF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961E0B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7801D9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47AE92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2A3129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1FE5AE2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182F9BBD">
            <w:pPr>
              <w:jc w:val="left"/>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20ED43F2">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8936E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468D4D69">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McKinlay et al.(2018)</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{"citationID":"aHV5Tkxc","properties":{"formattedCitation":"\\super 48\\nosupersub{}","plainCitation":"48","noteIndex":0},"citationItems":[{"id":34456,"uris":["http://zotero.org/groups/5375891/items/SVUZS5BU"],"itemData":{"id":34456,"type":"article-journal","abstract":"McKinlay, BJ, Wallace, P, Dotan, R, Long, D, Tokuno, C, Gabriel, D, and Falk, B. Effects of plyometric and resistance training on muscle strength, explosiveness, and neuromuscular function in young adolescent soccer players. J Strength Cond Res 32(11): 30393050, 2018-This study examined the effect of 8 weeks of free-weight resistance training (RT) and plyometric (PLYO) training on maximal strength, explosiveness, and jump performance compared with no added training (CON), in young male soccer players. Forty-one 11-to 13-year-old soccer players were divided into 3 groups (RT, PLYO, and CON). All participants completed isometric and dynamic (2408s21) knee extensions before and after training. Peak torque (pT), peak rate of torque development (pRTD), electromechanical delay (EMD), rate of muscle activation (Q50), m. vastus lateralis thickness (VLT), and jump performance were examined. Peak torque, pRTD, and jump performance significantly improved in both training groups. Training resulted in significant (p # 0.05) increases in isometric pT (23.4 vs. 15.8%) and pRTD (15.0 vs. 17.6%), in RT and PLYO, respectively. During dynamic contractions, training resulted in significant increases in pT (12.4 and 10.8% in RT and PLYO, respectively), but not in pRTD. Jump performance increased in both training groups (RT = 10.0% and PLYO = 16.2%), with only PLYO significantly different from CON. Training resulted in significant increases in VLT (RT = 6.7% and PLYO = 8.1%). There were no significant EMD changes. In conclusion, 8-week free-weight resistance and plyometric training resulted in significant improvements in muscle strength and jump performance. Training resulted in similar muscle hypertrophy in the 2 training modes, with no clear differences in muscle performance. Plyometric training was more effective in improving jump performance, whereas free-weight RT was more advantageous in improving peak torque, where the stretch reflex was not involved. © 2018 National Strength and Conditioning Association.","archive":"Scopus","container-title":"Journal of Strength and Conditioning Research","DOI":"10.1519/JSC.0000000000002428","issue":"11","note":"titleTranslation: 增强式和阻力训练对青少年足球运动员肌肉力量、爆发力和神经肌肉功能的影响\nabstractTranslation:  McKinlay，BJ，华莱士，P，Dotan，R，Long，D，Tokuno，C，Gabriel，D，和 Falk，B。增强式和阻力训练对青少年足球运动员肌肉力量、爆发力和神经肌肉功能的影响。 J Strength Cond Res 32(11): 30393050, 2018 - 这项研究检验了与不进行额外训练相比，8 周的自由重量阻力训练 (RT) 和增强式 (PLYO) 训练对最大力量、爆发力和跳跃表现的影响（CON），在年轻男子足球运动员中。 41 名 11 至 13 岁的足球运动员被分为 3 组（RT、PLYO 和 CON）。所有参与者在训练前后都完成了等距和动态（2408s21）膝关节伸展。峰值扭矩 (pT)、峰值扭矩发展速率 (pRTD)、机电延迟 (EMD)、肌肉激活速率 (Q50)，m。检查股外侧肌厚度（VLT）和跳跃性能。两个训练组的峰值扭矩、pRTD 和跳跃表现均显着提高。训练导致 RT 和 PLYO 中的等长 pT（23.4 vs. 15.8%）和 pRTD（15.0 vs. 17.6%）显着增加（p # 0.05）。在动态收缩期间，训练导致 pT 显着增加（RT 和 PLYO 分别为 12.4% 和 10.8%），但 pRTD 没有显着增加。两个训练组的跳跃表现均有所提高（RT = 10.0%，PLYO = 16.2%），只有 PLYO 与 CON 显着不同。训练导致 VLT 显着增加（RT = 6.7%，PLYO = 8.1%）。 EMD 没有显着变化。总之，8 周的自由重量阻力和增强式训练显着改善了肌肉力量和跳跃表现。两种训练模式的训练结果相似，肌肉肥大程度相似，肌肉表现没有明显差异。增强式训练在提高跳跃表现方面更有效，而自由重量 RT 在提高峰值扭矩方面更有优势，而牵张反射不参与其中。 © 2018 美国体能协会。","page":"3039-3050","title":"Effects of plyometric and resistance training on muscle strength, explosiveness, and neuromuscular function in young adolescent soccer players","volume":"32","author":[{"family":"McKinlay","given":"B.J."},{"family":"Wallace","given":"P."},{"family":"Dotan","given":"R."},{"family":"Long","given":"D."},{"family":"Tokuno","given":"C."},{"family":"Gabriel","given":"D.A."},{"family":"Falk","given":"B."}],"issued":{"date-parts":[["2018"]]}}}],"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48</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6F12F5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7044DD1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582851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5E4E61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53A39BA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E325C2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5C8B15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3933F89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465EA7F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40E1B9B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34BF289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27D443E7">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1368" w:type="dxa"/>
            <w:tcBorders>
              <w:tl2br w:val="nil"/>
              <w:tr2bl w:val="nil"/>
            </w:tcBorders>
            <w:shd w:val="clear" w:color="auto" w:fill="auto"/>
            <w:noWrap/>
            <w:vAlign w:val="center"/>
          </w:tcPr>
          <w:p w14:paraId="20282699">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sz w:val="18"/>
                <w:szCs w:val="18"/>
                <w:u w:val="none"/>
                <w:lang w:val="en-US" w:eastAsia="zh-CN"/>
              </w:rPr>
              <w:t>Moderate</w:t>
            </w:r>
          </w:p>
        </w:tc>
      </w:tr>
      <w:tr w14:paraId="5FBEE41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519D0E1B">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Meylan et al.(2009)</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{"citationID":"W3CKE8pM","properties":{"formattedCitation":"\\super 12\\nosupersub{}","plainCitation":"12","noteIndex":0},"citationItems":[{"id":21036,"uris":["http://zotero.org/groups/5375891/items/X45UQUNL"],"itemData":{"id":21036,"type":"article-journal","abstract":"Meylan, C and Malatesta D. Effects of in-season plyometric training within soccer practice on explosive actions of young players. J Strength Cond Res 23(9): 2605-2613, 2009-In soccer, explosive actions such as jumping, sprinting, and changes of direction are essential to optimal performance not only in adults, but also in children's games. The purpose of the present investigation was to determine the influence of a short-term plyometric training within regular soccer practice on explosive actions of early pubertal soccer players during the in-season. Fourteen children (13.3 +/- 0.6 years) were selected as the training group (TG) and 11 children (13.1 +/- 0.6 years) were defined as the control group (CG). All children were playing in the same league and trained twice per week for 90 minutes with the same soccer drills. The TG followed an 8-week plyometric program (i.e., jumping, hurdling, bouncing, skipping, and footwork) implemented as a substitute for some soccer drills to obtain the same session duration as CG. At baseline and after training, explosive actions were assessed with the following 6 tests: 10-meter sprint, agility test, 3 vertical jump tests (squat jump [SJ], countermovement jump [CMJ], contact test [CT] and multiple 5 bounds test [MB5]). Plyometric training was associated with significant decreases in 10-m sprint time (-2.1%) and agility test time (-9.6%) and significant increases in jump height for the CMJ (+7.9%) and CT (+10.9%). No significant changes in explosive actions after the 8-week period were recorded for the CG. The current study demonstrated that a plyometric program within regular soccer practice improved explosive actions of young players compared to conventional soccer training only. Therefore, the short-term plyometric program had a beneficial impact on explosive actions, such as sprinting, change of direction, and jumping, which are important determinants of match-winning actions in soccer performance.","archive_location":"WOS:000272685600026","container-title":"JOURNAL OF STRENGTH AND CONDITIONING RESEARCH","DOI":"10.1519/JSC.0b013e3181b1f330","ISSN":"1064-8011","issue":"9","language":"en","note":"titleTranslation: 足球训练中的赛季增强训练对年轻球员爆发力的影响\nabstractTranslation:  Meylan, C 和 Malatesta D。足球训练中赛季中增强式训练对年轻球员爆发力动作的影响。 J Strength Cond Res 23(9): 2605-2613, 2009 - 在足球比赛中，跳跃、冲刺和改变方向等爆炸性动作对于成人和儿童比赛中的最佳表现至关重要。本调查的目的是确定常规足球训练中的短期增强式训练对青春期早期足球运动员在赛季中爆发力动作的影响。选择 14 名儿童（13.3 +/- 0.6 岁）作为训练组（TG），11 名儿童（13.1 +/- 0.6 岁）定义为对照组（CG）。所有孩子都参加同一联赛，每周训练两次，每次 90 分钟，进行相同的足球训练。 TG 遵循为期 8 周的增强式训练计划（即跳跃、跨栏、弹跳、跳绳和步法），作为某些足球训练的替代品，以获得与 CG 相同的训练持续时间。在基线和训练后，通过以下 6 项测试来评估爆发力：10 米冲刺、敏捷性测试、3​​ 项垂直跳跃测试（深蹲跳 [SJ]、反向运动跳 [CMJ]、接触测试 [CT] 和多次 5 跳）测试[MB5]）。增强式训练与 10 米冲刺时间 (-2.1%) 和敏捷性测试时间 (-9.6%) 显着减少以及 CMJ (+7.9%) 和 CT (+10.9%) 跳跃高度显着增加相关。 8 周后，CG 的爆炸行为没有记录到显着变化。目前的研究表明，与仅进行传统足球训练相比，常规足球训练中的增强式训练计划可以改善年轻球员的爆发力动作。因此，短期增强式训练计划对冲刺、变向和跳跃等爆发力动作产生了有益的影响，这些动作是足球比赛中获胜动作的重要决定因素。","page":"2605-2613","title":"EFFECTS OF IN-SEASON PLYOMETRIC TRAINING WITHIN SOCCER PRACTICE ON EXPLOSIVE ACTIONS OF YOUNG PLAYERS","volume":"23","author":[{"family":"Meylan","given":"C"},{"family":"Malatesta","given":"D"}],"issued":{"date-parts":[["2009",12]]}}}],"schema":"https://github.com/citation-style-language/schema/raw/master/csl-citation.json"}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12</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75C6682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18DBD13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400AD01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74E597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7360E4C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22EC15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AC3550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36E637D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267C7B0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6FE8879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101F069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69B8F4B2">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61C3F6A0">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681B212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380E5702">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Michailidis et al.(2013)</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{"citationID":"cH85dtxe","properties":{"formattedCitation":"\\super 49\\nosupersub{}","plainCitation":"49","noteIndex":0},"citationItems":[{"id":37352,"uris":["http://zotero.org/groups/5375891/items/XFWLQMHK"],"itemData":{"id":37352,"type":"article-journal","abstract":"Michailidis, Y, Fatouros, IG, Primpa, E, Michailidis, C, Avloniti, A, Chatzinikolaou, A, Barbero-Alvarez, JC, Tsoukas, D, Douroudos, II, Draganidis, D, Leontsini, D, Margonis, K, Berberidou, F, and Kambas, A. Plyometrics' trainability in preadolescent soccer athletes. J Strength Cond Res 27(1): 38-49, 2013-Plyometric training (PT) is a widely used method to improve muscle ability to generate explosive power. This study aimed to determine whether preadolescent boys exhibit plyometric trainability or not. Forty-five children were randomly assigned to either a control (CG, N = 21, 10.6 6 0.5 years; participated only in regular soccer practice) or a plyometric training group (PTG, N = 24, 10.6 6 0.6 years; participated in regular soccer practice plus a plyometric exercise protocol). Both groups trained for 12 weeks during the in-season period. The PT exercises (forward hopping, lateral hopping, shuffles, skipping, ladder drills, skipping, box jumps, low-intensity depth jumps) were performed twice a week. Preadolescence was verified by measuring Tanner stages, bone age, and serum testosterone. Speed (0-10, 10- 20, 20-30 m), leg muscle power (static jumping, countermovement jumping, depth jumping [DJ], standing long jump [SLJ], multiple 5-bound hopping [MB5]), leg strength (10 repetition maximum), anaerobic power (Wingate testing), and soccerspecific performance (agility, kicking distance) were measured at baseline, midtraining, and posttraining. The CG caused only a modest (1.2-1.8%) increase in speed posttraining. The PTG induced a marked (p , 0.05) improvement in all speed tests (1.9-3.1% at midtraining and 3-5% at posttraining) and vertical jump tests (10-18.5% at midtraining and 16-23% at posttraining),SLJ (2.6% at midtraining and 4.2% at posttraining), MB5 (14.6% at midtraining and 23% at posttraining), leg strength (15% at midtraining and 28% at posttraining), agility (5% at midtraining and 23% at posttraining), and kicking distance (13.6% at midtraining and 22.5% at posttraining). Anaerobic power remained unaffected in both groups. These data indicate that (a) prepubertal boys exhibit considerable plyometric trainability, and (b) when soccer practice is supplemented with a PT protocol, it leads to greater performance gains. © 2013 National Strength and Conditioning Association.","archive":"Scopus","container-title":"Journal of Strength and Conditioning Research","DOI":"10.1519/JSC.0b013e3182541ec6","issue":"1","note":"titleTranslation: 青春期前足球运动员的增强式训练可训练性\nabstractTranslation:  Michailidis, Y, Fatouros, IG, Primpa, E, Michailidis, C, Avloniti, A, Chatzinikolaou, A, Barbero-Alvarez, JC, Tsoukas, D, Douroudos, II, Draganidis, D, Leontsini, D, Margonis, K, Berberidou, F 和 Kambas, A. 增强式训练在青春期前足球运动员中的可训练性。 J Strength Cond Res 27(1): 38-49, 2013 - 增强式训练 (PT) 是一种广泛使用的提高肌肉产生爆发力能力的方法。这项研究旨在确定青春期前的男孩是否表现出增强式训练能力。 45 名儿童被随机分配到对照组（CG，N = 21，10.6 6 0.5 岁；仅参加常规足球训练）或增强式训练组（PTG，N = 24，10.6 6 0.6 岁；参加常规足球训练）足球练习加上增强式训练方案）。两组在赛季期间都进行了为期12周的训练。 PT练习（向前跳跃、侧向跳跃、拖曳、跳绳、梯子练习、跳绳、跳箱、低强度深度跳跃）每周进行两次。通过测量坦纳分期、骨龄和血清睾酮来验证青春期前的情况。速度（0-10、10-20、20-30 m）、腿部肌力（静力跳、反动跳、深度跳[DJ]、立定跳远[SLJ]、多次五连跳[MB5]）、腿部在基线、训练中期和训练后测量力量（最多重复 10 次）、无氧能力（温盖特测试）和足球具体表现（敏捷性、踢球距离）。 CG 仅导致训练后的速度略有提高（1.2-1.8%）。 PTG 使所有速度测试（训练中期 1.9-3.1%，训练后 3-5%）和垂直弹跳测试（训练中期 10-18.5%，训练后 16-23%）都有显着改善（p，0.05）， SLJ（训练中期 2.6%，训练后 4.2%）、MB5（训练中期 14.6%，训练后 23%）、腿部力量（训练中期 15%，训练后 28%）、敏捷性（训练中期 5%，训练后 23%）训练后）和踢腿距离（训练中期 13.6%，训练后 22.5%）。两组的无氧能力均不受影响。这些数据表明，(a) 青春期前的男孩表现出相当大的增强式训练能力，(b) 当足球练习辅以 PT 方案时，会带来更大的表现提升。 © 2013 年国家体能协会。","page":"38-49","title":"Plyometrics trainability in preadolescent soccer athletes","volume":"27","author":[{"family":"Michailidis","given":"Y."},{"family":"Fatouros","given":"I.G."},{"family":"Primpa","given":"E."},{"family":"Michailidis","given":"C."},{"family":"Avloniti","given":"A."},{"family":"Chatzinikolaou","given":"A."},{"family":"Barbero-Alvarez","given":"J.C."},{"family":"Tsoukas","given":"D."},{"family":"Douroudos","given":"I.I."},{"family":"Draganidis","given":"D."},{"family":"Leontsini","given":"D."},{"family":"Margonis","given":"K."},{"family":"Berberidou","given":"F."},{"family":"Kambas","given":"A."}],"issued":{"date-parts":[["2013"]]}}}],"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49</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4A18643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75D0253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2FFF7AD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196491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0259B0A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651175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0687E2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5BA3E9E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4302014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1C02862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75E4AC4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5B1CB1BF">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1368" w:type="dxa"/>
            <w:tcBorders>
              <w:tl2br w:val="nil"/>
              <w:tr2bl w:val="nil"/>
            </w:tcBorders>
            <w:shd w:val="clear" w:color="auto" w:fill="auto"/>
            <w:noWrap/>
            <w:vAlign w:val="center"/>
          </w:tcPr>
          <w:p w14:paraId="7D2C4E82">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sz w:val="18"/>
                <w:szCs w:val="18"/>
                <w:u w:val="none"/>
                <w:lang w:val="en-US" w:eastAsia="zh-CN"/>
              </w:rPr>
              <w:t>Moderate</w:t>
            </w:r>
          </w:p>
        </w:tc>
      </w:tr>
      <w:tr w14:paraId="66BEC24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723F85AA">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Negra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{"citationID":"1kAxXmwf","properties":{"formattedCitation":"\\super 50\\nosupersub{}","plainCitation":"50","noteIndex":0},"citationItems":[{"id":21207,"uris":["http://zotero.org/groups/5375891/items/DIFTAD4V"],"itemData":{"id":21207,"type":"article-journal","abstract":"Purpose: This study aimed to assess the effectiveness and time course for improvements in explosive actions through resistance training (RT) vs. plyometric training (PT) in prepubertal soccer players.\nMethods: Thirty-four male subjects were assigned to: a control group (n=11); an RT group (5 regular soccer training sessions per week, n=12); a PT group (3 soccer training sessions and 2 RT sessions per week, n=11). The outcome measures included tests for the assessment of muscle strength (e.g., 1 repetition maximum half- squat test), jump ability (e.g., countermovement jump, squat jump, standing long jump, and multiple 5 bounds test), linear speed (e.g., 20m sprint test), and change of direction (e.g., Illinois change of direction test).\nResults: The RTG showed an improvement in the half-squat (Delta=13.2%; Delta=1.3, p&lt;0.001) and countermovement jump (Delta=9.4%; d=2.4, p&lt;0.001) at Week 4, whereas improvements in the 20-m sprint (Delta=4.2%; Delta=1.1, p&lt;0.01); change of direction (CoD) (Delta=3.8%; d=2.1, p&lt;0.01); multiple 5 bounds (D=5.1%; d=1.5, p&lt;0.05); standing long jump (Delta=7.2%; d=1.2, p&lt;0.01); squat jump (Delta=19.6%; d=1.5, p&lt;0.01); were evident at Week 8. The PTG showed improvements in CoD (Delta=2.1%; d=1.3, p&lt;0.05); standing long jump (Delta=9.3%; d=1.1, p&lt;0.01); countermovement jump (D=16.1%; d=1.2, p&lt;0.01); and squat jump (Delta=16.7%; d=1.4, p&lt;0.01); at Week 8 whereas improvements in the 20-m sprint (Delta=4.1%; d=1.3, p&lt;0.01); and multiple 5 bounds (Delta=7.4%; d=2.4, p&lt;0.001); were evident only after Week. The RT and PT groups showed improvements in all sprint, CoD, and jump tests (p&lt;0.05) and in half-squat performance, for which improvement was only shown within the RTG (p&lt;0.001).\nConclusion: RT and PT conducted in combination with regular soccer training are safe and feasible interventions for prepubertal soccer players. In addition, these interventions were shown to be effective training tools to improve explosive actions with different time courses of improvements, which manifested earlier in the RTG than in the PTG. These outcomes may help coaches and fitness trainers set out clear and concise goals of training according to the specific time course of improvement difference between RT and PT on proxies of athletic performance of prepubertal soccer players.","archive_location":"WOS:000598524600017","container-title":"JOURNAL OF SPORT AND HEALTH SCIENCE","DOI":"10.1016/j.jshs.2016.07.008","ISSN":"2095-2546","issue":"6","language":"en","note":"titleTranslation: 青春期前足球运动员阻力训练与增强式训练的有效性和时间进程适应性\nabstractTranslation:  目的：本研究旨在评估青春期前足球运动员通过阻力训练 (RT) 与增强式训练 (PT) 改善爆发力动作的有效性和时间进程。方法：34 名男性受试者被分配至： 对照组 (n=11)； RT 小组（每周 5 次定期足球训练，n=12）； PT 组（每周 3 次足球训练和 2 次 RT 课程，n=11）。结果测量包括评估肌肉力量的测试（例如，1次重复最大半蹲测试）、跳跃能力（例如，反动跳、深蹲跳、立定跳远和多次五跳测试）、线速度（例如， 20m 冲刺测试）和改变方向（例如，伊利诺伊州改变方向测试）。结果：第 4 周，RTG 显示半蹲（Delta=13.2%；Delta=1.3，p&lt;0.001）和反向运动跳跃（Delta=9.4%；d=2.4，p&lt;0.001）有所改善，而20 米冲刺（Delta=4.2%；Delta=1.1，p&lt;0.01）；方向改变 (CoD)（Delta=3.8%；d=2.1，p&lt;0.01）；多个 5 界限（D=5.1%；d=1.5，p&lt;0.05）；立定跳远（Delta=7.2%；d=1.2，p&lt;0.01）；深蹲跳（Delta=19.6%；d=1.5，p&lt;0.01）；在第 8 周时很明显。PTG 显示 CoD 有所改善（Delta=2.1%；d=1.3，p&lt;0.05）；立定跳远（Delta=9.3%；d=1.1，p&lt;0.01）；反向运动跳跃（D=16.1%；d=1.2，p&lt;0.01）；和深蹲跳（Delta=16.7%；d=1.4，p&lt;0.01）；第 8 周，20 米冲刺有所改善（Delta=4.1%；d=1.3，p&lt;0.01）；和多个 5 界限（Delta=7.4%；d=2.4，p&lt;0.001）；仅在一周后才明显。 RT 组和 PT 组在所有冲刺、CoD 和跳跃测试（p &lt; 0.05）以及半蹲表现方面均显示出改善，其中仅在 RTG 中显示出改善（p &lt; 0.001）。结论：RT和PT与常规足球训练相结合对青春期前足球运动员来说是安全可行的干预措施。此外，这些干预措施被证明是有效的训练工具，可以通过不同时间的改进过程来改善爆炸动作，这在 RTG 中比 PTG 中表现得更早。这些结果可以帮助教练和体能训练师根据青春期前足球运动员运动表现指标RT和PT之间改善差异的具体时间过程制定清晰简洁的训练目标。","page":"620-627","title":"Effectiveness and time-course adaptation of resistance training vs. plyometric training in prepubertal soccer players","volume":"9","author":[{"family":"Negra","given":"Y"},{"family":"Chaabene","given":"H"},{"family":"Stöggl","given":"T"},{"family":"Hammami","given":"M"},{"family":"Chelly","given":"MS"},{"family":"Hachana","given":"Y"}],"issued":{"date-parts":[["2020",12]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50</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35DAC33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1D399DB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2177C5A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C9EB34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0E16E51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668748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71B418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77EA14B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45B2627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7861E6C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283ACD5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7537F6DC">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58DEEFB6">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33060A4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069ABB31">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Negra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{"citationID":"hlCuN6Sm","properties":{"formattedCitation":"\\super 51\\nosupersub{}","plainCitation":"51","noteIndex":0},"citationItems":[{"id":21064,"uris":["http://zotero.org/groups/5375891/items/832EUL37"],"itemData":{"id":21064,"type":"article-journal","abstract":"Negra, Y, Chaabene, H, Fernandez-Fernandez, J, Sammoud, S, Bouguezzi, R, Prieske, O, and Granacher, U. Short-term plyometric jump training improves repeated-sprint ability in prepuberal male soccer players. J Strength Cond Res 34(11): 3241-3249, 2020-This study examined the effects of a short-term (i.e., 8 weeks) combined horizontal and vertical plyometric jump training (PJT) program in combination with regular soccer-specific training as compared with soccer-specific training only on jump and change of direction (CoD) performances, speed, and repeated-sprint ability (RSA) in prepuberal male soccer players. Twenty-four players were recruited and randomly assigned to either a PJT group (PJT(G); n = 13; 12.7 +/- 0.2 years) or an active control group (CONG; n = 11; 12.7 +/- 0.2 years). The outcome measures included tests for the assessment of jump performance (drop jump from 20- to 40-cm height [DJ20 and DJ40] and 3-hop test [THT]), speed (20-m sprint), CoD (T-test), and RSA (20-m repeated shuttle sprint). Data were analyzed using magnitude-based inferences. Within-group analyses revealed large performance improvements in the T-test (d = -1.2), DJ20 (d = 3.7), DJ40 (d = 3.6), THT (d = 0.6), and the RSA(total) (d = -1.6) in the PJT(G). Between-group analyses showed greater performance improvements in the T-test (d = -2.9), 20-m sprint time (d = -2.0), DJ20 (d = 2.4), DJ40 (d = 2.0), THT (d = 1.9), RSA(best) (d = -1.9), and the RSA(total) (d = -1.9) in the PJT(G) compared with CONG. Eight weeks of an in-season PJT in addition to regular soccer-specific training induced larger increases in measures of physical fitness in prepuberal male soccer players compared with regular soccer-specific training only. More specifically, PJT was effective in improving RSA performance.","archive_location":"WOS:000587812100028","container-title":"JOURNAL OF STRENGTH AND CONDITIONING RESEARCH","DOI":"10.1519/JSC.0000000000002703","ISSN":"1064-8011","issue":"11","language":"en","note":"titleTranslation: 短期增强式跳跃训练可提高青春期前男性足球运动员的重复冲刺能力\nabstractTranslation:  Negra, Y、Chaabene, H、Fernandez-Fernandez, J、Sammoud, S、Bouguezzi, R、Prieske, O 和 Granacher, U。短期增强式跳跃训练可提高青春期前男性足球运动员的重复冲刺能力。 J Strength Cond Res 34(11): 3241-3249, 2020 - 这项研究检验了短期（即 8 周）水平和垂直增强跳跃训练 (PJT) 计划与常规足球专项训练相结合的效果与仅针对青春期前男性足球运动员的跳跃和变向（CoD）表现、速度和重复冲刺能力（RSA）的足球专项训练相比。招募了 24 名玩家，并随机分配到 PJT 组（PJT(G)；n = 13；12.7 +/- 0.2 岁）或主动对照组（CONG；n = 11；12.7 +/- 0.2 岁） 。结果测量包括评估跳跃性能的测试（从 20 厘米到 40 厘米高度的跳下跳[DJ20 和 DJ40] 和 3 跳测试 [THT]）、速度（20 米冲刺）、CoD（T 测试） ）和 RSA（20 米重复穿梭冲刺）。使用基于幅度的推断来分析数据。组内分析显示，T 检验 (d = -1.2)、DJ20 (d = 3.7)、DJ40 (d = 3.6)、THT (d = 0.6) 和 RSA（总计）（d = -1.6) 在 PJT(G) 中。组间分析显示，T 检验 (d = -2.9)、20 米冲刺时间 (d = -2.0)、DJ20 (d = 2.4)、DJ40 (d = 2.0)、THT (d = 1.9)、与 CONG 相比，PJT(G) 中的 RSA(最佳) (d = -1.9) 和 RSA(总) (d = -1.9)。与仅进行常规足球专项训练相比，在常规足球专项训练之外进行八周的赛季内 PJT 可使青春期前男性足球运动员的体能指标有更大的提高。更具体地说，PJT 可有效提高 RSA 性能。","page":"3241-3249","title":"Short-Term Plyometric Jump Training Improves Repeated-Sprint Ability in Prepuberal Male Soccer Players","volume":"34","author":[{"family":"Negra","given":"Y"},{"family":"Chaabene","given":"H"},{"family":"Fernandez-Fernandez","given":"J"},{"family":"Sammoud","given":"S"},{"family":"Bouguezzi","given":"R"},{"family":"Prieske","given":"O"},{"family":"Granacher","given":"U"}],"issued":{"date-parts":[["2020",11]]}}}],"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51</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0FCCB1D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3E6A01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564BC3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099713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4DEDE9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FDF76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98378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05139F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578EBB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0350E6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57DC3C4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06CF2836">
            <w:pPr>
              <w:jc w:val="left"/>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5</w:t>
            </w:r>
          </w:p>
        </w:tc>
        <w:tc>
          <w:tcPr>
            <w:tcW w:w="1368" w:type="dxa"/>
            <w:tcBorders>
              <w:tl2br w:val="nil"/>
              <w:tr2bl w:val="nil"/>
            </w:tcBorders>
            <w:shd w:val="clear" w:color="auto" w:fill="auto"/>
            <w:noWrap/>
            <w:vAlign w:val="center"/>
          </w:tcPr>
          <w:p w14:paraId="65A0A420">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sz w:val="18"/>
                <w:szCs w:val="18"/>
                <w:u w:val="none"/>
                <w:lang w:val="en-US" w:eastAsia="zh-CN"/>
              </w:rPr>
              <w:t>Moderate</w:t>
            </w:r>
          </w:p>
        </w:tc>
      </w:tr>
      <w:tr w14:paraId="7D0B84B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01432426">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Padrón-Cabo et al.(2021)</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{"citationID":"sVdEbiKS","properties":{"formattedCitation":"\\super 52\\nosupersub{}","plainCitation":"52","noteIndex":0},"citationItems":[{"id":21079,"uris":["http://zotero.org/groups/5375891/items/5QYUYFEB"],"itemData":{"id":21079,"type":"article-journal","abstract":"The aim of this study was to assess the effects of plyometric training with an agility ladder on components of physical fitness in youth soccer players. A total of twenty male under-13 soccer players were randomly assigned to a plyometric training group with an agility ladder (n=10) or a control group (n=10). Before and after training intervention linear sprint test (5 m, 10 m, 20 m), vertical jump ability (squat jump, countermovement jump and countermovement jump with arms), agility test, and slalom dribble test were assessed. The plyometric training with agility ladder was applied two times per week over six weeks. Data were analyzed using linear mixed model. The plyometric training group showed significant improvements (p&lt;0.001) from pre-test to post-test in countermovement jump, countermovement jump with arms, and slalom dribble test. In the control group, no significant enhancements were obtained in all performance tests (p&gt;0.05). The between-group analysis showed significant differences in countermovement jump with arms (p=0.03), but no significant differences (p&gt;0.05) were found in squat jump, countermovement jump, sprint, agility test, and slalom dribble test. In conclusion, the short-term plyometric training with agility ladder seems to be ineffective and not time-efficient to improve physical fitness in youth soccer players. However, the interpretation of these results must be understood within the sample size limitations.","archive_location":"WOS:000618516400001","container-title":"INTERNATIONAL JOURNAL OF SPORTS MEDICINE","DOI":"10.1055/a-1308-3316","ISSN":"0172-4622","issue":"10","language":"en","note":"titleTranslation: 敏捷梯增强式训练对青少年足球运动员体能的影响\nabstractTranslation:  本研究的目的是评估使用敏捷梯进行增强式训练对青少年足球运动员身体素质的影响。总共 20 名 13 岁以下男性足球运动员被随机分配到使用敏捷梯的增强式训练组 (n=10) 或对照组 (n=10)。训练干预前后进行直线冲刺测试（5 m、10 m、20 m）、纵跳能力（深蹲跳、反移跳、臂反移跳）、敏捷性测试、回转运球测试。在六周内每周进行两次带有敏捷梯的增强式训练。使用线性混合模型分析数据。增强式训练组在反向运动跳跃、手臂反向运动跳跃和绕回运球测试中从测试前到测试后显示出显着改善（p&lt;0.001）。在对照组中，所有性能测试均未获得显着增强（p&gt;0.05）。组间分析显示，手臂反动跳有显着差异（p=0.03），但深蹲跳、反动跳、短跑、敏捷性测试和绕回运球测试没有显着差异（p&gt;0.05）。综上所述，短期增强式敏捷梯训练对于提高青少年足球运动员的身体素质似乎效果不佳且时间效率不高。然而，必须在样本量限制内理解这些结果的解释。","page":"896-904","title":"Effects of Plyometric Training with Agility Ladder on Physical Fitness in Youth Soccer Players","volume":"42","author":[{"family":"Padrón-Cabo","given":"A"},{"family":"Lorenzo-Martínez","given":"M"},{"family":"Pérez-Ferreirós","given":"A"},{"family":"Costa","given":"PB"},{"family":"Rey","given":"E"}],"issued":{"date-parts":[["2021",9]]}}}],"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52</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9AE4EF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42368CE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103DFD1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4C3C9B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085BF75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47A94C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73A6CD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77F6EB5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0CE145F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58CFB67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54861F6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4D62E103">
            <w:pPr>
              <w:jc w:val="left"/>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1368" w:type="dxa"/>
            <w:tcBorders>
              <w:tl2br w:val="nil"/>
              <w:tr2bl w:val="nil"/>
            </w:tcBorders>
            <w:shd w:val="clear" w:color="auto" w:fill="auto"/>
            <w:noWrap/>
            <w:vAlign w:val="center"/>
          </w:tcPr>
          <w:p w14:paraId="128711A6">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sz w:val="18"/>
                <w:szCs w:val="18"/>
                <w:u w:val="none"/>
                <w:lang w:val="en-US" w:eastAsia="zh-CN"/>
              </w:rPr>
              <w:t>Moderate</w:t>
            </w:r>
          </w:p>
        </w:tc>
      </w:tr>
      <w:tr w14:paraId="71F953D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309D2838">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Paes</w:t>
            </w:r>
            <w:r>
              <w:rPr>
                <w:rFonts w:hint="eastAsia" w:ascii="宋体" w:hAnsi="宋体" w:eastAsia="宋体" w:cs="宋体"/>
                <w:i w:val="0"/>
                <w:iCs w:val="0"/>
                <w:color w:val="000000"/>
                <w:kern w:val="0"/>
                <w:sz w:val="18"/>
                <w:szCs w:val="18"/>
                <w:u w:val="none"/>
                <w:lang w:val="en-US" w:eastAsia="zh-CN" w:bidi="ar"/>
              </w:rPr>
              <w:t xml:space="preserve"> et al.(2022)</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{"citationID":"0AqnflL5","properties":{"formattedCitation":"\\super 53\\nosupersub{}","plainCitation":"53","noteIndex":0},"citationItems":[{"id":30954,"uris":["http://zotero.org/groups/5375891/items/BXH36P49"],"itemData":{"id":30954,"type":"article-journal","abstract":"This study approached the effect of six-week plyometric training (PT) on sprint and change-of-direction ability. Thirty-six young basketball athletes were randomly assigned to a male experimental group (MEG, n= 6, 15.83 ± 0.75 years, height = 1.83 ± 0.07 m, body mass = 70.78 ± 11.83 kg) or a male control group (MCG, n= 7, 15.43 ± 1.13 years, height = 1.74 ± 0.13 m, body mass = 72.94 ± 24.13 kg) and female experimental group (FEG, n= 11, 14.45 ± 0.69 years, height = 1.60 ± 0.07 m, body mass = 53.72 ± 9.01 kg) or female control group (FCG, n= 10, 15.30 ± 1.16 years, height = 1.63 ± 0.08 m, body mass = 59.98 ± 16.74 kg). The Illinois agility test (IAT) and the 20 m sprint (Sp20m) were used to evaluate the change-of-direction ability and the sprint, respectively. Repeated measurements ANOVA and effect size (ES) showed that in Sp20m, both MEG and MCG showed significant improvements, with greater effects on MEG (ES= 1.07) compared to MCG (ES= 0.29). Among females, both groups showed significant improvements in Sp20m, with greater effects in EG (ES= 0.96) compared to CG (ES = 0.29). In the IAT, the MEG (ES= 0.82) and the MCG (ES= 0.28) showed significant improvements. For females, the EG showed greater effects (ES= 0.55) compared to the CG (ES= 0.18), although there were no significant improvements. Therefore, the EG showed positive and greater effects compared to the CG. This way, it is recommended to apply PT to improve these physical capacities in young basketball athletes. © JPES.","archive":"Scopus","container-title":"Journal of Physical Education and Sport","DOI":"10.7752/jpes.2022.02039","issue":"2","note":"titleTranslation: 增强式训练对青少年篮球运动员冲刺和变向速度的影响\nabstractTranslation:  这项研究探讨了为期六周的增强式训练 (PT) 对冲刺和变向能力的影响。 36 名年轻篮球运动员被随机分配到男性实验组（MEG，n = 6，15.83 ± 0.75 岁，身高 = 1.83 ± 0.07 m，体重 = 70.78 ± 11.83 kg）或男性对照组（MCG，n = 7, 15.43 ± 1.13 岁, 身高 = 1.74 ± 0.13 m, 体重 = 72.94 ± 24.13 kg) 和女性实验组 (FEG, n= 11, 14.45 ± 0.69 岁, 身高 = 1.60 ± 0.07 m, 体重 = 53.72 ± 9.01 kg）或女性对照组（FCG，n= 10，15.30 ± 1.16 岁，身高= 1.63 ± 0.08 m，体重= 59.98 ± 16.74 kg）。伊利诺伊州敏捷性测试（IAT）和20米冲刺（Sp20m）分别用于评估变向能力和冲刺能力。重复测量方差分析和效应大小 (ES) 显示，在 Sp20m 中，MEG 和 MCG 均显示出显着改善，与 MCG (ES=0.29) 相比，MEG (ES=1.07) 的效果更大。在女性中，两组 Sp20m 均显示出显着改善，与 CG (ES = 0.29) 相比，EG (ES = 0.96) 的效果更大。在 IAT 中，MEG (ES= 0.82) 和 MCG (ES= 0.28) 显示出显着改善。对于女性来说，与 CG (ES= 0.18) 相比，EG 显示出更大的效果 (ES= 0.55)，但没有显着改善。因此，与 CG 相比，EG 显示出积极且更大的效果。因此，建议应用PT来提高青少年篮球运动员的这些身体能力。 © JPES。","page":"305-310","title":"Effect of plyometric training on sprint and change of direction speed in young basketball athletes","volume":"22","author":[{"family":"Paes","given":"P.P."},{"family":"Correia","given":"G.A.F."},{"family":"Damasceno","given":"V.O."},{"family":"Lucena","given":"E.V.R."},{"family":"Alexandre","given":"I.G."},{"family":"Da Silva","given":"L.R."},{"family":"Dos Santos","given":"W.R."},{"family":"De Freitas Júnior","given":"C.G."}],"issued":{"date-parts":[["2022"]]}}}],"schema":"https://github.com/citation-style-language/schema/raw/master/csl-citation.json"}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53</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58CE99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1C68C25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FDA3E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CC67D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52BC35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2DD3B0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DBD68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591F37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5CC145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4EC79D2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45A1A2E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6E796AFC">
            <w:pPr>
              <w:jc w:val="left"/>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60AEACDA">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1A1171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3ABA2B99">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Palma-Muñoz et al.(2021)</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{"citationID":"NTeVvdNT","properties":{"formattedCitation":"\\super 54\\nosupersub{}","plainCitation":"54","noteIndex":0},"citationItems":[{"id":24907,"uris":["http://zotero.org/groups/5375891/items/MPPSEAEU"],"itemData":{"id":24907,"type":"article-journal","abstract":"Palma-Muñoz, I, Ramírez-Campillo, R, Azocar-Gallardo, J, Álvarez, C, Asadi, A, Moran, J, and Chaabene, H. Effects of progressed and nonprogressed volume-based  overload plyometric training on components of physical fitness and body  composition variables in youth male basketball players. J Strength Cond Res  35(6): 1642-1649, 2021-This study examined the effect of 6 weeks of progressed  and nonprogressed volume-based overload plyometric training (PT) on components of  physical fitness and body composition measures in young male basketball players,  compared with an active control group. Subjects were randomly assigned to a  progressed PT (PPT, n = 7; age = 14.6 ± 1.1 years), a non-PPT (NPPT, n = 8, age =  13.8 ± 2.0 years), or a control group (CG, n = 7, age = 14.0 ± 2.0 years). Before  and after training, body composition measures (muscle mass and fat mass),  countermovement jump with arms (CMJA) and countermovement jump without arms  (CMJ), horizontal bilateral (HCMJ) and unilateral jump with right leg (RJ) and  left leg (LJ), 20-cm drop jump (DJ20), sprint speed (10 m sprint), and change of  direction speed (CODS [i.e., T-test]) were tested. Significant effects of time  were observed for muscle and fat mass, all jump measures, and CODS (all p &lt; 0.01;  d = 0.37-0.83). Significant training group × time interactions were observed for  all jump measures (all p &lt; 0.05; d = 0.24-0.41). Post hoc analyses revealed  significant pre-post performance improvements for the PPT (RJ and LJ: ∆18.6%, d =  0.8 and ∆22.7%, d = 0.9, respectively; HCMJ: ∆16.4%, d = 0.8; CMJ: ∆22.4%, d =  0.7; CMJA: ∆23.3%, d = 0.7; and DJ20: ∆39.7%, d = 1.1) and for the NPPT group  (LJ: ∆14.1%, d = 0.4; DJ20: ∆32.9%, d = 0.8) with greater changes after PPT  compared with NPPT for all jump measures (all p &lt; 0.05; d = 0.21-0.81). The  training efficiency was greater (p &lt; 0.05; d = 0.22) after PPT (0.015% per jump)  compared with NPPT (0.0053% per-jump). The PPT induced larger performance  improvements on measures of physical fitness as compared to NPPT. Therefore,  in-season progressive volume-based overload PT in young male basketball players  is recommended.","container-title":"Journal of strength and conditioning research","DOI":"10.1519/JSC.0000000000002950","ISSN":"1533-4287 1064-8011","issue":"6","journalAbbreviation":"J Strength Cond Res","language":"en","license":"Copyright © 2018 National Strength and Conditioning Association.","note":"publisher-place: United States\nPMID: 34027922\ntitleTranslation: 渐进式和非渐进式基于容量的超负荷增强式训练对青年男子篮球运动员体能和身体成分变量的影响。\nabstractTranslation:  Palma-Muñoz, I, Ramírez-Campillo, R, Azocar-Gallardo, J, Álvarez, C, Asadi, A, Moran, J, and Chaabene, H. 渐进式和非渐进式基于容量的超负荷增强式训练对身体各组成部分的影响青年男子篮球运动员的体质和身体成分变量。 J Strength Cond Res 35(6): 1642-1649, 2021 - 这项研究检验了 6 周的渐进式和非渐进式超负荷增强式训练 (PT) 对年轻男子篮球运动员身体素质和身体成分测量的影响，与活性对照组相比。受试者被随机分配到进展性 PT（PPT，n = 7；年龄 = 14.6 ± 1.1 岁）、非 PPT（NPPT，n = 8，年龄 = 13.8 ± 2.0 岁）或对照组（CG，n = 7，年龄 = 14.0 ± 2.0 岁）。训练前后，身体成分测量（肌肉量和脂肪量）、带臂反向运动跳跃（CMJA）和无臂反向运动跳跃（CMJ）、水平双侧跳跃（HCMJ）以及右腿单侧跳跃（RJ）和左腿单侧跳跃（RJ）。测试了 LJ)、20 厘米跌落跳跃 (DJ20)、冲刺速度 (10 m 冲刺) 和变向速度 (CODS [即 T 测试])。观察到时间对肌肉和脂肪量、所有跳跃测量和 CODS 的显着影响（所有 p &lt; 0.01；d = 0.37-0.83）。所有跳跃测量均观察到显着的训练组×时间交互作用（所有 p &lt; 0.05；d = 0.24-0.41）。事后分析显示 PPT 前后性能显着改善（RJ 和 LJ：分别为 Δ18.6%，d = 0.8 和 Δ22.7%，d = 0.9；HCMJ：Δ16.4%，d = 0.8；CMJ：Δ22.4 %，d = 0.7；CMJA：Δ23.3%，d = 0.7；DJ20：Δ39.7%，d = 1.1）以及 NPPT 组（LJ：Δ14.1%，d = 0.4；DJ20：Δ32.9%，d = 0.8），与所有跳跃测量的 NPPT 相比，PPT 后的变化更大（所有 p &lt; 0.05；d = 0.21-0.81）。与 NPPT（每次跳跃 0.0053%）相比，PPT（每次跳跃 0.015%）后的训练效率更高（p &lt; 0.05；d = 0.22）。与 NPPT 相比，PPT 在体能测量方面带来了更大的绩效改善。因此，建议年轻男篮球运动员在赛季中进行渐进式超负荷训练。","page":"1642-1649","title":"Effects of Progressed and Nonprogressed Volume-Based Overload Plyometric Training on Components of Physical Fitness and Body Composition Variables in Youth Male  Basketball Players.","volume":"35","author":[{"family":"Palma-Muñoz","given":"Ignacio"},{"family":"Ramírez-Campillo","given":"Rodrigo"},{"family":"Azocar-Gallardo","given":"Jairo"},{"family":"Álvarez","given":"Cristian"},{"family":"Asadi","given":"Abbas"},{"family":"Moran","given":"Jason"},{"family":"Chaabene","given":"Helmi"}],"issued":{"date-parts":[["2021",6,1]]}}}],"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54</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9AD316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2776980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6DDAA61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00" w:type="dxa"/>
            <w:tcBorders>
              <w:tl2br w:val="nil"/>
              <w:tr2bl w:val="nil"/>
            </w:tcBorders>
            <w:shd w:val="clear" w:color="auto" w:fill="auto"/>
            <w:noWrap/>
            <w:vAlign w:val="center"/>
          </w:tcPr>
          <w:p w14:paraId="6607032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3C0607C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965D4A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7DF002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11" w:type="dxa"/>
            <w:tcBorders>
              <w:tl2br w:val="nil"/>
              <w:tr2bl w:val="nil"/>
            </w:tcBorders>
            <w:shd w:val="clear" w:color="auto" w:fill="auto"/>
            <w:noWrap/>
            <w:vAlign w:val="center"/>
          </w:tcPr>
          <w:p w14:paraId="0F399F5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3B49C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4ABA4F0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2DFE65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43D5F8D1">
            <w:pPr>
              <w:jc w:val="left"/>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w:t>
            </w:r>
          </w:p>
        </w:tc>
        <w:tc>
          <w:tcPr>
            <w:tcW w:w="1368" w:type="dxa"/>
            <w:tcBorders>
              <w:tl2br w:val="nil"/>
              <w:tr2bl w:val="nil"/>
            </w:tcBorders>
            <w:shd w:val="clear" w:color="auto" w:fill="auto"/>
            <w:noWrap/>
            <w:vAlign w:val="center"/>
          </w:tcPr>
          <w:p w14:paraId="7D4D1DC5">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D5E097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38062B46">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Pramono et al.(2023)</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{"citationID":"Ovhoib0j","properties":{"formattedCitation":"\\super 55\\nosupersub{}","plainCitation":"55","noteIndex":0},"citationItems":[{"id":29960,"uris":["http://zotero.org/groups/5375891/items/PJBY5W7E"],"itemData":{"id":29960,"type":"article-journal","abstract":"Study purpose. The purpose of this study was to test the plyometrics training method through agility ladder drills to increase leg muscle power, agility, and aerobic endurance in 13-15-year-old volleyball players. Materials and methods. The research method used was an experiment with a one-group pretest-posttest and pretest-posttest control group approach. The participants were 30 male volleyball players weighing 57-67 kilograms and 157-170 cm in height. Vertical jump, agility t-test, and multistage fitness test were used in this study. Data gathering methods included observation and tests, while data analysis methods included descriptive analysis, Wilcoxon, and Mann-Whitney nonparametric analysis. Results. Descriptive data revealed a difference in the mean value of the pretest and posttest of the experimental group. Furthermore, it also showed a difference in the mean value of the experimental and control groups. In the Wilcoxon test, the value of Asymp. sig(2-tailed) was 0.006&lt;0.05, agility was 0.001&lt;0.05, and endurance was 0.001&lt;0.05. In the Mann-Whitney test, the value of Asymp. sig(2-tailed) was 0.416&gt;0.05, agility was 0.00&lt;0.05, and endurance was 0.00&lt;0.05. Conclusions. In the experimental group, the posttest score is higher than the pretest score on power, agility, and endurance. In volleyball players aged 13-15 years, there is a significant effect, with the experimental group outperforming the control group in terms of power, agility, and endurance. As a result, one of the recommended exercises for young volleyball players is the plyometrics training method using an agility ladder drill. © Pramono, H., Rahayu, T., &amp; Yudhistira, D., 2023.","archive":"Scopus","container-title":"Physical Education Theory and Methodology","DOI":"10.17309/tmfv.2023.2.07","issue":"2","note":"titleTranslation: 敏捷梯训练增强训练对提高13-15岁排球运动员体能的效果\nabstractTranslation:  学习目的。本研究的目的是通过敏捷梯训练来测试增强式训练方法，以提高 13-15 岁排球运动员的腿部肌肉力量、敏捷性和有氧耐力。材料和方法。所使用的研究方法是采用一组前测-后测和前测-后测对照组方法的实验。参赛者为30名男排运动员，体重57-67公斤，身高157-170厘米。本研究使用了垂直弹跳、敏捷性 t 检验和多阶段体能测试。数据收集方法包括观察和测试，而数据分析方法包括描述性分析、Wilcoxon 和 Mann-Whitney 非参数分析。结果。描述性数据揭示了实验组前测和后测平均值的差异。此外，实验组和对照组的平均值也存在差异。在 Wilcoxon 检验中，Asymp 的值。 sig（2尾）为0.006&lt;0.05，敏捷性为0.001&lt;0.05，耐力为0.001&lt;0.05。在 Mann-Whitney 检验中，Asymp 的值。 sig(2尾)为0.416&gt;0.05，敏捷为0.00&lt;0.05，耐力为0.00&lt;0.05。结论。在实验组中，力量、敏捷性和耐力的后测分数高于前测分数。在13-15岁的排球运动员中，效果显着，实验组在力量、敏捷性和耐力方面均优于对照组。因此，向年轻排球运动员推荐的练习之一是使用敏捷梯训练的增强式训练方法。 © Pramono, H.、Rahayu, T. 和 Yudhistira, D.，2023。","page":"199-206","title":"THE EFFECT OF PLYOMETRICS EXERCISE THROUGH AGILITY LADDER DRILL ON IMPROVING PHYSICAL ABILITIES OF 13–15-YEAR-OLD VOLLEYBALL PLAYERS","volume":"23","author":[{"family":"Pramono","given":"H."},{"family":"Rahayu","given":"T."},{"family":"Yudhistira","given":"D."}],"issued":{"date-parts":[["2023"]]}}}],"schema":"https://github.com/citation-style-language/schema/raw/master/csl-citation.json"}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55</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663A6B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12EB7F1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5E09509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F93A9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5DB5E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2BB69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B7820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6D6EC4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0BDF89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6E82ADB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4C3AA2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07B0EF08">
            <w:pPr>
              <w:jc w:val="left"/>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263240BA">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A1208C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1F96A0FF">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Ramirez-Campillo et al.(2018)</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{"citationID":"EMSdwWkV","properties":{"formattedCitation":"\\super 56\\nosupersub{}","plainCitation":"56","noteIndex":0},"citationItems":[{"id":25438,"uris":["http://zotero.org/groups/5375891/items/ZM4VID4C"],"itemData":{"id":25438,"type":"article-journal","abstract":"Ramirez-Campillo, R, Alvarez, C, García-Pinillos, F, Sanchez-Sanchez, J, Yanci, J, Castillo, D, Loturco, I, Chaabene, H, Moran, J, and Izquierdo, M. Optimal  reactive strength index: is it an accurate variable to optimize plyometric  training effects on measures of physical fitness in young soccer players? J  Strength Cond Res 32(4): 885-893, 2018-This study aimed to compare the effects of  drop-jump training using a fixed drop-box height (i.e., 30-cm [FIXED]) vs. an  optimal (OPT) drop-box height (i.e., 10-cm to 40-cm: generating an OPT reactive  strength index [RSI]) in youth soccer players' physical fitness. Athletes were  randomly allocated to a control group (n = 24; age = 13.7 years), a fixed  drop-box height group (FIXED, n = 25; age = 13.9 years), or an OPT drop-box  height group (OPT, n = 24; age = 13.1 years). Before and after 7 weeks of  training, tests for the assessment of jumping (countermovement jump [CMJ], 5  multiple bounds), speed (20-m sprint time), change of direction ability (CODA  [Illinois test]), strength {RSI and 5 maximal squat repetition test (5 repetition  maximum [RM])}, endurance (2.4-km time trial), and kicking ability (maximal  kicking distance) were undertaken. Analyses revealed main effects of time for all  dependent variables (p &lt; 0.001, d = 0.24-0.72), except for 20-m sprint time.  Analyses also revealed group × time interactions for CMJ (p &lt; 0.001, d = 0.51),  depth jump (DJ) (p &lt; 0.001, d = 0.30), 20-m sprint time (p &lt; 0.001, d = 0.25),  CODA (p &lt; 0.001, d = 0.22), and 5RM (p &lt; 0.01, d = 0.16). Post hoc analyses  revealed increases for the FIXED group (CMJ: 7.4%, d = 0.36; DJ: 19.2%, d = 0.49;  CODA: -3.1%, d = -0.21; 5RM: 10.5%, d = 0.32) and the OPT group (CMJ: 16.7%, d =  0.76; DJ: 36.1%, d = 0.79; CODA: -4.4%, d = -0.34; 5RM: 18.1%, d = 0.47). Post  hoc analyses also revealed increases for the OPT group in 20-m sprint time  (-3.7%, d = 0.27). Therefore, to maximize the effects of plyometric training, an  OPT approach is recommended. However, using adequate fixed drop-box heights may  provide a rational and practical alternative.","container-title":"Journal of strength and conditioning research","DOI":"10.1519/JSC.0000000000002467","ISSN":"1533-4287 1064-8011","issue":"4","journalAbbreviation":"J Strength Cond Res","language":"en","note":"publisher-place: United States\nPMID: 29389692\ntitleTranslation: 最佳反应强度指数：它是优化增强式训练对年轻足球运动员体能测量效果的准确变量吗？\nabstractTranslation:  Ramirez-Campillo, R、Alvarez, C、García-Pinillos, F、Sanchez-Sanchez, J、Yanci, J、Castillo, D、Loturco, I、Chaabene, H、Moran, J 和 Izquierdo, M。 最佳反应强度指数：它是优化增强式训练对年轻足球运动员体能测量效果的准确变量吗？ J Strength Cond Res 32(4): 885-893, 2018 - 这项研究旨在比较使用固定落箱高度（即 30 厘米 [固定]）与最佳落箱高度（OPT）进行落跳训练的效果) 青少年足球运动员身体素质中的落箱高度（即 10 厘米至 40 厘米：生成 OPT 反应强度指数 [RSI]）。运动员被随机分配到对照组（n = 24；年龄 = 13.7 岁）、固定 drop-box 高度组（FIXED，n = 25；年龄 = 13.9 岁）或 OPT drop-box 高度组（OPT， n = 24；年龄 = 13.1 岁）。训练前后 7 周，测试评估跳跃（反向跳 [CMJ]，5 次多跳）、速度（20 米冲刺时间）、变向能力（CODA [伊利诺伊州测试]）、力量 {RSI进行了5次最大深蹲重复测试（5次最大重复[RM]）}、耐力（2.4公里计时赛）和踢腿能力（最大踢腿距离）。分析揭示了时间对所有因变量的主要影响（p &lt; 0.001，d = 0.24-0.72），20 米冲刺时间除外。分析还揭示了 CMJ 的组 × 时间交互作用 (p &lt; 0.001, d = 0.51)、深度跳跃 (DJ) (p &lt; 0.001, d = 0.30)、20 米冲刺时间 (p &lt; 0.001, d = 0.25)、CODA （p &lt; 0.001，d = 0.22）和 5RM（p &lt; 0.01，d = 0.16）。事后分析显示 FIXED 组有所增加（CMJ：7.4%，d = 0.36；DJ：19.2%，d = 0.49；CODA：-3.1%，d = -0.21；5RM：10.5%，d = 0.32） OPT 组（CMJ：16.7%，d = 0.76；DJ：36.1%，d = 0.79；CODA：-4.4%，d = -0.34；5RM：18.1%，d = 0.47）。事后分析还显示，OPT 组的 20 米冲刺时间有所增加（-3.7%，d = 0.27）。因此，为了最大限度地发挥增强式训练的效果，建议采用 OPT 方法。然而，使用足够的固定高度的投递箱可能会提供一个合理且实用的替代方案。","page":"885-893","title":"Optimal Reactive Strength Index: Is It an Accurate Variable to Optimize Plyometric Training Effects on Measures of Physical Fitness in Young Soccer  Players?","volume":"32","author":[{"family":"Ramirez-Campillo","given":"Rodrigo"},{"family":"Alvarez","given":"Cristian"},{"family":"García-Pinillos","given":"Felipe"},{"family":"Sanchez-Sanchez","given":"Javier"},{"family":"Yanci","given":"Javier"},{"family":"Castillo","given":"Daniel"},{"family":"Loturco","given":"Irineu"},{"family":"Chaabene","given":"Helmi"},{"family":"Moran","given":"Jason"},{"family":"Izquierdo","given":"Mikel"}],"issued":{"date-parts":[["2018",4]]}}}],"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56</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54C235F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40347F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74083ED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00" w:type="dxa"/>
            <w:tcBorders>
              <w:tl2br w:val="nil"/>
              <w:tr2bl w:val="nil"/>
            </w:tcBorders>
            <w:shd w:val="clear" w:color="auto" w:fill="auto"/>
            <w:noWrap/>
            <w:vAlign w:val="center"/>
          </w:tcPr>
          <w:p w14:paraId="0C043F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6A926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DF347C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2B7BD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34F8FA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446AC7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273E40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03895B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010035E1">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1368" w:type="dxa"/>
            <w:tcBorders>
              <w:tl2br w:val="nil"/>
              <w:tr2bl w:val="nil"/>
            </w:tcBorders>
            <w:shd w:val="clear" w:color="auto" w:fill="auto"/>
            <w:noWrap/>
            <w:vAlign w:val="center"/>
          </w:tcPr>
          <w:p w14:paraId="21F36384">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52088C1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84A441F">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Ramirez-Campillo et al.(2019)</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{"citationID":"0POWgA1B","properties":{"formattedCitation":"\\super 57\\nosupersub{}","plainCitation":"57","noteIndex":0},"citationItems":[{"id":21306,"uris":["http://zotero.org/groups/5375891/items/N4TGRCFU"],"itemData":{"id":21306,"type":"article-journal","abstract":"Purpose: To compare the effects of plyometric drop jump (DJ) training against those induced by regular soccer training and assess the transference effect coefficient (TEC) of DJs (\"trained exercises\") performed from 20-(DJ20) and 40-cm (DJ40) height boxes with respect to different physical qualities (jumping, linear and change of direction speed, kicking, endurance, and maximal strength) in youth male soccer players. Methods: Participants were randomly divided into a control group (n = 20; age: 13.5 [1.9] y) and a DJ training group (n = 19; age: 13.2 [1.8] y), and trained for 7 weeks. A 2-way analysis of variance for repeated measures with the within-subject factor time (preintervention and postintervention) and between-subject factor group (intervention vs control) was performed. To calculate the TECs between the trained exercises (DJ20 and DJ40) and the physical tests, the ratio between the \"result gains\" (effect size [ES]) in the analyzed physical qualities and the result gains in the trained exercises were calculated. The TECs were only calculated for variables presenting an ES &gt;= 0.2. Results: Significant improvements (ES = 0.21-0.46; P &lt; .05) were observed in the DJ training group, except in linear sprint performance. The control group improved only the maximal strength (ES = 0.28; P &lt; .05). Significant differences were observed in all variables (ES = 0.20-0.55; P &lt; .05) in favor of the DJ training group, except for maximal strength (group x time interaction). Conclusions: A plyometric training scheme based on DJs was able to significantly improve the physical performance of youth male soccer players. Overall, greater TECs were observed for DJ40 (0.58-1.28) than DJ20 (0.55-1.21).","archive_location":"WOS:000485195800006","container-title":"PEDIATRIC EXERCISE SCIENCE","DOI":"10.1123/pes.2018-0207","ISSN":"0899-8493","issue":"3","language":"en","note":"titleTranslation: 增强式训练对年轻男子足球运动员身体表现的影响：不同跳高高度的潜在影响\nabstractTranslation:  目的：比较增强式跳高 (DJ) 训练与常规足球训练的效果，并评估从 20 厘米 (DJ20) 和 40 厘米 (DJ20) 进行的 DJ（“受过训练的练习”）的转移效应系数 (TEC)。 DJ40）针对青年男子足球运动员不同身体素质（跳跃、线性和变向速度、踢球、耐力和最大力量）的身高框。方法：参与者被随机分为对照组（n = 20；年龄：13.5 [1.9] y）和 DJ 训练组（n = 19；年龄：13.2 [1.8] y），并训练 7 周。对重复测量的受试者内因素时间（干预前和干预后）和受试者间因素组（干预与对照）进行方差分析。为了计算经过训练的练习（DJ20 和 DJ40）和身体测试之间的 TEC，计算了分析的身体素质中的“结果增益”（效果大小 [ES]）与经过训练的练习中的结果增益之间的比率。仅针对 ES &gt;= 0.2 的变量计算 TEC。结果：除了线性冲刺表现外，DJ 训练组观察到显着改善（ES = 0.21-0.46；P &lt; .05）。对照组仅提高了最大强度（ES = 0.28；P &lt; .05）。除最大强度（组 x 时间交互作用）外，所有变量均观察到显着差异（ES = 0.20-0.55；P &lt; .05），有利于 DJ 训练组。结论：基于 DJ 的增强式训练方案能够显着提高青年男子足球运动员的身体表现。总体而言，DJ40 (0.58-1.28) 的 TEC 高于 DJ20 (0.55-1.21)。","page":"306-313","title":"Effects of Plyometric Training on Physical Performance of Young Male Soccer Players: Potential Effects of Different Drop Jump Heights","volume":"31","author":[{"family":"Ramirez-Campillo","given":"R"},{"family":"Alvarez","given":"C"},{"family":"García-Pinillos","given":"F"},{"family":"Gentil","given":"P"},{"family":"Moran","given":"J"},{"family":"Pereira","given":"LA"},{"family":"Loturco","given":"I"}],"issued":{"date-parts":[["2019",8]]}}}],"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57</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19D630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1C9E03A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696B8B8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A77F33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4CAE9A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D60FE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938C8C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230E2F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254747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5A6E249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7A52537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5AE9FCD7">
            <w:pPr>
              <w:keepNext w:val="0"/>
              <w:keepLines w:val="0"/>
              <w:widowControl/>
              <w:suppressLineNumbers w:val="0"/>
              <w:jc w:val="both"/>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7EDBDB5A">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3A82EAD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5FBC612">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Ramirez-Campillo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{"citationID":"MK4nPZ2e","properties":{"formattedCitation":"\\super 58\\nosupersub{}","plainCitation":"58","noteIndex":0},"citationItems":[{"id":21396,"uris":["http://zotero.org/groups/5375891/items/QLPR48W5"],"itemData":{"id":21396,"type":"article-journal","abstract":"Ramirez-Campillo, R, alvarez, C, Garcia-Pinillos, F, Garcia-Ramos, A, Loturco, I, Chaabene, H, and Granacher, U. Effects of combined surfaces vs. single-surface plyometric training on soccer players' physical fitness.J Strength Cond Res34(9): 2644-2653, 2020-The aim of this study was to compare the effects of a 8-week plyometric jump training (PJT) performed on different surfaces (grass, land-dirt, sand, wood, gym mat, and tartan-track) vs. a single-surface PJT (grass) on components of physical fitness (muscle power, speed, and change-of-direction speed [CODS] tasks) and sport-specific performance (i.e., maximal kicking velocity [MKV]) in male soccer players aged 11-14 years. Athletes were randomly assigned to a combined surfaces PJT (PJTc,n= 8), a single-surface PJT (PJTs,n= 8), or an active control (CON,n= 7). Although the PJT group trained on grass, the PJTc trained on 6 different surfaces and equally distributed the total jump volume according to the surface. Pre-post tests were conducted on grass. Significant main effects of time were observed for the countermovement jump, the standing-long-jump, the 20-cm drop jump, 30-m sprint time, CODS, and MKV (allp&lt; 0.001;d= 0.53-0.87). Group x time interactions were identified for all jump tests, MKV, 30-m sprint time, and CODS (allp&lt; 0.001;d= 0.58-0.71) in favor of PJTc. No significant pre-post changes were observed in the CON (allp&gt; 0.05;d= 0.07-0.1). In conclusion, PJT is effective in improving physical fitness in young soccer players when conducted in combination with regular soccer training. Although general fitness testing and PJTs were performed on grass, larger physical fitness improvements were found after PJTc. Thus, PJTc is recommended, as it provides a better overload stimulus compared with more conventional training overload (e.g., increase in training volume or intensity). Future studies still have to address the underlying physiological adaptations after PJTc.","archive_location":"WOS:000571172500031","container-title":"JOURNAL OF STRENGTH AND CONDITIONING RESEARCH","DOI":"10.1519/JSC.0000000000002929","ISSN":"1064-8011","issue":"9","language":"en","note":"titleTranslation: 组合表面与单表面增强式训练对足球运动员体能的影响\nabstractTranslation:  Ramirez-Campillo, R、alvarez, C、Garcia-Pinillos, F、Garcia-Ramos, A、Loturco, I、Chaabene, H 和 Granacher, U。组合表面与单表面增强式训练对足球运动员的影响J Strength Cond Res34(9): 2644-2653, 2020 - 这项研究的目的是比较在不同表面（草地、泥土、沙地）上进行的为期 8 周的增强式跳跃训练 (PJT) 的效果、木头、体操垫和格子呢跑道）与单面 PJT（草地）在身体素质（肌肉力量、速度和变向速度 [CODS] 任务）和特定运动表现（即 11-14 岁男性足球运动员的最大踢球速度 [MKV]）。运动员被随机分配到组合表面 PJT (PJTc,n= 8)、单表面 PJT (PJTs,n= 8) 或主动对照 (CON,n= 7)。虽然PJT组在草地上进行训练，但PJTc组在6个不同的表面上进行训练，并根据表面平均分配总跳跃量。事前测试在草地上进行。对于反向运动跳跃、立定跳远、20 厘米跳远、30 米短跑时间、CODS 和 MKV 观察到时间的显着主效应（p &lt; 0.001；d = 0.53-0.87）。所有跳跃测试、MKV、30 米冲刺时间和 CODS（allp&lt; 0.001；d= 0.58-0.71）均确定了组 x 时间交互作用，有利于 PJTc。 CON 中未观察到显着的前后变化（allp&gt; 0.05；d= 0.07-0.1）。总之，PJT与常规足球训练相结合，可以有效提高青少年足球运动员的身体素质。虽然一般体能测试和 PJT 都是在草地上进行的，但 PJTc 后发现体能有较大改善。因此，建议使用 PJTc，因为与更传统的超负荷训练（例如增加训练量或强度）相比，它提供了更好的超负荷刺激。未来的研究仍需解决 PJTc 后潜在的生理适应问题。","page":"2644-2653","title":"Effects of Combined Surfaces vs. Single-Surface Plyometric Training on Soccer Players' Physical Fitness","volume":"34","author":[{"family":"Ramirez-Campillo","given":"R"},{"family":"Alvarez","given":"C"},{"family":"García-Pinillos","given":"F"},{"family":"García-Ramos","given":"A"},{"family":"Loturco","given":"I"},{"family":"Chaabene","given":"H"},{"family":"Granacher","given":"U"}],"issued":{"date-parts":[["2020",9]]}}}],"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58</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B98EA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0F3E873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F6903D5">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00" w:type="dxa"/>
            <w:tcBorders>
              <w:tl2br w:val="nil"/>
              <w:tr2bl w:val="nil"/>
            </w:tcBorders>
            <w:shd w:val="clear" w:color="auto" w:fill="auto"/>
            <w:noWrap/>
            <w:vAlign w:val="center"/>
          </w:tcPr>
          <w:p w14:paraId="4C5FD65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09ECB8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C4302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DB164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5703FE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54CC10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010035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4207C0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12A3C7AB">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1368" w:type="dxa"/>
            <w:tcBorders>
              <w:tl2br w:val="nil"/>
              <w:tr2bl w:val="nil"/>
            </w:tcBorders>
            <w:shd w:val="clear" w:color="auto" w:fill="auto"/>
            <w:noWrap/>
            <w:vAlign w:val="center"/>
          </w:tcPr>
          <w:p w14:paraId="0C9E7F1E">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3EBD9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41F8F41F">
            <w:pPr>
              <w:keepNext w:val="0"/>
              <w:keepLines w:val="0"/>
              <w:widowControl/>
              <w:suppressLineNumbers w:val="0"/>
              <w:jc w:val="lef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Ramirez-Campillo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{"citationID":"cHMAvOcs","properties":{"formattedCitation":"\\super 59\\nosupersub{}","plainCitation":"59","noteIndex":0},"citationItems":[{"id":21128,"uris":["http://zotero.org/groups/5375891/items/H5MXQJCW"],"itemData":{"id":21128,"type":"article-journal","abstract":"Ramirez-Campillo, R, Alvarez, C, Gentil, P, Loturco, I, Sanchez-Sanchez, J, Izquierdo, M, Moran, J, Nakamura, FY, Chaabene, H, and Granacher, U. Sequencing effects of plyometric training applied before or after regular soccer training on measures of physical fitness in young players.J Strength Cond Res34(7): 1959-1966, 2020-To compare the effects of short-term (i.e., 7 weeks) plyometric jump training applied before (PJT-B) or after (PJT-A) soccer practice on components of physical fitness in young soccer players, a single-blind randomized controlled trial was conducted. Postpubertal boys aged 17.0 +/- 0.5 years were allocated to 3 groups: PJT-B (n= 12), PJT-A (n= 14), and control (CON;n= 12). The outcome measures included tests to evaluate 20-m speed, standing long jump (SLJ), squat jump (SJ), countermovement jump (CMJ), and drop jump (DJ), 20-m multistage shuttle run endurance (MSSRT), and Illinois change-of-direction speed (ICODT). Although the CON performed soccer-specific training, the PJT-A and PJT-B groups conducted the same soccer-specific sessions but replaced similar to 11% of their time with plyometric training. The PJT-B group performed plyometric exercises after a warm-up program, and the PJT-A group conducted plyometric exercises similar to 10 minutes after the completion of soccer training. Analyses of variance were used to detect differences between groups in all variables for pretraining and posttraining tests. Main effects of time (allp&lt; 0.01;d= 0.19-0.79) and group x time interactions (allp &lt;= 0.05;d= 0.17-0.76) were observed for all examined variables. Post hoc analyses revealed significant increases in the PJT-B group (SLJ: 9.4%,d= 1.7; CMJ: 11.2%,d= 0.75; 20-m MSSRT: 9.0%,d= 0.77) and the PJT-A group (SLJ: 3.1%,d= 0.7; CMJ: 4.9%,d= 0.27; 20-m MSSRT: 9.0%,d= 0.76). Post hoc analyses also revealed significant increases in the PJT-B group (20-m speed: -7.4%,d= 0.75; 20-cm DJ reactive strength index: 19.1%,d= 1.4; SJ: 6.3%,d= 0.44; ICODT results: -4.2%,d= 1.1). In general, our study revealed that plyometric training is effective in improving measures of physical fitness in young male soccer players when combined with regular soccer training. More specifically, larger training-induced effects on physical fitness were registered if plyometric training was conducted before soccer-specific training.","archive_location":"WOS:000546360000021","container-title":"JOURNAL OF STRENGTH AND CONDITIONING RESEARCH","DOI":"10.1519/JSC.0000000000002525","ISSN":"1064-8011","issue":"7","language":"en","note":"titleTranslation: 常规足球训练之前或之后应用增强式训练的顺序对年轻球员体能测量的影响\nabstractTranslation:  Ramirez-Campillo, R, Alvarez, C, Gentil, P, Loturco, I, Sanchez-Sanchez, J, Izquierdo, M, Moran, J, Nakamura, FY, Chaabene, H, and Granacher, U. 增强式训练的顺序效应J Strength Cond Res34(7): 1959-1966, 2020-比较之前应用的短期（即 7 周）增强式跳跃训练的效果（针对年轻足球运动员身体素质的组成部分，进行了一项单盲随机对照试验。年龄为 17.0 +/- 0.5 岁的青春期后男孩被分配到 3 组：PJT-B (n= 12)、PJT-A (n= 14) 和对照组 (CON;n= 12)。结果测量包括评估 20 米速度、立定跳远 (SLJ)、深蹲跳 (SJ)、反向运动跳 (CMJ) 和跳投 (DJ)、20 米多级往返跑耐力 (MSSRT) 和伊利诺伊州变向速度 (ICODT)。尽管 CON 进行了足球专项训练，但 PJT-A 和 PJT-B 组进行了相同的足球专项训练，但用增强式训练取代了大约 11% 的时间。 PJT-B组在热身计划后进行增强式练习，PJT-A组在足球训练完成后10分钟进行类似的增强式练习。方差分析用于检测训练前和训练后测试的所有变量的组间差异。对于所有检查的变量，观察到时间（allp &lt; 0.01；d= 0.19-0.79）和组x时间交互作用（allp &lt;= 0.05；d= 0.17-0.76）的主效应。事后分析显示 PJT-B 组（SLJ：9.4%，d= 1.7；CMJ：11.2%，d= 0.75；20-m MSSRT：9.0%，d= 0.77）和 PJT-A 组显着增加（ SLJ：3.1%，d= 0.7；CMJ：4.9%，d= 0.27；20 米 MSSRT：9.0%，d= 0.76）。事后分析还显示 PJT-B 组显着增加（20 米速度：-7.4%，d= 0.75；20 厘米 DJ 反应强度指数：19.1%，d= 1.4；SJ：6.3%，d= 0.44 ；ICODT 结果：-4.2%，d= 1.1)。总的来说，我们的研究表明，增强式训练与常规足球训练相结合可以有效改善年轻男性足球运动员的体能指标。更具体地说，如果在足球专项训练之前进行增强式训练，训练对身体健康产生的影响就会更大。","page":"1959-1966","title":"Sequencing Effects of Plyometric Training Applied Before or After Regular Soccer Training on Measures of Physical Fitness in Young Players","volume":"34","author":[{"family":"Ramirez-Campillo","given":"R"},{"family":"Alvarez","given":"C"},{"family":"Gentil","given":"P"},{"family":"Loturco","given":"I"},{"family":"Sanchez-Sanchez","given":"J"},{"family":"Izquierdo","given":"M"},{"family":"Moran","given":"J"},{"family":"Nakamura","given":"FY"},{"family":"Chaabene","given":"H"},{"family":"Granacher","given":"U"}],"issued":{"date-parts":[["2020",7]]}}}],"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59</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3416F75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6257287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85A39D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35D7AE0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588A1BA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0CAF110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ED9451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0CF238E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3C41DA0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3D67BD6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186E74E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6859B6C6">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1368" w:type="dxa"/>
            <w:tcBorders>
              <w:tl2br w:val="nil"/>
              <w:tr2bl w:val="nil"/>
            </w:tcBorders>
            <w:shd w:val="clear" w:color="auto" w:fill="auto"/>
            <w:noWrap/>
            <w:vAlign w:val="center"/>
          </w:tcPr>
          <w:p w14:paraId="1D0783E3">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1AED6CF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6E92556">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Sammoud et al.(2022)</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{"citationID":"NmsHTodm","properties":{"formattedCitation":"\\super 60\\nosupersub{}","plainCitation":"60","noteIndex":0},"citationItems":[{"id":21078,"uris":["http://zotero.org/groups/5375891/items/A69YKY53"],"itemData":{"id":21078,"type":"article-journal","abstract":"This study aimed to contrast the effects of power training (PT) and plyometric-jump-training (PJT) programmes on measures of physical fitness in prepubertal male soccer players. Thirty-three participants were randomly allocated to PT group (n = 11), PJT group (n = 11), and an active control group (CG; n = 11). Before and after 12 weeks of training, tests were performed for the assessment of sprint-speed , change-of-direction (CoD) speed, muscular strength , and aerobic-endurance (AE). Findings indicated significant groupxtime interaction effects for all sprint-speed intervals, CoD speed, AE, and strength (d = 0.20-0.32). Post-hoc analyses revealed significant, moderate-to-large improvements in all sprint-speed intervals, CoD speed, AE, and muscle strength following PT (ES = 0.71 to 1.38). The PJT induced significant, moderate-to-large enhancements in 10 m, 20 m, and 30 m sprint, CoD speed, and AE (ES = 0.51 to 0.96) with no significant changes for 5 m sprint-speed and muscle strength (ES = 0.71 and 0.16, respectively). No significant pre-post changes were observed for the CG . Overall, PT and PJT are effective means to improve various measures of physical fitness in prepubertal male soccer players. Notably, to additionally improve acceleration and muscle strength, PT has an advantage over PJT.","archive_location":"WOS:000716210500001","container-title":"JOURNAL OF SPORTS SCIENCES","DOI":"10.1080/02640414.2021.1976570","ISSN":"0264-0414","issue":"2","language":"en","note":"titleTranslation: 增强式跳跃训练与自由重量力量训练对青年男子足球运动员体能测量的影响\nabstractTranslation:  本研究旨在对比力量训练 (PT) 和增强跳跃训练 (PJT) 计划对青春期前男性足球运动员身体健康指标的影响。 33 名参与者被随机分配到 PT 组 (n = 11)、PJT 组 (n = 11) 和主动对照组 (CG；n = 11)。在 12 周训练之前和之后，进行了冲刺速度、变向 (CoD) 速度、肌肉力量和有氧耐力 (AE) 评估测试。研究结果表明，所有冲刺速度间隔、CoD 速度、AE 和力量均存在显着的组 x 时间交互效应 (d = 0.20-0.32)。事后分析显示，PT 后所有冲刺速度间隔、CoD 速度、AE 和肌肉力量都有显着的中等到大幅改善（ES = 0.71 至 1.38）。 PJT 在 10 m、20 m 和 30 m 冲刺、CoD 速度和 AE（ES = 0.51 至 0.96）方面引起显着、中到较大的增强，而 5 m 冲刺速度和肌肉力量（ES）没有显着变化= 0.71 和 0.16，分别）。 CG 未观察到显着的前后变化。总体而言，PT和PJT是改善青春期前男性足球运动员各项身体素质的有效手段。值得注意的是，在额外提高加速度和肌肉力量方面，PT 比 PJT 更有优势。","page":"130-137","title":"Effects of plyometric jump training versus power training using free weights on measures of physical fitness in youth male soccer players","volume":"40","author":[{"family":"Sammoud","given":"S"},{"family":"Bouguezzi","given":"R"},{"family":"Ramirez-Campillo","given":"R"},{"family":"Negra","given":"Y"},{"family":"Prieske","given":"O"},{"family":"Moran","given":"J"},{"family":"Chaabene","given":"H"}],"issued":{"date-parts":[["2022",1,17]]}}}],"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60</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637F5E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2E0F365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0A71DC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38AF6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77C282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C60B0F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9DFE3B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w:t>
            </w:r>
          </w:p>
        </w:tc>
        <w:tc>
          <w:tcPr>
            <w:tcW w:w="611" w:type="dxa"/>
            <w:tcBorders>
              <w:tl2br w:val="nil"/>
              <w:tr2bl w:val="nil"/>
            </w:tcBorders>
            <w:shd w:val="clear" w:color="auto" w:fill="auto"/>
            <w:noWrap/>
            <w:vAlign w:val="center"/>
          </w:tcPr>
          <w:p w14:paraId="7EAF324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1547A75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25CD1F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00420A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064BA000">
            <w:pPr>
              <w:keepNext w:val="0"/>
              <w:keepLines w:val="0"/>
              <w:widowControl/>
              <w:suppressLineNumbers w:val="0"/>
              <w:jc w:val="both"/>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1368" w:type="dxa"/>
            <w:tcBorders>
              <w:tl2br w:val="nil"/>
              <w:tr2bl w:val="nil"/>
            </w:tcBorders>
            <w:shd w:val="clear" w:color="auto" w:fill="auto"/>
            <w:noWrap/>
            <w:vAlign w:val="center"/>
          </w:tcPr>
          <w:p w14:paraId="68E0D450">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57BAB69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3569AD92">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Santos et al.(2011)</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{"citationID":"2yQkhAQ8","properties":{"formattedCitation":"\\super 61\\nosupersub{}","plainCitation":"61","noteIndex":0},"citationItems":[{"id":17389,"uris":["http://zotero.org/groups/5375891/items/NJBFZL9C"],"itemData":{"id":17389,"type":"article-journal","abstract":"The aims of this study were to determine the effects of (a) plyometric training on explosive strength indicators in adolescent male basketball players and (b) detraining and reduced training on previously achieved explosive strength gains. Two groups were formed: an experimental and a control group. The former was submitted to a 10-week in-season plyometric training program, twice weekly, along with regular basketball practice. Simultaneously, the control group participated in regular basketball practice only. At the end of this period, the experimental group was subdivided into 2 groups: a reduced training group and a detraining group. All participants were assessed on squat jump, countermovement jump, Abalakov test, depth jump, mechanical power, and medicine ball throw at the beginning and at the end of the 10-week in-season plyometric training and on weeks 4, 8, 12, and 16 of the in-season detraining and reduced training periods. In the first phase of the study, the experimental group significantly increased all the assessed indicators (p &lt; 0.05). In the following phase and in general all the groups maintained the previously achieved results. In conclusion, plyometric training showed positive effects on upper- and lower-body explosive strength in adolescent male basketball players. Moreover, we can state that both detraining and a reduced training program indistinctly contribute to maintenance of strength levels. These results highlight the unique power that basketball-specific training seems to have on the sustainability and maintenance of sport performance.","archive_location":"MEDLINE:20453686","container-title":"Journal of strength and conditioning research","DOI":"10.1519/JSC.0b013e3181b62be3","issue":"2","language":"en","note":"titleTranslation: 增强式训练、随后停止训练和减少训练时间对青少年男子篮球运动员爆发力的影响。\nabstractTranslation:  本研究的目的是确定（a）增强式训练对青少年男子篮球运动员爆发力指标的影响，以及（b）停止训练和减少训练对先前获得的爆发力增益的影响。分为两组：实验组和对照组。前者接受了为期 10 周的季内增强式训练计划，每周两次，并进行常规篮球训练。同时，对照组仅参加常规篮球训练。在此阶段结束时，实验组被分为两组：减少训练组和取消训练组。在为期 10 周的季内增强式训练开始和结束时以及第 4、8、12 周，所有参与者都接受了深蹲跳、反向运动跳、阿巴拉科夫测试、深度跳、机械力量和药球投掷的评估。以及 16 次赛季中停训和减少训练时间。在第一阶段的研究中，实验组所有评估指标均显着提高（p &lt; 0.05）。在接下来的阶段中，总体而言，所有小组都保持了之前取得的成果。总之，增强式训练对青少年男子篮球运动员的上半身和下半身爆发力有积极的影响。此外，我们可以说，停止训练和减少训练计划都模糊地有助于维持力量水平。这些结果凸显了篮球专项训练似乎对运动表现的可持续性和维持具有独特的力量。","page":"441-52","title":"The effects of plyometric training followed by detraining and reduced training periods on explosive strength in adolescent male basketball players.","volume":"25","author":[{"family":"Santos","given":"Eduardo J A M"},{"family":"Janeira","given":"Manuel A A S"}],"issued":{"date-parts":[["2011",2]]}}}],"schema":"https://github.com/citation-style-language/schema/raw/master/csl-citation.json"}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61</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242A74D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38CE265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647082D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2C59B76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12F7714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6FEE0F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67FD31E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68B1704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540B57A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43F9198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4F63D99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34C5C2EF">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6AE3E4C2">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56160B4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87F2BB1">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Vera-Assaoka et al.(2020)</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{"citationID":"vFjZfE02","properties":{"formattedCitation":"\\super 62\\nosupersub{}","plainCitation":"62","noteIndex":0},"citationItems":[{"id":21049,"uris":["http://zotero.org/groups/5375891/items/AUFG7VAG"],"itemData":{"id":21049,"type":"article-journal","abstract":"Vera-Assaoka, T, Ramirez-Campillo, R, Alvarez, C, Garcia-Pinillos, F, Moran, J, Gentil, P, and Behm, D. Effects of maturation on physical fitness adaptations to plyometric drop jump training in male youth soccer players.J Strength Cond Res34(10): 2760-2768, 2020-The objective of this study was to compare the effects of maturation on physical fitness adaptations to a twice weekly, 7-week plyometric drop jump training program. Seventy-six young male soccer players (aged 10-16 years) participated in this randomized controlled trial. Before and after the intervention, a physical fitness test battery was applied (countermovement jump; drop jump from 20 to 40 cm; 5 multiple bounds test; 20-m sprint time; change of direction speed; 2.4-km running time-trial; 5 repetition maximum [RM] squat; and maximal kicking distance). Participants were randomly divided into an active soccer-control group (CG) with Tanner stage maturation of 1-3 (CG-early;n= 16) or Tanner stage 4-5 (CG-late;n= 22), and to plyometric drop jump training groups with Tanner stage 1-3 (plyometric jump training [PJT]-early;n= 16) or 4-5 (PJT-late;n= 22). The analysis of variance and effect size (ES) measures revealed that when compared with their age-matched controls, the PJT-early (ES = 0.39-1.58) and PJT-late (ES = 0.21-0.65) groups showed greater improvements (p&lt; 0.05) in sprint time, 2.4-km running time-trial, change of direction speed, 5RM squat, jumping, and kicking distance. The PJT-early exceeded the PJT-late group with greater (p&lt; 0.05) improvements in drop jump from 20 cm (ES = 1.58 vs. 0.51) and 40 cm (ES = 0.71 vs. 0.4) and kicking distance (ES = 0.95 vs. 0.65). Therefore, a 7-week plyometric drop jump training program was effective in improving physical fitness traits in both younger and older male youth soccer players, with greater jumping and kicking adaptations in the less-mature athletes.","archive_location":"WOS:000575992200009","container-title":"JOURNAL OF STRENGTH AND CONDITIONING RESEARCH","DOI":"10.1519/JSC.0000000000003151","ISSN":"1064-8011","issue":"10","language":"en","note":"titleTranslation: 成熟度对青少年男子足球运动员增强式跳跳训练体能适应的影响\nabstractTranslation:  Vera-Assaoka, T, Ramirez-Campillo, R, Alvarez, C, Garcia-Pinillos, F, Moran, J, Gentil, P, 和 Behm, D. 成熟对男性青少年增强式跳跃训练体能适应的影响J Strength Cond Res34(10): 2760-2768, 2020 - 这项研究的目的是比较成熟对身体健康适应的影响与每周两次、为期 7 周的增强式跳伞训练计划。 76 名年轻男性足球运动员（10-16 岁）参加了这项随机对照试验。干预前后进行体能测试电池组（反向运动跳跃；从20至40厘米跳下；5次多重跳跃测试；20米冲刺时间；变向速度；2.4公里跑步计时赛；5重复最大[RM]深蹲；和最大踢腿距离）。参与者被随机分为活跃足球对照组 (CG)，其中 Tanner 阶段成熟度为 1-3（CG-早期；n= 16）或 Tanner 阶段 4-5（CG-晚期；n= 22），并进行增强式训练Tanner 阶段 1-3（增强式跳跃训练 [PJT]-早期；n= 16）或 4-5（PJT-晚期；n= 22）进行跳伞训练组。方差和效应大小 (ES) 测量分析表明，与年龄匹配的对照组相比，PJT 早期组 (ES = 0.39-1.58) 和 PJT 晚期组 (ES = 0.21-0.65) 表现出更大的改善 (p &lt; 0.05) 冲刺时间、2.4公里跑计时赛、变向速度、5RM深蹲、跳跃和踢腿距离。 PJT 早期组超过了 PJT 晚期组，在 20 厘米（ES = 1.58 对 0.51）和 40 厘米（ES = 0.71 对 0.4）的落跳和踢腿距离（ES = 0.95）方面有更大的改善（p &lt; 0.05）对比 0.65）。因此，为期 7 周的增强式跳远训练计划对于改善年轻和年长的男性青少年足球运动员的身体素质都有效，并且对于不太成熟的运动员来说，跳跃和踢腿的适应能力更强。","page":"2760-2768","title":"Effects of Maturation on Physical Fitness Adaptations to Plyometric Drop Jump Training in Male Youth Soccer Players","volume":"34","author":[{"family":"Vera-Assaoka","given":"T"},{"family":"Ramirez-Campillo","given":"R"},{"family":"Alvarez","given":"C"},{"family":"Garcia-Pinillos","given":"F"},{"family":"Moran","given":"J"},{"family":"Gentil","given":"P"},{"family":"Behm","given":"D"}],"issued":{"date-parts":[["2020",10]]}}}],"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62</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6718F60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6418FBC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522A5BB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42A899C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556" w:type="dxa"/>
            <w:tcBorders>
              <w:tl2br w:val="nil"/>
              <w:tr2bl w:val="nil"/>
            </w:tcBorders>
            <w:shd w:val="clear" w:color="auto" w:fill="auto"/>
            <w:noWrap/>
            <w:vAlign w:val="center"/>
          </w:tcPr>
          <w:p w14:paraId="3D986F0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DE3D02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12F2BE4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7CAA63E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11" w:type="dxa"/>
            <w:tcBorders>
              <w:tl2br w:val="nil"/>
              <w:tr2bl w:val="nil"/>
            </w:tcBorders>
            <w:shd w:val="clear" w:color="auto" w:fill="auto"/>
            <w:noWrap/>
            <w:vAlign w:val="center"/>
          </w:tcPr>
          <w:p w14:paraId="6163968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6B27807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6B43C21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65B7A688">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1368" w:type="dxa"/>
            <w:tcBorders>
              <w:tl2br w:val="nil"/>
              <w:tr2bl w:val="nil"/>
            </w:tcBorders>
            <w:shd w:val="clear" w:color="auto" w:fill="auto"/>
            <w:noWrap/>
            <w:vAlign w:val="center"/>
          </w:tcPr>
          <w:p w14:paraId="31D6EE3C">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High</w:t>
            </w:r>
          </w:p>
        </w:tc>
      </w:tr>
      <w:tr w14:paraId="04E25D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3029" w:type="dxa"/>
            <w:tcBorders>
              <w:tl2br w:val="nil"/>
              <w:tr2bl w:val="nil"/>
            </w:tcBorders>
            <w:shd w:val="clear" w:color="auto" w:fill="auto"/>
            <w:noWrap/>
            <w:vAlign w:val="center"/>
          </w:tcPr>
          <w:p w14:paraId="68A59877">
            <w:pPr>
              <w:keepNext w:val="0"/>
              <w:keepLines w:val="0"/>
              <w:widowControl/>
              <w:suppressLineNumbers w:val="0"/>
              <w:jc w:val="lef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Zribi et al.(2014)</w:t>
            </w:r>
            <w:r>
              <w:rPr>
                <w:rFonts w:hint="eastAsia" w:ascii="宋体" w:hAnsi="宋体" w:eastAsia="宋体" w:cs="宋体"/>
                <w:i w:val="0"/>
                <w:iCs w:val="0"/>
                <w:color w:val="000000"/>
                <w:kern w:val="0"/>
                <w:sz w:val="18"/>
                <w:szCs w:val="18"/>
                <w:u w:val="none"/>
                <w:lang w:val="en-US" w:eastAsia="zh-CN" w:bidi="ar"/>
              </w:rPr>
              <w:fldChar w:fldCharType="begin"/>
            </w:r>
            <w:r>
              <w:rPr>
                <w:rFonts w:hint="eastAsia" w:ascii="宋体" w:hAnsi="宋体" w:eastAsia="宋体" w:cs="宋体"/>
                <w:i w:val="0"/>
                <w:iCs w:val="0"/>
                <w:color w:val="000000"/>
                <w:kern w:val="0"/>
                <w:sz w:val="18"/>
                <w:szCs w:val="18"/>
                <w:u w:val="none"/>
                <w:lang w:val="en-US" w:eastAsia="zh-CN" w:bidi="ar"/>
              </w:rPr>
              <w:instrText xml:space="preserve"> ADDIN ZOTERO_ITEM CSL_CITATION {"citationID":"sgLZ83pR","properties":{"formattedCitation":"\\super 63\\nosupersub{}","plainCitation":"63","noteIndex":0},"citationItems":[{"id":27012,"uris":["http://zotero.org/groups/5375891/items/46R5V8DF"],"itemData":{"id":27012,"type":"article-journal","abstract":"The effects of a 9-week lower-body plyometric training program on bone mass, bone markers and physical fitness was examined in 51 early pubertal male basketball  players divided randomly into a plyometric group (PG: 25 participants) and a  control group (CG: 26 participants). Areal bone mineral density (aBMD), bone  mineral content (BMC), and bone area (BA) in the whole body, L2-L4 vertebrae, and  in total hip, serum levels of osteocalcin (Oc) and C-terminal telopeptide  fragment of Type I collagen (CTx), jump, sprint and power abilities were assessed  at baseline and 9 weeks. Group comparisons were done by independent student's  t-test between means and analyses of (ANOVA) and covariance (ANCOVA), adjusting  for baseline values. PG experienced a significant increase in Oc (p &lt; .01) and  all physical fitness except for the 5-jump test. However, there was no  improvement in aBMD, BMC and BA in any measured site, except in whole body BMC of  the PG. A positive correlation was observed between percentage increase (Δ%) of  physical fitness and those of (Oc) for the PG. In summary, biweekly sessions of  lower body plyometric training program were successful for improving whole body  BMC, bone formation marker (Oc) and physical fitness in early pubertal male  basketball players.","container-title":"Pediatric exercise science","DOI":"10.1123/pes.2013-0053","ISSN":"1543-2920 0899-8493","issue":"1","journalAbbreviation":"Pediatr Exerc Sci","language":"en","note":"publisher-place: United States\nPMID: 24018349\ntitleTranslation: 短期下半身增强式训练可改善青春期早期男性篮球运动员的全身 BMC、骨代谢指标和体能。\nabstractTranslation:  51 名青春期早期男性篮球运动员被随机分为增强组（PG：25 名参与者）和对照组（CG：CG： 26 名参与者）。全身、L2-L4 椎骨和全髋的面积骨矿物质密度 (aBMD)、骨矿物质含量 (BMC) 和骨面积 (BA)、骨钙素 (Oc) 和 C 端端肽片段的血清水平在基线和第 9 周评估 I 型胶原蛋白 (CTx)、跳跃、冲刺和力量能力。组间比较通过独立学生的均值和方差分析 (ANOVA) 和协方差分析 (ANCOVA) 之间的 t 检验进行，并根据基线值进行调整。 PG 的 Oc (p &lt; .01) 和除 5 跳测试外的所有身体素质均显着增加。然而，除了 PG 的全身 BMC 外，任何测量部位的 aBMD、BMC 和 BA 均没有改善。体能增加百分比（Δ%）与 PG 增加百分比（Oc）呈正相关。总之，每两周一次的下半身增强式训练计划成功地改善了青春期早期男性篮球运动员的全身 BMC、骨形成标志物 (Oc) 和身体素质。","page":"22-32","title":"Short-term lower-body plyometric training improves whole body BMC, bone metabolic markers, and physical fitness in early pubertal male basketball players.","volume":"26","author":[{"family":"Zribi","given":"Anis"},{"family":"Zouch","given":"Mohamed"},{"family":"Chaari","given":"Hamada"},{"family":"Bouajina","given":"Elyes"},{"family":"Ben Nasr","given":"Hela"},{"family":"Zaouali","given":"Monia"},{"family":"Tabka","given":"Zouhair"}],"issued":{"date-parts":[["2014",2]]}}}],"schema":"https://github.com/citation-style-language/schema/raw/master/csl-citation.json"} </w:instrText>
            </w:r>
            <w:r>
              <w:rPr>
                <w:rFonts w:hint="eastAsia" w:ascii="宋体" w:hAnsi="宋体" w:eastAsia="宋体" w:cs="宋体"/>
                <w:i w:val="0"/>
                <w:iCs w:val="0"/>
                <w:color w:val="000000"/>
                <w:kern w:val="0"/>
                <w:sz w:val="18"/>
                <w:szCs w:val="18"/>
                <w:u w:val="none"/>
                <w:lang w:val="en-US" w:eastAsia="zh-CN" w:bidi="ar"/>
              </w:rPr>
              <w:fldChar w:fldCharType="separate"/>
            </w:r>
            <w:r>
              <w:rPr>
                <w:rFonts w:hint="eastAsia" w:ascii="宋体" w:hAnsi="宋体" w:eastAsia="宋体" w:cs="宋体"/>
                <w:sz w:val="18"/>
                <w:szCs w:val="24"/>
                <w:vertAlign w:val="superscript"/>
              </w:rPr>
              <w:t>63</w:t>
            </w:r>
            <w:r>
              <w:rPr>
                <w:rFonts w:hint="eastAsia" w:ascii="宋体" w:hAnsi="宋体" w:eastAsia="宋体" w:cs="宋体"/>
                <w:i w:val="0"/>
                <w:iCs w:val="0"/>
                <w:color w:val="000000"/>
                <w:kern w:val="0"/>
                <w:sz w:val="18"/>
                <w:szCs w:val="18"/>
                <w:u w:val="none"/>
                <w:lang w:val="en-US" w:eastAsia="zh-CN" w:bidi="ar"/>
              </w:rPr>
              <w:fldChar w:fldCharType="end"/>
            </w:r>
          </w:p>
        </w:tc>
        <w:tc>
          <w:tcPr>
            <w:tcW w:w="557" w:type="dxa"/>
            <w:tcBorders>
              <w:tl2br w:val="nil"/>
              <w:tr2bl w:val="nil"/>
            </w:tcBorders>
            <w:shd w:val="clear" w:color="auto" w:fill="auto"/>
            <w:noWrap/>
            <w:vAlign w:val="center"/>
          </w:tcPr>
          <w:p w14:paraId="6581C3D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78" w:type="dxa"/>
            <w:tcBorders>
              <w:tl2br w:val="nil"/>
              <w:tr2bl w:val="nil"/>
            </w:tcBorders>
            <w:shd w:val="clear" w:color="auto" w:fill="auto"/>
            <w:noWrap/>
            <w:vAlign w:val="center"/>
          </w:tcPr>
          <w:p w14:paraId="5CC57DE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00" w:type="dxa"/>
            <w:tcBorders>
              <w:tl2br w:val="nil"/>
              <w:tr2bl w:val="nil"/>
            </w:tcBorders>
            <w:shd w:val="clear" w:color="auto" w:fill="auto"/>
            <w:noWrap/>
            <w:vAlign w:val="center"/>
          </w:tcPr>
          <w:p w14:paraId="229A42B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701B2DF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556" w:type="dxa"/>
            <w:tcBorders>
              <w:tl2br w:val="nil"/>
              <w:tr2bl w:val="nil"/>
            </w:tcBorders>
            <w:shd w:val="clear" w:color="auto" w:fill="auto"/>
            <w:noWrap/>
            <w:vAlign w:val="center"/>
          </w:tcPr>
          <w:p w14:paraId="6BF5D80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53A2889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00" w:type="dxa"/>
            <w:tcBorders>
              <w:tl2br w:val="nil"/>
              <w:tr2bl w:val="nil"/>
            </w:tcBorders>
            <w:shd w:val="clear" w:color="auto" w:fill="auto"/>
            <w:noWrap/>
            <w:vAlign w:val="center"/>
          </w:tcPr>
          <w:p w14:paraId="3FF9B6B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6B340DC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611" w:type="dxa"/>
            <w:tcBorders>
              <w:tl2br w:val="nil"/>
              <w:tr2bl w:val="nil"/>
            </w:tcBorders>
            <w:shd w:val="clear" w:color="auto" w:fill="auto"/>
            <w:noWrap/>
            <w:vAlign w:val="center"/>
          </w:tcPr>
          <w:p w14:paraId="7AD2A6F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44" w:type="dxa"/>
            <w:tcBorders>
              <w:tl2br w:val="nil"/>
              <w:tr2bl w:val="nil"/>
            </w:tcBorders>
            <w:shd w:val="clear" w:color="auto" w:fill="auto"/>
            <w:noWrap/>
            <w:vAlign w:val="center"/>
          </w:tcPr>
          <w:p w14:paraId="27EC52C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654" w:type="dxa"/>
            <w:tcBorders>
              <w:tl2br w:val="nil"/>
              <w:tr2bl w:val="nil"/>
            </w:tcBorders>
            <w:shd w:val="clear" w:color="auto" w:fill="auto"/>
            <w:noWrap/>
            <w:vAlign w:val="center"/>
          </w:tcPr>
          <w:p w14:paraId="201F79D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w:t>
            </w:r>
          </w:p>
        </w:tc>
        <w:tc>
          <w:tcPr>
            <w:tcW w:w="799" w:type="dxa"/>
            <w:tcBorders>
              <w:tl2br w:val="nil"/>
              <w:tr2bl w:val="nil"/>
            </w:tcBorders>
            <w:shd w:val="clear" w:color="auto" w:fill="auto"/>
            <w:noWrap/>
            <w:vAlign w:val="center"/>
          </w:tcPr>
          <w:p w14:paraId="328D79E5">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1368" w:type="dxa"/>
            <w:tcBorders>
              <w:tl2br w:val="nil"/>
              <w:tr2bl w:val="nil"/>
            </w:tcBorders>
            <w:shd w:val="clear" w:color="auto" w:fill="auto"/>
            <w:noWrap/>
            <w:vAlign w:val="center"/>
          </w:tcPr>
          <w:p w14:paraId="5137F12D">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sz w:val="18"/>
                <w:szCs w:val="18"/>
                <w:u w:val="none"/>
                <w:lang w:val="en-US" w:eastAsia="zh-CN"/>
              </w:rPr>
              <w:t>Moderate</w:t>
            </w:r>
          </w:p>
        </w:tc>
      </w:tr>
    </w:tbl>
    <w:p w14:paraId="0A917232">
      <w:pPr>
        <w:rPr>
          <w:rFonts w:hint="eastAsia"/>
        </w:rPr>
      </w:pPr>
    </w:p>
    <w:p w14:paraId="176108FC">
      <w:pPr>
        <w:rPr>
          <w:rFonts w:hint="eastAsia"/>
        </w:rPr>
      </w:pPr>
    </w:p>
    <w:p w14:paraId="649D15B9">
      <w:pPr>
        <w:rPr>
          <w:rFonts w:hint="eastAsia"/>
        </w:rPr>
      </w:pPr>
    </w:p>
    <w:p w14:paraId="5DF46D56">
      <w:pPr>
        <w:rPr>
          <w:rFonts w:hint="eastAsia"/>
        </w:rPr>
      </w:pPr>
    </w:p>
    <w:p w14:paraId="1646890F">
      <w:pPr>
        <w:rPr>
          <w:rFonts w:hint="eastAsia"/>
        </w:rPr>
      </w:pPr>
    </w:p>
    <w:p w14:paraId="6F19A6E6">
      <w:pPr>
        <w:rPr>
          <w:rFonts w:hint="eastAsia"/>
        </w:rPr>
      </w:pPr>
    </w:p>
    <w:p w14:paraId="636ACBB8">
      <w:pPr>
        <w:rPr>
          <w:rFonts w:hint="eastAsia"/>
        </w:rPr>
      </w:pPr>
    </w:p>
    <w:p w14:paraId="10140159">
      <w:pPr>
        <w:rPr>
          <w:rFonts w:hint="eastAsia"/>
        </w:rPr>
      </w:pPr>
    </w:p>
    <w:p w14:paraId="6A0E6E09">
      <w:pPr>
        <w:rPr>
          <w:rFonts w:hint="eastAsia"/>
        </w:rPr>
      </w:pPr>
    </w:p>
    <w:p w14:paraId="09A7B1E6">
      <w:pPr>
        <w:rPr>
          <w:rFonts w:hint="eastAsia"/>
        </w:rPr>
      </w:pPr>
    </w:p>
    <w:p w14:paraId="427C0BC8">
      <w:pPr>
        <w:rPr>
          <w:rFonts w:hint="eastAsia"/>
        </w:rPr>
      </w:pPr>
    </w:p>
    <w:p w14:paraId="3D65CE53">
      <w:pPr>
        <w:rPr>
          <w:rFonts w:hint="eastAsia"/>
        </w:rPr>
      </w:pPr>
    </w:p>
    <w:p w14:paraId="6A9A886B">
      <w:pPr>
        <w:rPr>
          <w:rFonts w:hint="eastAsia"/>
        </w:rPr>
      </w:pPr>
    </w:p>
    <w:p w14:paraId="1D7ECF01">
      <w:pPr>
        <w:rPr>
          <w:rFonts w:hint="eastAsia"/>
        </w:rPr>
      </w:pPr>
    </w:p>
    <w:p w14:paraId="61736C12">
      <w:pPr>
        <w:rPr>
          <w:rFonts w:hint="eastAsia"/>
        </w:rPr>
      </w:pPr>
    </w:p>
    <w:p w14:paraId="24B3C29B">
      <w:pPr>
        <w:rPr>
          <w:rFonts w:hint="eastAsia"/>
        </w:rPr>
      </w:pPr>
    </w:p>
    <w:p w14:paraId="1E849EEE">
      <w:pPr>
        <w:rPr>
          <w:rFonts w:hint="eastAsia"/>
        </w:rPr>
      </w:pPr>
    </w:p>
    <w:p w14:paraId="04C7CA90">
      <w:pPr>
        <w:rPr>
          <w:rFonts w:hint="eastAsia"/>
        </w:rPr>
      </w:pPr>
    </w:p>
    <w:p w14:paraId="02E89DB6">
      <w:pPr>
        <w:rPr>
          <w:rFonts w:hint="eastAsia"/>
        </w:rPr>
      </w:pPr>
    </w:p>
    <w:p w14:paraId="12BB04DF">
      <w:pPr>
        <w:rPr>
          <w:rFonts w:hint="eastAsia"/>
        </w:rPr>
      </w:pPr>
    </w:p>
    <w:p w14:paraId="42F936BA">
      <w:pPr>
        <w:rPr>
          <w:rFonts w:hint="eastAsia"/>
        </w:rPr>
      </w:pPr>
    </w:p>
    <w:p w14:paraId="65801F9B">
      <w:pPr>
        <w:rPr>
          <w:rFonts w:hint="eastAsia"/>
        </w:rPr>
      </w:pPr>
    </w:p>
    <w:p w14:paraId="28D71233">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Supplementary Table </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p>
    <w:p w14:paraId="49B20932">
      <w:pPr>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Results of Subgroup Analysis</w:t>
      </w:r>
      <w:r>
        <w:rPr>
          <w:rFonts w:hint="eastAsia" w:ascii="Times New Roman" w:hAnsi="Times New Roman" w:eastAsia="宋体" w:cs="Times New Roman"/>
          <w:sz w:val="24"/>
          <w:szCs w:val="24"/>
          <w:lang w:val="en-US" w:eastAsia="zh-CN"/>
        </w:rPr>
        <w:t>.</w:t>
      </w:r>
    </w:p>
    <w:tbl>
      <w:tblPr>
        <w:tblStyle w:val="3"/>
        <w:tblpPr w:leftFromText="180" w:rightFromText="180" w:vertAnchor="text" w:horzAnchor="page" w:tblpXSpec="center" w:tblpY="248"/>
        <w:tblOverlap w:val="never"/>
        <w:tblW w:w="11538"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37"/>
        <w:gridCol w:w="1"/>
        <w:gridCol w:w="2117"/>
        <w:gridCol w:w="3"/>
        <w:gridCol w:w="1290"/>
        <w:gridCol w:w="2665"/>
        <w:gridCol w:w="3"/>
        <w:gridCol w:w="1332"/>
        <w:gridCol w:w="3"/>
        <w:gridCol w:w="1169"/>
        <w:gridCol w:w="2"/>
        <w:gridCol w:w="1816"/>
      </w:tblGrid>
      <w:tr w14:paraId="0D46ED5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jc w:val="center"/>
        </w:trPr>
        <w:tc>
          <w:tcPr>
            <w:tcW w:w="3258" w:type="dxa"/>
            <w:gridSpan w:val="4"/>
            <w:tcBorders>
              <w:bottom w:val="single" w:color="auto" w:sz="6" w:space="0"/>
            </w:tcBorders>
            <w:shd w:val="clear" w:color="auto" w:fill="auto"/>
            <w:noWrap/>
            <w:vAlign w:val="center"/>
          </w:tcPr>
          <w:p w14:paraId="119C00CC">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p>
          <w:p w14:paraId="388F4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1" name="图片_1"/>
                  <wp:cNvGraphicFramePr/>
                  <a:graphic xmlns:a="http://schemas.openxmlformats.org/drawingml/2006/main">
                    <a:graphicData uri="http://schemas.openxmlformats.org/drawingml/2006/picture">
                      <pic:pic xmlns:pic="http://schemas.openxmlformats.org/drawingml/2006/picture">
                        <pic:nvPicPr>
                          <pic:cNvPr id="61" name="图片_1"/>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2" name="图片_14"/>
                  <wp:cNvGraphicFramePr/>
                  <a:graphic xmlns:a="http://schemas.openxmlformats.org/drawingml/2006/main">
                    <a:graphicData uri="http://schemas.openxmlformats.org/drawingml/2006/picture">
                      <pic:pic xmlns:pic="http://schemas.openxmlformats.org/drawingml/2006/picture">
                        <pic:nvPicPr>
                          <pic:cNvPr id="62" name="图片_14"/>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3" name="图片_15"/>
                  <wp:cNvGraphicFramePr/>
                  <a:graphic xmlns:a="http://schemas.openxmlformats.org/drawingml/2006/main">
                    <a:graphicData uri="http://schemas.openxmlformats.org/drawingml/2006/picture">
                      <pic:pic xmlns:pic="http://schemas.openxmlformats.org/drawingml/2006/picture">
                        <pic:nvPicPr>
                          <pic:cNvPr id="63" name="图片_15"/>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4" name="图片_28"/>
                  <wp:cNvGraphicFramePr/>
                  <a:graphic xmlns:a="http://schemas.openxmlformats.org/drawingml/2006/main">
                    <a:graphicData uri="http://schemas.openxmlformats.org/drawingml/2006/picture">
                      <pic:pic xmlns:pic="http://schemas.openxmlformats.org/drawingml/2006/picture">
                        <pic:nvPicPr>
                          <pic:cNvPr id="64" name="图片_28"/>
                          <pic:cNvPicPr/>
                        </pic:nvPicPr>
                        <pic:blipFill>
                          <a:blip r:embed="rId5"/>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5" name="图片_29"/>
                  <wp:cNvGraphicFramePr/>
                  <a:graphic xmlns:a="http://schemas.openxmlformats.org/drawingml/2006/main">
                    <a:graphicData uri="http://schemas.openxmlformats.org/drawingml/2006/picture">
                      <pic:pic xmlns:pic="http://schemas.openxmlformats.org/drawingml/2006/picture">
                        <pic:nvPicPr>
                          <pic:cNvPr id="65" name="图片_29"/>
                          <pic:cNvPicPr/>
                        </pic:nvPicPr>
                        <pic:blipFill>
                          <a:blip r:embed="rId5"/>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6" name="图片_26"/>
                  <wp:cNvGraphicFramePr/>
                  <a:graphic xmlns:a="http://schemas.openxmlformats.org/drawingml/2006/main">
                    <a:graphicData uri="http://schemas.openxmlformats.org/drawingml/2006/picture">
                      <pic:pic xmlns:pic="http://schemas.openxmlformats.org/drawingml/2006/picture">
                        <pic:nvPicPr>
                          <pic:cNvPr id="66" name="图片_26"/>
                          <pic:cNvPicPr/>
                        </pic:nvPicPr>
                        <pic:blipFill>
                          <a:blip r:embed="rId5"/>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7" name="图片_5"/>
                  <wp:cNvGraphicFramePr/>
                  <a:graphic xmlns:a="http://schemas.openxmlformats.org/drawingml/2006/main">
                    <a:graphicData uri="http://schemas.openxmlformats.org/drawingml/2006/picture">
                      <pic:pic xmlns:pic="http://schemas.openxmlformats.org/drawingml/2006/picture">
                        <pic:nvPicPr>
                          <pic:cNvPr id="67" name="图片_5"/>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8" name="图片_10"/>
                  <wp:cNvGraphicFramePr/>
                  <a:graphic xmlns:a="http://schemas.openxmlformats.org/drawingml/2006/main">
                    <a:graphicData uri="http://schemas.openxmlformats.org/drawingml/2006/picture">
                      <pic:pic xmlns:pic="http://schemas.openxmlformats.org/drawingml/2006/picture">
                        <pic:nvPicPr>
                          <pic:cNvPr id="68" name="图片_10"/>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69" name="图片_11"/>
                  <wp:cNvGraphicFramePr/>
                  <a:graphic xmlns:a="http://schemas.openxmlformats.org/drawingml/2006/main">
                    <a:graphicData uri="http://schemas.openxmlformats.org/drawingml/2006/picture">
                      <pic:pic xmlns:pic="http://schemas.openxmlformats.org/drawingml/2006/picture">
                        <pic:nvPicPr>
                          <pic:cNvPr id="69" name="图片_11"/>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70" name="图片_22"/>
                  <wp:cNvGraphicFramePr/>
                  <a:graphic xmlns:a="http://schemas.openxmlformats.org/drawingml/2006/main">
                    <a:graphicData uri="http://schemas.openxmlformats.org/drawingml/2006/picture">
                      <pic:pic xmlns:pic="http://schemas.openxmlformats.org/drawingml/2006/picture">
                        <pic:nvPicPr>
                          <pic:cNvPr id="70" name="图片_22"/>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71" name="图片_9"/>
                  <wp:cNvGraphicFramePr/>
                  <a:graphic xmlns:a="http://schemas.openxmlformats.org/drawingml/2006/main">
                    <a:graphicData uri="http://schemas.openxmlformats.org/drawingml/2006/picture">
                      <pic:pic xmlns:pic="http://schemas.openxmlformats.org/drawingml/2006/picture">
                        <pic:nvPicPr>
                          <pic:cNvPr id="71" name="图片_9"/>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43840" cy="243840"/>
                  <wp:effectExtent l="0" t="0" r="0" b="0"/>
                  <wp:wrapNone/>
                  <wp:docPr id="72" name="图片_18"/>
                  <wp:cNvGraphicFramePr/>
                  <a:graphic xmlns:a="http://schemas.openxmlformats.org/drawingml/2006/main">
                    <a:graphicData uri="http://schemas.openxmlformats.org/drawingml/2006/picture">
                      <pic:pic xmlns:pic="http://schemas.openxmlformats.org/drawingml/2006/picture">
                        <pic:nvPicPr>
                          <pic:cNvPr id="72" name="图片_18"/>
                          <pic:cNvPicPr/>
                        </pic:nvPicPr>
                        <pic:blipFill>
                          <a:blip r:embed="rId5"/>
                          <a:stretch>
                            <a:fillRect/>
                          </a:stretch>
                        </pic:blipFill>
                        <pic:spPr>
                          <a:xfrm>
                            <a:off x="0" y="0"/>
                            <a:ext cx="243840" cy="243840"/>
                          </a:xfrm>
                          <a:prstGeom prst="rect">
                            <a:avLst/>
                          </a:prstGeom>
                          <a:noFill/>
                          <a:ln>
                            <a:noFill/>
                          </a:ln>
                        </pic:spPr>
                      </pic:pic>
                    </a:graphicData>
                  </a:graphic>
                </wp:anchor>
              </w:drawing>
            </w:r>
          </w:p>
        </w:tc>
        <w:tc>
          <w:tcPr>
            <w:tcW w:w="1290" w:type="dxa"/>
            <w:tcBorders>
              <w:bottom w:val="single" w:color="auto" w:sz="6" w:space="0"/>
            </w:tcBorders>
            <w:shd w:val="clear" w:color="auto" w:fill="auto"/>
            <w:noWrap/>
            <w:vAlign w:val="center"/>
          </w:tcPr>
          <w:p w14:paraId="4A44B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w:t>
            </w:r>
          </w:p>
        </w:tc>
        <w:tc>
          <w:tcPr>
            <w:tcW w:w="2668" w:type="dxa"/>
            <w:gridSpan w:val="2"/>
            <w:tcBorders>
              <w:bottom w:val="single" w:color="auto" w:sz="6" w:space="0"/>
            </w:tcBorders>
            <w:shd w:val="clear" w:color="auto" w:fill="auto"/>
            <w:noWrap/>
            <w:vAlign w:val="center"/>
          </w:tcPr>
          <w:p w14:paraId="5CD337E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ES (95%CI)</w:t>
            </w:r>
          </w:p>
        </w:tc>
        <w:tc>
          <w:tcPr>
            <w:tcW w:w="1335" w:type="dxa"/>
            <w:gridSpan w:val="2"/>
            <w:tcBorders>
              <w:bottom w:val="single" w:color="auto" w:sz="6" w:space="0"/>
            </w:tcBorders>
            <w:shd w:val="clear" w:color="auto" w:fill="auto"/>
            <w:noWrap/>
            <w:vAlign w:val="center"/>
          </w:tcPr>
          <w:p w14:paraId="2A9D26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%Weight</w:t>
            </w:r>
          </w:p>
        </w:tc>
        <w:tc>
          <w:tcPr>
            <w:tcW w:w="1171" w:type="dxa"/>
            <w:gridSpan w:val="2"/>
            <w:tcBorders>
              <w:bottom w:val="single" w:color="auto" w:sz="6" w:space="0"/>
            </w:tcBorders>
            <w:shd w:val="clear" w:color="auto" w:fill="auto"/>
            <w:noWrap/>
            <w:vAlign w:val="center"/>
          </w:tcPr>
          <w:p w14:paraId="7CFCC2F1">
            <w:pPr>
              <w:keepNext w:val="0"/>
              <w:keepLines w:val="0"/>
              <w:widowControl/>
              <w:suppressLineNumbers w:val="0"/>
              <w:ind w:firstLine="180"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I²</w:t>
            </w:r>
          </w:p>
        </w:tc>
        <w:tc>
          <w:tcPr>
            <w:tcW w:w="1816" w:type="dxa"/>
            <w:tcBorders>
              <w:bottom w:val="single" w:color="auto" w:sz="6" w:space="0"/>
            </w:tcBorders>
            <w:shd w:val="clear" w:color="auto" w:fill="auto"/>
            <w:noWrap/>
            <w:vAlign w:val="center"/>
          </w:tcPr>
          <w:p w14:paraId="72847A1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Between group p</w:t>
            </w:r>
          </w:p>
        </w:tc>
      </w:tr>
      <w:tr w14:paraId="3A8871F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jc w:val="center"/>
        </w:trPr>
        <w:tc>
          <w:tcPr>
            <w:tcW w:w="11538" w:type="dxa"/>
            <w:gridSpan w:val="12"/>
            <w:tcBorders>
              <w:top w:val="single" w:color="auto" w:sz="6" w:space="0"/>
              <w:tl2br w:val="nil"/>
              <w:tr2bl w:val="nil"/>
            </w:tcBorders>
            <w:shd w:val="clear" w:color="auto" w:fill="auto"/>
            <w:noWrap/>
            <w:vAlign w:val="center"/>
          </w:tcPr>
          <w:p w14:paraId="2875FFBC">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Countermovement jump height （10-12.99 years）</w:t>
            </w:r>
          </w:p>
        </w:tc>
      </w:tr>
      <w:tr w14:paraId="21A9EF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1F652E28">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Duration</w:t>
            </w:r>
          </w:p>
        </w:tc>
        <w:tc>
          <w:tcPr>
            <w:tcW w:w="2120" w:type="dxa"/>
            <w:gridSpan w:val="2"/>
            <w:tcBorders>
              <w:tl2br w:val="nil"/>
              <w:tr2bl w:val="nil"/>
            </w:tcBorders>
            <w:shd w:val="clear" w:color="auto" w:fill="auto"/>
            <w:noWrap/>
            <w:vAlign w:val="center"/>
          </w:tcPr>
          <w:p w14:paraId="195CE47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kern w:val="2"/>
                <w:sz w:val="18"/>
                <w:szCs w:val="18"/>
                <w:u w:val="none"/>
                <w:lang w:val="en-US" w:eastAsia="zh-CN" w:bidi="ar-SA"/>
              </w:rPr>
              <w:t>＞8 weeks</w:t>
            </w:r>
          </w:p>
        </w:tc>
        <w:tc>
          <w:tcPr>
            <w:tcW w:w="1290" w:type="dxa"/>
            <w:tcBorders>
              <w:tl2br w:val="nil"/>
              <w:tr2bl w:val="nil"/>
            </w:tcBorders>
            <w:shd w:val="clear" w:color="auto" w:fill="auto"/>
            <w:noWrap/>
            <w:vAlign w:val="center"/>
          </w:tcPr>
          <w:p w14:paraId="505AD038">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w:t>
            </w:r>
          </w:p>
        </w:tc>
        <w:tc>
          <w:tcPr>
            <w:tcW w:w="2668" w:type="dxa"/>
            <w:gridSpan w:val="2"/>
            <w:tcBorders>
              <w:tl2br w:val="nil"/>
              <w:tr2bl w:val="nil"/>
            </w:tcBorders>
            <w:shd w:val="clear" w:color="auto" w:fill="auto"/>
            <w:noWrap/>
            <w:vAlign w:val="center"/>
          </w:tcPr>
          <w:p w14:paraId="65AA03E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2"/>
                <w:sz w:val="18"/>
                <w:szCs w:val="18"/>
                <w:u w:val="none"/>
                <w:lang w:val="en-US" w:eastAsia="zh-CN" w:bidi="ar-SA"/>
              </w:rPr>
              <w:t>1.244</w:t>
            </w:r>
            <w:r>
              <w:rPr>
                <w:rFonts w:hint="eastAsia" w:ascii="宋体" w:hAnsi="宋体" w:eastAsia="宋体" w:cs="宋体"/>
                <w:i w:val="0"/>
                <w:iCs w:val="0"/>
                <w:color w:val="000000"/>
                <w:sz w:val="18"/>
                <w:szCs w:val="18"/>
                <w:u w:val="none"/>
                <w:lang w:val="en-US" w:eastAsia="zh-CN"/>
              </w:rPr>
              <w:t>(0.122 to 2.367)</w:t>
            </w:r>
          </w:p>
        </w:tc>
        <w:tc>
          <w:tcPr>
            <w:tcW w:w="1335" w:type="dxa"/>
            <w:gridSpan w:val="2"/>
            <w:tcBorders>
              <w:tl2br w:val="nil"/>
              <w:tr2bl w:val="nil"/>
            </w:tcBorders>
            <w:shd w:val="clear" w:color="auto" w:fill="auto"/>
            <w:noWrap/>
            <w:vAlign w:val="center"/>
          </w:tcPr>
          <w:p w14:paraId="0B1EDEF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2"/>
                <w:sz w:val="18"/>
                <w:szCs w:val="18"/>
                <w:u w:val="none"/>
                <w:lang w:val="en-US" w:eastAsia="zh-CN" w:bidi="ar-SA"/>
              </w:rPr>
              <w:t>41.77</w:t>
            </w:r>
          </w:p>
        </w:tc>
        <w:tc>
          <w:tcPr>
            <w:tcW w:w="1171" w:type="dxa"/>
            <w:gridSpan w:val="2"/>
            <w:tcBorders>
              <w:tl2br w:val="nil"/>
              <w:tr2bl w:val="nil"/>
            </w:tcBorders>
            <w:shd w:val="clear" w:color="auto" w:fill="auto"/>
            <w:noWrap/>
            <w:vAlign w:val="center"/>
          </w:tcPr>
          <w:p w14:paraId="13199587">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2"/>
                <w:sz w:val="18"/>
                <w:szCs w:val="18"/>
                <w:u w:val="none"/>
                <w:lang w:val="en-US" w:eastAsia="zh-CN" w:bidi="ar-SA"/>
              </w:rPr>
              <w:t>89.9</w:t>
            </w:r>
          </w:p>
        </w:tc>
        <w:tc>
          <w:tcPr>
            <w:tcW w:w="1816" w:type="dxa"/>
            <w:vMerge w:val="restart"/>
            <w:tcBorders>
              <w:tl2br w:val="nil"/>
              <w:tr2bl w:val="nil"/>
            </w:tcBorders>
            <w:shd w:val="clear" w:color="auto" w:fill="auto"/>
            <w:noWrap/>
            <w:vAlign w:val="center"/>
          </w:tcPr>
          <w:p w14:paraId="0968E668">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0.133</w:t>
            </w:r>
          </w:p>
        </w:tc>
      </w:tr>
      <w:tr w14:paraId="6AB0327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71A3C252">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p>
        </w:tc>
        <w:tc>
          <w:tcPr>
            <w:tcW w:w="2120" w:type="dxa"/>
            <w:gridSpan w:val="2"/>
            <w:tcBorders>
              <w:tl2br w:val="nil"/>
              <w:tr2bl w:val="nil"/>
            </w:tcBorders>
            <w:shd w:val="clear" w:color="auto" w:fill="auto"/>
            <w:noWrap/>
            <w:vAlign w:val="center"/>
          </w:tcPr>
          <w:p w14:paraId="5C1D49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 weeks</w:t>
            </w:r>
          </w:p>
        </w:tc>
        <w:tc>
          <w:tcPr>
            <w:tcW w:w="1290" w:type="dxa"/>
            <w:tcBorders>
              <w:tl2br w:val="nil"/>
              <w:tr2bl w:val="nil"/>
            </w:tcBorders>
            <w:shd w:val="clear" w:color="auto" w:fill="auto"/>
            <w:noWrap/>
            <w:vAlign w:val="center"/>
          </w:tcPr>
          <w:p w14:paraId="24598B39">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6</w:t>
            </w:r>
          </w:p>
        </w:tc>
        <w:tc>
          <w:tcPr>
            <w:tcW w:w="2668" w:type="dxa"/>
            <w:gridSpan w:val="2"/>
            <w:tcBorders>
              <w:tl2br w:val="nil"/>
              <w:tr2bl w:val="nil"/>
            </w:tcBorders>
            <w:shd w:val="clear" w:color="auto" w:fill="auto"/>
            <w:noWrap/>
            <w:vAlign w:val="center"/>
          </w:tcPr>
          <w:p w14:paraId="4757A357">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0.344(0.004 to 0.685)</w:t>
            </w:r>
          </w:p>
        </w:tc>
        <w:tc>
          <w:tcPr>
            <w:tcW w:w="1335" w:type="dxa"/>
            <w:gridSpan w:val="2"/>
            <w:tcBorders>
              <w:tl2br w:val="nil"/>
              <w:tr2bl w:val="nil"/>
            </w:tcBorders>
            <w:shd w:val="clear" w:color="auto" w:fill="auto"/>
            <w:noWrap/>
            <w:vAlign w:val="center"/>
          </w:tcPr>
          <w:p w14:paraId="75E64965">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58.23</w:t>
            </w:r>
          </w:p>
        </w:tc>
        <w:tc>
          <w:tcPr>
            <w:tcW w:w="1171" w:type="dxa"/>
            <w:gridSpan w:val="2"/>
            <w:tcBorders>
              <w:tl2br w:val="nil"/>
              <w:tr2bl w:val="nil"/>
            </w:tcBorders>
            <w:shd w:val="clear" w:color="auto" w:fill="auto"/>
            <w:noWrap/>
            <w:vAlign w:val="center"/>
          </w:tcPr>
          <w:p w14:paraId="7B84187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continue"/>
            <w:tcBorders>
              <w:tl2br w:val="nil"/>
              <w:tr2bl w:val="nil"/>
            </w:tcBorders>
            <w:shd w:val="clear" w:color="auto" w:fill="auto"/>
            <w:noWrap/>
            <w:vAlign w:val="center"/>
          </w:tcPr>
          <w:p w14:paraId="1983991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p>
        </w:tc>
      </w:tr>
      <w:tr w14:paraId="6F8E6A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3D797F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Sessions</w:t>
            </w:r>
          </w:p>
        </w:tc>
        <w:tc>
          <w:tcPr>
            <w:tcW w:w="2120" w:type="dxa"/>
            <w:gridSpan w:val="2"/>
            <w:tcBorders>
              <w:tl2br w:val="nil"/>
              <w:tr2bl w:val="nil"/>
            </w:tcBorders>
            <w:shd w:val="clear" w:color="auto" w:fill="auto"/>
            <w:noWrap/>
            <w:vAlign w:val="center"/>
          </w:tcPr>
          <w:p w14:paraId="5B1EEF5F">
            <w:pPr>
              <w:keepNext w:val="0"/>
              <w:keepLines w:val="0"/>
              <w:widowControl/>
              <w:suppressLineNumbers w:val="0"/>
              <w:jc w:val="center"/>
              <w:textAlignment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w:t>
            </w:r>
            <w:r>
              <w:rPr>
                <w:rFonts w:hint="default" w:ascii="宋体" w:hAnsi="宋体" w:eastAsia="宋体" w:cs="宋体"/>
                <w:i w:val="0"/>
                <w:iCs w:val="0"/>
                <w:color w:val="000000"/>
                <w:kern w:val="2"/>
                <w:sz w:val="18"/>
                <w:szCs w:val="18"/>
                <w:u w:val="none"/>
                <w:lang w:val="en-US" w:eastAsia="zh-CN" w:bidi="ar-SA"/>
              </w:rPr>
              <w:t xml:space="preserve">8 </w:t>
            </w:r>
            <w:r>
              <w:rPr>
                <w:rFonts w:hint="eastAsia" w:ascii="宋体" w:hAnsi="宋体" w:eastAsia="宋体" w:cs="宋体"/>
                <w:i w:val="0"/>
                <w:iCs w:val="0"/>
                <w:color w:val="000000"/>
                <w:kern w:val="2"/>
                <w:sz w:val="18"/>
                <w:szCs w:val="18"/>
                <w:u w:val="none"/>
                <w:lang w:val="en-US" w:eastAsia="zh-CN" w:bidi="ar-SA"/>
              </w:rPr>
              <w:t>total sessions</w:t>
            </w:r>
          </w:p>
        </w:tc>
        <w:tc>
          <w:tcPr>
            <w:tcW w:w="1290" w:type="dxa"/>
            <w:tcBorders>
              <w:tl2br w:val="nil"/>
              <w:tr2bl w:val="nil"/>
            </w:tcBorders>
            <w:shd w:val="clear" w:color="auto" w:fill="auto"/>
            <w:noWrap/>
            <w:vAlign w:val="center"/>
          </w:tcPr>
          <w:p w14:paraId="7B6EF5BF">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668" w:type="dxa"/>
            <w:gridSpan w:val="2"/>
            <w:tcBorders>
              <w:tl2br w:val="nil"/>
              <w:tr2bl w:val="nil"/>
            </w:tcBorders>
            <w:shd w:val="clear" w:color="auto" w:fill="auto"/>
            <w:noWrap/>
            <w:vAlign w:val="center"/>
          </w:tcPr>
          <w:p w14:paraId="1BCD41B6">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1.01(0.037 to 1.982)</w:t>
            </w:r>
          </w:p>
        </w:tc>
        <w:tc>
          <w:tcPr>
            <w:tcW w:w="1335" w:type="dxa"/>
            <w:gridSpan w:val="2"/>
            <w:tcBorders>
              <w:tl2br w:val="nil"/>
              <w:tr2bl w:val="nil"/>
            </w:tcBorders>
            <w:shd w:val="clear" w:color="auto" w:fill="auto"/>
            <w:noWrap/>
            <w:vAlign w:val="center"/>
          </w:tcPr>
          <w:p w14:paraId="111B4FA6">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52.05</w:t>
            </w:r>
          </w:p>
        </w:tc>
        <w:tc>
          <w:tcPr>
            <w:tcW w:w="1171" w:type="dxa"/>
            <w:gridSpan w:val="2"/>
            <w:tcBorders>
              <w:tl2br w:val="nil"/>
              <w:tr2bl w:val="nil"/>
            </w:tcBorders>
            <w:shd w:val="clear" w:color="auto" w:fill="auto"/>
            <w:noWrap/>
            <w:vAlign w:val="center"/>
          </w:tcPr>
          <w:p w14:paraId="36788BBF">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2"/>
                <w:sz w:val="18"/>
                <w:szCs w:val="18"/>
                <w:u w:val="none"/>
                <w:lang w:val="en-US" w:eastAsia="zh-CN" w:bidi="ar-SA"/>
              </w:rPr>
              <w:t>89</w:t>
            </w:r>
          </w:p>
        </w:tc>
        <w:tc>
          <w:tcPr>
            <w:tcW w:w="1816" w:type="dxa"/>
            <w:vMerge w:val="restart"/>
            <w:tcBorders>
              <w:tl2br w:val="nil"/>
              <w:tr2bl w:val="nil"/>
            </w:tcBorders>
            <w:shd w:val="clear" w:color="auto" w:fill="auto"/>
            <w:noWrap/>
            <w:vAlign w:val="center"/>
          </w:tcPr>
          <w:p w14:paraId="1313F0C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0.265</w:t>
            </w:r>
          </w:p>
        </w:tc>
      </w:tr>
      <w:tr w14:paraId="16FCACB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451D863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p>
        </w:tc>
        <w:tc>
          <w:tcPr>
            <w:tcW w:w="2120" w:type="dxa"/>
            <w:gridSpan w:val="2"/>
            <w:tcBorders>
              <w:tl2br w:val="nil"/>
              <w:tr2bl w:val="nil"/>
            </w:tcBorders>
            <w:shd w:val="clear" w:color="auto" w:fill="auto"/>
            <w:noWrap/>
            <w:vAlign w:val="center"/>
          </w:tcPr>
          <w:p w14:paraId="2D7BEFD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＜18 total sessions</w:t>
            </w:r>
          </w:p>
        </w:tc>
        <w:tc>
          <w:tcPr>
            <w:tcW w:w="1290" w:type="dxa"/>
            <w:tcBorders>
              <w:tl2br w:val="nil"/>
              <w:tr2bl w:val="nil"/>
            </w:tcBorders>
            <w:shd w:val="clear" w:color="auto" w:fill="auto"/>
            <w:noWrap/>
            <w:vAlign w:val="center"/>
          </w:tcPr>
          <w:p w14:paraId="487C56DA">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668" w:type="dxa"/>
            <w:gridSpan w:val="2"/>
            <w:tcBorders>
              <w:tl2br w:val="nil"/>
              <w:tr2bl w:val="nil"/>
            </w:tcBorders>
            <w:shd w:val="clear" w:color="auto" w:fill="auto"/>
            <w:noWrap/>
            <w:vAlign w:val="center"/>
          </w:tcPr>
          <w:p w14:paraId="6C4F3D69">
            <w:pPr>
              <w:jc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lang w:val="en-US" w:eastAsia="zh-CN"/>
              </w:rPr>
              <w:t>0.416(0.034 to 0.798)</w:t>
            </w:r>
          </w:p>
        </w:tc>
        <w:tc>
          <w:tcPr>
            <w:tcW w:w="1335" w:type="dxa"/>
            <w:gridSpan w:val="2"/>
            <w:tcBorders>
              <w:tl2br w:val="nil"/>
              <w:tr2bl w:val="nil"/>
            </w:tcBorders>
            <w:shd w:val="clear" w:color="auto" w:fill="auto"/>
            <w:noWrap/>
            <w:vAlign w:val="center"/>
          </w:tcPr>
          <w:p w14:paraId="6E35703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47.95</w:t>
            </w:r>
          </w:p>
        </w:tc>
        <w:tc>
          <w:tcPr>
            <w:tcW w:w="1171" w:type="dxa"/>
            <w:gridSpan w:val="2"/>
            <w:tcBorders>
              <w:tl2br w:val="nil"/>
              <w:tr2bl w:val="nil"/>
            </w:tcBorders>
            <w:shd w:val="clear" w:color="auto" w:fill="auto"/>
            <w:noWrap/>
            <w:vAlign w:val="center"/>
          </w:tcPr>
          <w:p w14:paraId="77AF008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79.6</w:t>
            </w:r>
          </w:p>
        </w:tc>
        <w:tc>
          <w:tcPr>
            <w:tcW w:w="1816" w:type="dxa"/>
            <w:vMerge w:val="continue"/>
            <w:tcBorders>
              <w:tl2br w:val="nil"/>
              <w:tr2bl w:val="nil"/>
            </w:tcBorders>
            <w:shd w:val="clear" w:color="auto" w:fill="auto"/>
            <w:noWrap/>
            <w:vAlign w:val="center"/>
          </w:tcPr>
          <w:p w14:paraId="35824D22">
            <w:pPr>
              <w:jc w:val="center"/>
              <w:rPr>
                <w:rFonts w:hint="default" w:ascii="宋体" w:hAnsi="宋体" w:eastAsia="宋体" w:cs="宋体"/>
                <w:i w:val="0"/>
                <w:iCs w:val="0"/>
                <w:color w:val="000000"/>
                <w:kern w:val="2"/>
                <w:sz w:val="18"/>
                <w:szCs w:val="18"/>
                <w:u w:val="none"/>
                <w:lang w:val="en-US" w:eastAsia="zh-CN" w:bidi="ar-SA"/>
              </w:rPr>
            </w:pPr>
          </w:p>
        </w:tc>
      </w:tr>
      <w:tr w14:paraId="72E0D2D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12F6946C">
            <w:pP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Countermovement jump height （13-15.99 years）</w:t>
            </w:r>
          </w:p>
        </w:tc>
      </w:tr>
      <w:tr w14:paraId="3151690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5DF71E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Duration</w:t>
            </w:r>
          </w:p>
        </w:tc>
        <w:tc>
          <w:tcPr>
            <w:tcW w:w="2120" w:type="dxa"/>
            <w:gridSpan w:val="2"/>
            <w:tcBorders>
              <w:tl2br w:val="nil"/>
              <w:tr2bl w:val="nil"/>
            </w:tcBorders>
            <w:shd w:val="clear" w:color="auto" w:fill="auto"/>
            <w:noWrap/>
            <w:vAlign w:val="center"/>
          </w:tcPr>
          <w:p w14:paraId="50462393">
            <w:pPr>
              <w:keepNext w:val="0"/>
              <w:keepLines w:val="0"/>
              <w:widowControl/>
              <w:suppressLineNumbers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7.5</w:t>
            </w:r>
            <w:r>
              <w:rPr>
                <w:rFonts w:hint="default" w:ascii="宋体" w:hAnsi="宋体" w:eastAsia="宋体" w:cs="宋体"/>
                <w:i w:val="0"/>
                <w:iCs w:val="0"/>
                <w:color w:val="000000"/>
                <w:kern w:val="2"/>
                <w:sz w:val="18"/>
                <w:szCs w:val="18"/>
                <w:u w:val="none"/>
                <w:lang w:val="en-US" w:eastAsia="zh-CN" w:bidi="ar-SA"/>
              </w:rPr>
              <w:t xml:space="preserve"> weeks</w:t>
            </w:r>
          </w:p>
        </w:tc>
        <w:tc>
          <w:tcPr>
            <w:tcW w:w="1290" w:type="dxa"/>
            <w:tcBorders>
              <w:tl2br w:val="nil"/>
              <w:tr2bl w:val="nil"/>
            </w:tcBorders>
            <w:shd w:val="clear" w:color="auto" w:fill="auto"/>
            <w:noWrap/>
            <w:vAlign w:val="center"/>
          </w:tcPr>
          <w:p w14:paraId="39DECB2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w:t>
            </w:r>
          </w:p>
        </w:tc>
        <w:tc>
          <w:tcPr>
            <w:tcW w:w="2668" w:type="dxa"/>
            <w:gridSpan w:val="2"/>
            <w:tcBorders>
              <w:tl2br w:val="nil"/>
              <w:tr2bl w:val="nil"/>
            </w:tcBorders>
            <w:shd w:val="clear" w:color="auto" w:fill="auto"/>
            <w:noWrap/>
            <w:vAlign w:val="center"/>
          </w:tcPr>
          <w:p w14:paraId="4A748FF7">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0.868(0.4 to 1.335)</w:t>
            </w:r>
          </w:p>
        </w:tc>
        <w:tc>
          <w:tcPr>
            <w:tcW w:w="1335" w:type="dxa"/>
            <w:gridSpan w:val="2"/>
            <w:tcBorders>
              <w:tl2br w:val="nil"/>
              <w:tr2bl w:val="nil"/>
            </w:tcBorders>
            <w:shd w:val="clear" w:color="auto" w:fill="auto"/>
            <w:noWrap/>
            <w:vAlign w:val="center"/>
          </w:tcPr>
          <w:p w14:paraId="4B3809C2">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37.92</w:t>
            </w:r>
          </w:p>
        </w:tc>
        <w:tc>
          <w:tcPr>
            <w:tcW w:w="1171" w:type="dxa"/>
            <w:gridSpan w:val="2"/>
            <w:tcBorders>
              <w:tl2br w:val="nil"/>
              <w:tr2bl w:val="nil"/>
            </w:tcBorders>
            <w:shd w:val="clear" w:color="auto" w:fill="auto"/>
            <w:noWrap/>
            <w:vAlign w:val="center"/>
          </w:tcPr>
          <w:p w14:paraId="750257C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42</w:t>
            </w:r>
          </w:p>
        </w:tc>
        <w:tc>
          <w:tcPr>
            <w:tcW w:w="1816" w:type="dxa"/>
            <w:vMerge w:val="restart"/>
            <w:tcBorders>
              <w:tl2br w:val="nil"/>
              <w:tr2bl w:val="nil"/>
            </w:tcBorders>
            <w:shd w:val="clear" w:color="auto" w:fill="auto"/>
            <w:noWrap/>
            <w:vAlign w:val="center"/>
          </w:tcPr>
          <w:p w14:paraId="0152F1D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0.052</w:t>
            </w:r>
          </w:p>
        </w:tc>
      </w:tr>
      <w:tr w14:paraId="3C38E69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716C958D">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21598A02">
            <w:pPr>
              <w:keepNext w:val="0"/>
              <w:keepLines w:val="0"/>
              <w:widowControl/>
              <w:suppressLineNumbers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≤7.5 weeks</w:t>
            </w:r>
          </w:p>
        </w:tc>
        <w:tc>
          <w:tcPr>
            <w:tcW w:w="1290" w:type="dxa"/>
            <w:tcBorders>
              <w:tl2br w:val="nil"/>
              <w:tr2bl w:val="nil"/>
            </w:tcBorders>
            <w:shd w:val="clear" w:color="auto" w:fill="auto"/>
            <w:noWrap/>
            <w:vAlign w:val="center"/>
          </w:tcPr>
          <w:p w14:paraId="33B8ED76">
            <w:pPr>
              <w:jc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7</w:t>
            </w:r>
          </w:p>
        </w:tc>
        <w:tc>
          <w:tcPr>
            <w:tcW w:w="2668" w:type="dxa"/>
            <w:gridSpan w:val="2"/>
            <w:tcBorders>
              <w:tl2br w:val="nil"/>
              <w:tr2bl w:val="nil"/>
            </w:tcBorders>
            <w:shd w:val="clear" w:color="auto" w:fill="auto"/>
            <w:noWrap/>
            <w:vAlign w:val="center"/>
          </w:tcPr>
          <w:p w14:paraId="65C07DB7">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0.336(0.071 to 0.601)</w:t>
            </w:r>
          </w:p>
        </w:tc>
        <w:tc>
          <w:tcPr>
            <w:tcW w:w="1335" w:type="dxa"/>
            <w:gridSpan w:val="2"/>
            <w:tcBorders>
              <w:tl2br w:val="nil"/>
              <w:tr2bl w:val="nil"/>
            </w:tcBorders>
            <w:shd w:val="clear" w:color="auto" w:fill="auto"/>
            <w:noWrap/>
            <w:vAlign w:val="center"/>
          </w:tcPr>
          <w:p w14:paraId="7CBAA731">
            <w:pPr>
              <w:jc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62.08</w:t>
            </w:r>
          </w:p>
        </w:tc>
        <w:tc>
          <w:tcPr>
            <w:tcW w:w="1171" w:type="dxa"/>
            <w:gridSpan w:val="2"/>
            <w:tcBorders>
              <w:tl2br w:val="nil"/>
              <w:tr2bl w:val="nil"/>
            </w:tcBorders>
            <w:shd w:val="clear" w:color="auto" w:fill="auto"/>
            <w:noWrap/>
            <w:vAlign w:val="center"/>
          </w:tcPr>
          <w:p w14:paraId="52C8292A">
            <w:pPr>
              <w:jc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0</w:t>
            </w:r>
          </w:p>
        </w:tc>
        <w:tc>
          <w:tcPr>
            <w:tcW w:w="1816" w:type="dxa"/>
            <w:vMerge w:val="continue"/>
            <w:tcBorders>
              <w:tl2br w:val="nil"/>
              <w:tr2bl w:val="nil"/>
            </w:tcBorders>
            <w:shd w:val="clear" w:color="auto" w:fill="auto"/>
            <w:noWrap/>
            <w:vAlign w:val="center"/>
          </w:tcPr>
          <w:p w14:paraId="2A315FD1">
            <w:pPr>
              <w:keepNext w:val="0"/>
              <w:keepLines w:val="0"/>
              <w:widowControl/>
              <w:suppressLineNumbers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p>
        </w:tc>
      </w:tr>
      <w:tr w14:paraId="461230C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1BDD12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Sessions</w:t>
            </w:r>
          </w:p>
        </w:tc>
        <w:tc>
          <w:tcPr>
            <w:tcW w:w="2120" w:type="dxa"/>
            <w:gridSpan w:val="2"/>
            <w:tcBorders>
              <w:tl2br w:val="nil"/>
              <w:tr2bl w:val="nil"/>
            </w:tcBorders>
            <w:shd w:val="clear" w:color="auto" w:fill="auto"/>
            <w:noWrap/>
            <w:vAlign w:val="center"/>
          </w:tcPr>
          <w:p w14:paraId="355DDDE0">
            <w:pPr>
              <w:keepNext w:val="0"/>
              <w:keepLines w:val="0"/>
              <w:widowControl/>
              <w:suppressLineNumbers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15</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0" w:type="dxa"/>
            <w:tcBorders>
              <w:tl2br w:val="nil"/>
              <w:tr2bl w:val="nil"/>
            </w:tcBorders>
            <w:shd w:val="clear" w:color="auto" w:fill="auto"/>
            <w:noWrap/>
            <w:vAlign w:val="center"/>
          </w:tcPr>
          <w:p w14:paraId="04DACB9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w:t>
            </w:r>
          </w:p>
        </w:tc>
        <w:tc>
          <w:tcPr>
            <w:tcW w:w="2668" w:type="dxa"/>
            <w:gridSpan w:val="2"/>
            <w:tcBorders>
              <w:tl2br w:val="nil"/>
              <w:tr2bl w:val="nil"/>
            </w:tcBorders>
            <w:shd w:val="clear" w:color="auto" w:fill="auto"/>
            <w:noWrap/>
            <w:vAlign w:val="center"/>
          </w:tcPr>
          <w:p w14:paraId="7C7E388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0.868(0.4 to 1.335)</w:t>
            </w:r>
          </w:p>
        </w:tc>
        <w:tc>
          <w:tcPr>
            <w:tcW w:w="1335" w:type="dxa"/>
            <w:gridSpan w:val="2"/>
            <w:tcBorders>
              <w:tl2br w:val="nil"/>
              <w:tr2bl w:val="nil"/>
            </w:tcBorders>
            <w:shd w:val="clear" w:color="auto" w:fill="auto"/>
            <w:noWrap/>
            <w:vAlign w:val="center"/>
          </w:tcPr>
          <w:p w14:paraId="7424A3D0">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37.92</w:t>
            </w:r>
          </w:p>
        </w:tc>
        <w:tc>
          <w:tcPr>
            <w:tcW w:w="1171" w:type="dxa"/>
            <w:gridSpan w:val="2"/>
            <w:tcBorders>
              <w:tl2br w:val="nil"/>
              <w:tr2bl w:val="nil"/>
            </w:tcBorders>
            <w:shd w:val="clear" w:color="auto" w:fill="auto"/>
            <w:noWrap/>
            <w:vAlign w:val="center"/>
          </w:tcPr>
          <w:p w14:paraId="02F2B803">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42</w:t>
            </w:r>
          </w:p>
        </w:tc>
        <w:tc>
          <w:tcPr>
            <w:tcW w:w="1816" w:type="dxa"/>
            <w:vMerge w:val="restart"/>
            <w:tcBorders>
              <w:tl2br w:val="nil"/>
              <w:tr2bl w:val="nil"/>
            </w:tcBorders>
            <w:shd w:val="clear" w:color="auto" w:fill="auto"/>
            <w:noWrap/>
            <w:vAlign w:val="center"/>
          </w:tcPr>
          <w:p w14:paraId="31F23B1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0.052</w:t>
            </w:r>
          </w:p>
        </w:tc>
      </w:tr>
      <w:tr w14:paraId="0470321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4B0B0055">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3F81188E">
            <w:pPr>
              <w:keepNext w:val="0"/>
              <w:keepLines w:val="0"/>
              <w:widowControl/>
              <w:suppressLineNumbers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≤15 total sessions</w:t>
            </w:r>
          </w:p>
        </w:tc>
        <w:tc>
          <w:tcPr>
            <w:tcW w:w="1290" w:type="dxa"/>
            <w:tcBorders>
              <w:tl2br w:val="nil"/>
              <w:tr2bl w:val="nil"/>
            </w:tcBorders>
            <w:shd w:val="clear" w:color="auto" w:fill="auto"/>
            <w:noWrap/>
            <w:vAlign w:val="center"/>
          </w:tcPr>
          <w:p w14:paraId="571BEA60">
            <w:pPr>
              <w:jc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7</w:t>
            </w:r>
          </w:p>
        </w:tc>
        <w:tc>
          <w:tcPr>
            <w:tcW w:w="2668" w:type="dxa"/>
            <w:gridSpan w:val="2"/>
            <w:tcBorders>
              <w:tl2br w:val="nil"/>
              <w:tr2bl w:val="nil"/>
            </w:tcBorders>
            <w:shd w:val="clear" w:color="auto" w:fill="auto"/>
            <w:noWrap/>
            <w:vAlign w:val="center"/>
          </w:tcPr>
          <w:p w14:paraId="6A92FC7B">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0.336(0.071 to 0.601)</w:t>
            </w:r>
          </w:p>
        </w:tc>
        <w:tc>
          <w:tcPr>
            <w:tcW w:w="1335" w:type="dxa"/>
            <w:gridSpan w:val="2"/>
            <w:tcBorders>
              <w:tl2br w:val="nil"/>
              <w:tr2bl w:val="nil"/>
            </w:tcBorders>
            <w:shd w:val="clear" w:color="auto" w:fill="auto"/>
            <w:noWrap/>
            <w:vAlign w:val="center"/>
          </w:tcPr>
          <w:p w14:paraId="1533942E">
            <w:pPr>
              <w:jc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62.08</w:t>
            </w:r>
          </w:p>
        </w:tc>
        <w:tc>
          <w:tcPr>
            <w:tcW w:w="1171" w:type="dxa"/>
            <w:gridSpan w:val="2"/>
            <w:tcBorders>
              <w:tl2br w:val="nil"/>
              <w:tr2bl w:val="nil"/>
            </w:tcBorders>
            <w:shd w:val="clear" w:color="auto" w:fill="auto"/>
            <w:noWrap/>
            <w:vAlign w:val="center"/>
          </w:tcPr>
          <w:p w14:paraId="7D97DCCD">
            <w:pPr>
              <w:jc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0</w:t>
            </w:r>
          </w:p>
        </w:tc>
        <w:tc>
          <w:tcPr>
            <w:tcW w:w="1816" w:type="dxa"/>
            <w:vMerge w:val="continue"/>
            <w:tcBorders>
              <w:tl2br w:val="nil"/>
              <w:tr2bl w:val="nil"/>
            </w:tcBorders>
            <w:shd w:val="clear" w:color="auto" w:fill="auto"/>
            <w:noWrap/>
            <w:vAlign w:val="center"/>
          </w:tcPr>
          <w:p w14:paraId="133F8744">
            <w:pPr>
              <w:jc w:val="center"/>
              <w:rPr>
                <w:rFonts w:hint="eastAsia" w:ascii="宋体" w:hAnsi="宋体" w:eastAsia="宋体" w:cs="宋体"/>
                <w:b w:val="0"/>
                <w:bCs w:val="0"/>
                <w:i w:val="0"/>
                <w:iCs w:val="0"/>
                <w:color w:val="000000"/>
                <w:kern w:val="0"/>
                <w:sz w:val="18"/>
                <w:szCs w:val="18"/>
                <w:u w:val="none"/>
                <w:lang w:val="en-US" w:eastAsia="zh-CN" w:bidi="ar"/>
              </w:rPr>
            </w:pPr>
          </w:p>
        </w:tc>
      </w:tr>
      <w:tr w14:paraId="3369E89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260AF554">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Countermovement jump height （all years）</w:t>
            </w:r>
          </w:p>
        </w:tc>
      </w:tr>
      <w:tr w14:paraId="5802BBA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04EB18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Duration</w:t>
            </w:r>
          </w:p>
        </w:tc>
        <w:tc>
          <w:tcPr>
            <w:tcW w:w="2120" w:type="dxa"/>
            <w:gridSpan w:val="2"/>
            <w:tcBorders>
              <w:tl2br w:val="nil"/>
              <w:tr2bl w:val="nil"/>
            </w:tcBorders>
            <w:shd w:val="clear" w:color="auto" w:fill="auto"/>
            <w:noWrap/>
            <w:vAlign w:val="center"/>
          </w:tcPr>
          <w:p w14:paraId="59899E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w:t>
            </w:r>
            <w:r>
              <w:rPr>
                <w:rFonts w:hint="default" w:ascii="宋体" w:hAnsi="宋体" w:eastAsia="宋体" w:cs="宋体"/>
                <w:i w:val="0"/>
                <w:iCs w:val="0"/>
                <w:color w:val="000000"/>
                <w:kern w:val="2"/>
                <w:sz w:val="18"/>
                <w:szCs w:val="18"/>
                <w:u w:val="none"/>
                <w:lang w:val="en-US" w:eastAsia="zh-CN" w:bidi="ar-SA"/>
              </w:rPr>
              <w:t>8 weeks</w:t>
            </w:r>
          </w:p>
        </w:tc>
        <w:tc>
          <w:tcPr>
            <w:tcW w:w="1290" w:type="dxa"/>
            <w:tcBorders>
              <w:tl2br w:val="nil"/>
              <w:tr2bl w:val="nil"/>
            </w:tcBorders>
            <w:shd w:val="clear" w:color="auto" w:fill="auto"/>
            <w:noWrap/>
            <w:vAlign w:val="center"/>
          </w:tcPr>
          <w:p w14:paraId="0C93DA0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15</w:t>
            </w:r>
          </w:p>
        </w:tc>
        <w:tc>
          <w:tcPr>
            <w:tcW w:w="2668" w:type="dxa"/>
            <w:gridSpan w:val="2"/>
            <w:tcBorders>
              <w:tl2br w:val="nil"/>
              <w:tr2bl w:val="nil"/>
            </w:tcBorders>
            <w:shd w:val="clear" w:color="auto" w:fill="auto"/>
            <w:noWrap/>
            <w:vAlign w:val="center"/>
          </w:tcPr>
          <w:p w14:paraId="7A79656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0.942(0.546 to 1.339)</w:t>
            </w:r>
          </w:p>
        </w:tc>
        <w:tc>
          <w:tcPr>
            <w:tcW w:w="1335" w:type="dxa"/>
            <w:gridSpan w:val="2"/>
            <w:tcBorders>
              <w:tl2br w:val="nil"/>
              <w:tr2bl w:val="nil"/>
            </w:tcBorders>
            <w:shd w:val="clear" w:color="auto" w:fill="auto"/>
            <w:noWrap/>
            <w:vAlign w:val="center"/>
          </w:tcPr>
          <w:p w14:paraId="083E136E">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52.18</w:t>
            </w:r>
          </w:p>
        </w:tc>
        <w:tc>
          <w:tcPr>
            <w:tcW w:w="1171" w:type="dxa"/>
            <w:gridSpan w:val="2"/>
            <w:tcBorders>
              <w:tl2br w:val="nil"/>
              <w:tr2bl w:val="nil"/>
            </w:tcBorders>
            <w:shd w:val="clear" w:color="auto" w:fill="auto"/>
            <w:noWrap/>
            <w:vAlign w:val="center"/>
          </w:tcPr>
          <w:p w14:paraId="6234D88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72.5</w:t>
            </w:r>
          </w:p>
        </w:tc>
        <w:tc>
          <w:tcPr>
            <w:tcW w:w="1816" w:type="dxa"/>
            <w:vMerge w:val="restart"/>
            <w:tcBorders>
              <w:tl2br w:val="nil"/>
              <w:tr2bl w:val="nil"/>
            </w:tcBorders>
            <w:shd w:val="clear" w:color="auto" w:fill="auto"/>
            <w:noWrap/>
            <w:vAlign w:val="center"/>
          </w:tcPr>
          <w:p w14:paraId="4EC7C3B0">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0.099</w:t>
            </w:r>
          </w:p>
        </w:tc>
      </w:tr>
      <w:tr w14:paraId="326404A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39ADCFB9">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4DC4E7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＜8 weeks</w:t>
            </w:r>
          </w:p>
        </w:tc>
        <w:tc>
          <w:tcPr>
            <w:tcW w:w="1290" w:type="dxa"/>
            <w:tcBorders>
              <w:tl2br w:val="nil"/>
              <w:tr2bl w:val="nil"/>
            </w:tcBorders>
            <w:shd w:val="clear" w:color="auto" w:fill="auto"/>
            <w:noWrap/>
            <w:vAlign w:val="center"/>
          </w:tcPr>
          <w:p w14:paraId="12AD349E">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68" w:type="dxa"/>
            <w:gridSpan w:val="2"/>
            <w:tcBorders>
              <w:tl2br w:val="nil"/>
              <w:tr2bl w:val="nil"/>
            </w:tcBorders>
            <w:shd w:val="clear" w:color="auto" w:fill="auto"/>
            <w:noWrap/>
            <w:vAlign w:val="center"/>
          </w:tcPr>
          <w:p w14:paraId="11545DBE">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0.532(0.248 to 0.816)</w:t>
            </w:r>
          </w:p>
        </w:tc>
        <w:tc>
          <w:tcPr>
            <w:tcW w:w="1335" w:type="dxa"/>
            <w:gridSpan w:val="2"/>
            <w:tcBorders>
              <w:tl2br w:val="nil"/>
              <w:tr2bl w:val="nil"/>
            </w:tcBorders>
            <w:shd w:val="clear" w:color="auto" w:fill="auto"/>
            <w:noWrap/>
            <w:vAlign w:val="center"/>
          </w:tcPr>
          <w:p w14:paraId="0B0E6764">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47.82</w:t>
            </w:r>
          </w:p>
        </w:tc>
        <w:tc>
          <w:tcPr>
            <w:tcW w:w="1171" w:type="dxa"/>
            <w:gridSpan w:val="2"/>
            <w:tcBorders>
              <w:tl2br w:val="nil"/>
              <w:tr2bl w:val="nil"/>
            </w:tcBorders>
            <w:shd w:val="clear" w:color="auto" w:fill="auto"/>
            <w:noWrap/>
            <w:vAlign w:val="center"/>
          </w:tcPr>
          <w:p w14:paraId="478847B0">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42.6</w:t>
            </w:r>
          </w:p>
        </w:tc>
        <w:tc>
          <w:tcPr>
            <w:tcW w:w="1816" w:type="dxa"/>
            <w:vMerge w:val="continue"/>
            <w:tcBorders>
              <w:tl2br w:val="nil"/>
              <w:tr2bl w:val="nil"/>
            </w:tcBorders>
            <w:shd w:val="clear" w:color="auto" w:fill="auto"/>
            <w:noWrap/>
            <w:vAlign w:val="center"/>
          </w:tcPr>
          <w:p w14:paraId="0E5374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79BBDA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2835A4FE">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Sessions</w:t>
            </w:r>
          </w:p>
        </w:tc>
        <w:tc>
          <w:tcPr>
            <w:tcW w:w="2120" w:type="dxa"/>
            <w:gridSpan w:val="2"/>
            <w:tcBorders>
              <w:tl2br w:val="nil"/>
              <w:tr2bl w:val="nil"/>
            </w:tcBorders>
            <w:shd w:val="clear" w:color="auto" w:fill="auto"/>
            <w:noWrap/>
            <w:vAlign w:val="center"/>
          </w:tcPr>
          <w:p w14:paraId="118180E9">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≥16</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0" w:type="dxa"/>
            <w:tcBorders>
              <w:tl2br w:val="nil"/>
              <w:tr2bl w:val="nil"/>
            </w:tcBorders>
            <w:shd w:val="clear" w:color="auto" w:fill="auto"/>
            <w:noWrap/>
            <w:vAlign w:val="center"/>
          </w:tcPr>
          <w:p w14:paraId="72879BB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17</w:t>
            </w:r>
          </w:p>
        </w:tc>
        <w:tc>
          <w:tcPr>
            <w:tcW w:w="2668" w:type="dxa"/>
            <w:gridSpan w:val="2"/>
            <w:tcBorders>
              <w:tl2br w:val="nil"/>
              <w:tr2bl w:val="nil"/>
            </w:tcBorders>
            <w:shd w:val="clear" w:color="auto" w:fill="auto"/>
            <w:noWrap/>
            <w:vAlign w:val="center"/>
          </w:tcPr>
          <w:p w14:paraId="7559FEB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1.061(0.67 to 1.451)</w:t>
            </w:r>
          </w:p>
        </w:tc>
        <w:tc>
          <w:tcPr>
            <w:tcW w:w="1335" w:type="dxa"/>
            <w:gridSpan w:val="2"/>
            <w:tcBorders>
              <w:tl2br w:val="nil"/>
              <w:tr2bl w:val="nil"/>
            </w:tcBorders>
            <w:shd w:val="clear" w:color="auto" w:fill="auto"/>
            <w:noWrap/>
            <w:vAlign w:val="center"/>
          </w:tcPr>
          <w:p w14:paraId="7CD05B59">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57.41</w:t>
            </w:r>
          </w:p>
        </w:tc>
        <w:tc>
          <w:tcPr>
            <w:tcW w:w="1171" w:type="dxa"/>
            <w:gridSpan w:val="2"/>
            <w:tcBorders>
              <w:tl2br w:val="nil"/>
              <w:tr2bl w:val="nil"/>
            </w:tcBorders>
            <w:shd w:val="clear" w:color="auto" w:fill="auto"/>
            <w:noWrap/>
            <w:vAlign w:val="center"/>
          </w:tcPr>
          <w:p w14:paraId="1E2F050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73.2</w:t>
            </w:r>
          </w:p>
        </w:tc>
        <w:tc>
          <w:tcPr>
            <w:tcW w:w="1816" w:type="dxa"/>
            <w:vMerge w:val="restart"/>
            <w:tcBorders>
              <w:tl2br w:val="nil"/>
              <w:tr2bl w:val="nil"/>
            </w:tcBorders>
            <w:shd w:val="clear" w:color="auto" w:fill="auto"/>
            <w:noWrap/>
            <w:vAlign w:val="center"/>
          </w:tcPr>
          <w:p w14:paraId="0701B813">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0.002</w:t>
            </w:r>
          </w:p>
        </w:tc>
      </w:tr>
      <w:tr w14:paraId="39DFBE6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6D78D673">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60641AF5">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＜16 total sessions</w:t>
            </w:r>
          </w:p>
        </w:tc>
        <w:tc>
          <w:tcPr>
            <w:tcW w:w="1290" w:type="dxa"/>
            <w:tcBorders>
              <w:tl2br w:val="nil"/>
              <w:tr2bl w:val="nil"/>
            </w:tcBorders>
            <w:shd w:val="clear" w:color="auto" w:fill="auto"/>
            <w:noWrap/>
            <w:vAlign w:val="center"/>
          </w:tcPr>
          <w:p w14:paraId="0F0F1A21">
            <w:pPr>
              <w:jc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12</w:t>
            </w:r>
          </w:p>
        </w:tc>
        <w:tc>
          <w:tcPr>
            <w:tcW w:w="2668" w:type="dxa"/>
            <w:gridSpan w:val="2"/>
            <w:tcBorders>
              <w:tl2br w:val="nil"/>
              <w:tr2bl w:val="nil"/>
            </w:tcBorders>
            <w:shd w:val="clear" w:color="auto" w:fill="auto"/>
            <w:noWrap/>
            <w:vAlign w:val="center"/>
          </w:tcPr>
          <w:p w14:paraId="17A0227C">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0.36(0.145 to 0.575)</w:t>
            </w:r>
          </w:p>
        </w:tc>
        <w:tc>
          <w:tcPr>
            <w:tcW w:w="1335" w:type="dxa"/>
            <w:gridSpan w:val="2"/>
            <w:tcBorders>
              <w:tl2br w:val="nil"/>
              <w:tr2bl w:val="nil"/>
            </w:tcBorders>
            <w:shd w:val="clear" w:color="auto" w:fill="auto"/>
            <w:noWrap/>
            <w:vAlign w:val="center"/>
          </w:tcPr>
          <w:p w14:paraId="47F1E611">
            <w:pPr>
              <w:jc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42.59</w:t>
            </w:r>
          </w:p>
        </w:tc>
        <w:tc>
          <w:tcPr>
            <w:tcW w:w="1171" w:type="dxa"/>
            <w:gridSpan w:val="2"/>
            <w:tcBorders>
              <w:tl2br w:val="nil"/>
              <w:tr2bl w:val="nil"/>
            </w:tcBorders>
            <w:shd w:val="clear" w:color="auto" w:fill="auto"/>
            <w:noWrap/>
            <w:vAlign w:val="center"/>
          </w:tcPr>
          <w:p w14:paraId="063777A9">
            <w:pPr>
              <w:jc w:val="center"/>
              <w:rPr>
                <w:rFonts w:hint="default"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0</w:t>
            </w:r>
          </w:p>
        </w:tc>
        <w:tc>
          <w:tcPr>
            <w:tcW w:w="1816" w:type="dxa"/>
            <w:vMerge w:val="continue"/>
            <w:tcBorders>
              <w:tl2br w:val="nil"/>
              <w:tr2bl w:val="nil"/>
            </w:tcBorders>
            <w:shd w:val="clear" w:color="auto" w:fill="auto"/>
            <w:noWrap/>
            <w:vAlign w:val="center"/>
          </w:tcPr>
          <w:p w14:paraId="512B37B1">
            <w:pPr>
              <w:jc w:val="center"/>
              <w:rPr>
                <w:rFonts w:hint="eastAsia" w:ascii="宋体" w:hAnsi="宋体" w:eastAsia="宋体" w:cs="宋体"/>
                <w:b/>
                <w:bCs/>
                <w:i w:val="0"/>
                <w:iCs w:val="0"/>
                <w:color w:val="000000"/>
                <w:kern w:val="0"/>
                <w:sz w:val="18"/>
                <w:szCs w:val="18"/>
                <w:u w:val="none"/>
                <w:lang w:val="en-US" w:eastAsia="zh-CN" w:bidi="ar"/>
              </w:rPr>
            </w:pPr>
          </w:p>
        </w:tc>
      </w:tr>
      <w:tr w14:paraId="6D772B6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626DCA58">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Standing long jump distance （10-12.99 years）</w:t>
            </w:r>
          </w:p>
        </w:tc>
      </w:tr>
      <w:tr w14:paraId="6AB3430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22C4ACF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Duration</w:t>
            </w:r>
          </w:p>
        </w:tc>
        <w:tc>
          <w:tcPr>
            <w:tcW w:w="2120" w:type="dxa"/>
            <w:gridSpan w:val="2"/>
            <w:tcBorders>
              <w:tl2br w:val="nil"/>
              <w:tr2bl w:val="nil"/>
            </w:tcBorders>
            <w:shd w:val="clear" w:color="auto" w:fill="auto"/>
            <w:noWrap/>
            <w:vAlign w:val="center"/>
          </w:tcPr>
          <w:p w14:paraId="0490060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9</w:t>
            </w:r>
            <w:r>
              <w:rPr>
                <w:rFonts w:hint="default" w:ascii="宋体" w:hAnsi="宋体" w:eastAsia="宋体" w:cs="宋体"/>
                <w:i w:val="0"/>
                <w:iCs w:val="0"/>
                <w:color w:val="000000"/>
                <w:kern w:val="2"/>
                <w:sz w:val="18"/>
                <w:szCs w:val="18"/>
                <w:u w:val="none"/>
                <w:lang w:val="en-US" w:eastAsia="zh-CN" w:bidi="ar-SA"/>
              </w:rPr>
              <w:t xml:space="preserve"> weeks</w:t>
            </w:r>
          </w:p>
        </w:tc>
        <w:tc>
          <w:tcPr>
            <w:tcW w:w="1290" w:type="dxa"/>
            <w:tcBorders>
              <w:tl2br w:val="nil"/>
              <w:tr2bl w:val="nil"/>
            </w:tcBorders>
            <w:shd w:val="clear" w:color="auto" w:fill="auto"/>
            <w:noWrap/>
            <w:vAlign w:val="center"/>
          </w:tcPr>
          <w:p w14:paraId="61526AF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w:t>
            </w:r>
          </w:p>
        </w:tc>
        <w:tc>
          <w:tcPr>
            <w:tcW w:w="2668" w:type="dxa"/>
            <w:gridSpan w:val="2"/>
            <w:tcBorders>
              <w:tl2br w:val="nil"/>
              <w:tr2bl w:val="nil"/>
            </w:tcBorders>
            <w:shd w:val="clear" w:color="auto" w:fill="auto"/>
            <w:noWrap/>
            <w:vAlign w:val="center"/>
          </w:tcPr>
          <w:p w14:paraId="21F9351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0.475(0.096 to 0.853)</w:t>
            </w:r>
          </w:p>
        </w:tc>
        <w:tc>
          <w:tcPr>
            <w:tcW w:w="1335" w:type="dxa"/>
            <w:gridSpan w:val="2"/>
            <w:tcBorders>
              <w:tl2br w:val="nil"/>
              <w:tr2bl w:val="nil"/>
            </w:tcBorders>
            <w:shd w:val="clear" w:color="auto" w:fill="auto"/>
            <w:noWrap/>
            <w:vAlign w:val="center"/>
          </w:tcPr>
          <w:p w14:paraId="4D5C7480">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54.58</w:t>
            </w:r>
          </w:p>
        </w:tc>
        <w:tc>
          <w:tcPr>
            <w:tcW w:w="1171" w:type="dxa"/>
            <w:gridSpan w:val="2"/>
            <w:tcBorders>
              <w:tl2br w:val="nil"/>
              <w:tr2bl w:val="nil"/>
            </w:tcBorders>
            <w:shd w:val="clear" w:color="auto" w:fill="auto"/>
            <w:noWrap/>
            <w:vAlign w:val="center"/>
          </w:tcPr>
          <w:p w14:paraId="4583FFBD">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restart"/>
            <w:tcBorders>
              <w:tl2br w:val="nil"/>
              <w:tr2bl w:val="nil"/>
            </w:tcBorders>
            <w:shd w:val="clear" w:color="auto" w:fill="auto"/>
            <w:noWrap/>
            <w:vAlign w:val="center"/>
          </w:tcPr>
          <w:p w14:paraId="6D84A09C">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0.797</w:t>
            </w:r>
          </w:p>
        </w:tc>
      </w:tr>
      <w:tr w14:paraId="127121C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3E68A205">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093C45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≤9 weeks</w:t>
            </w:r>
          </w:p>
        </w:tc>
        <w:tc>
          <w:tcPr>
            <w:tcW w:w="1290" w:type="dxa"/>
            <w:tcBorders>
              <w:tl2br w:val="nil"/>
              <w:tr2bl w:val="nil"/>
            </w:tcBorders>
            <w:shd w:val="clear" w:color="auto" w:fill="auto"/>
            <w:noWrap/>
            <w:vAlign w:val="center"/>
          </w:tcPr>
          <w:p w14:paraId="3C45CAE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w:t>
            </w:r>
          </w:p>
        </w:tc>
        <w:tc>
          <w:tcPr>
            <w:tcW w:w="2668" w:type="dxa"/>
            <w:gridSpan w:val="2"/>
            <w:tcBorders>
              <w:tl2br w:val="nil"/>
              <w:tr2bl w:val="nil"/>
            </w:tcBorders>
            <w:shd w:val="clear" w:color="auto" w:fill="auto"/>
            <w:noWrap/>
            <w:vAlign w:val="center"/>
          </w:tcPr>
          <w:p w14:paraId="337FCCF2">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0.401(-0.014 to 0.816)</w:t>
            </w:r>
          </w:p>
        </w:tc>
        <w:tc>
          <w:tcPr>
            <w:tcW w:w="1335" w:type="dxa"/>
            <w:gridSpan w:val="2"/>
            <w:tcBorders>
              <w:tl2br w:val="nil"/>
              <w:tr2bl w:val="nil"/>
            </w:tcBorders>
            <w:shd w:val="clear" w:color="auto" w:fill="auto"/>
            <w:noWrap/>
            <w:vAlign w:val="center"/>
          </w:tcPr>
          <w:p w14:paraId="5A47BC9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45.42</w:t>
            </w:r>
          </w:p>
        </w:tc>
        <w:tc>
          <w:tcPr>
            <w:tcW w:w="1171" w:type="dxa"/>
            <w:gridSpan w:val="2"/>
            <w:tcBorders>
              <w:tl2br w:val="nil"/>
              <w:tr2bl w:val="nil"/>
            </w:tcBorders>
            <w:shd w:val="clear" w:color="auto" w:fill="auto"/>
            <w:noWrap/>
            <w:vAlign w:val="center"/>
          </w:tcPr>
          <w:p w14:paraId="21C4265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continue"/>
            <w:tcBorders>
              <w:tl2br w:val="nil"/>
              <w:tr2bl w:val="nil"/>
            </w:tcBorders>
            <w:shd w:val="clear" w:color="auto" w:fill="auto"/>
            <w:noWrap/>
            <w:vAlign w:val="center"/>
          </w:tcPr>
          <w:p w14:paraId="64EA24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3175724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0F4AED7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Sessions</w:t>
            </w:r>
          </w:p>
        </w:tc>
        <w:tc>
          <w:tcPr>
            <w:tcW w:w="2120" w:type="dxa"/>
            <w:gridSpan w:val="2"/>
            <w:tcBorders>
              <w:tl2br w:val="nil"/>
              <w:tr2bl w:val="nil"/>
            </w:tcBorders>
            <w:shd w:val="clear" w:color="auto" w:fill="auto"/>
            <w:noWrap/>
            <w:vAlign w:val="center"/>
          </w:tcPr>
          <w:p w14:paraId="2B095D1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1</w:t>
            </w:r>
            <w:r>
              <w:rPr>
                <w:rFonts w:hint="default" w:ascii="宋体" w:hAnsi="宋体" w:eastAsia="宋体" w:cs="宋体"/>
                <w:i w:val="0"/>
                <w:iCs w:val="0"/>
                <w:color w:val="000000"/>
                <w:kern w:val="2"/>
                <w:sz w:val="18"/>
                <w:szCs w:val="18"/>
                <w:u w:val="none"/>
                <w:lang w:val="en-US" w:eastAsia="zh-CN" w:bidi="ar-SA"/>
              </w:rPr>
              <w:t xml:space="preserve">8 </w:t>
            </w:r>
            <w:r>
              <w:rPr>
                <w:rFonts w:hint="eastAsia" w:ascii="宋体" w:hAnsi="宋体" w:eastAsia="宋体" w:cs="宋体"/>
                <w:i w:val="0"/>
                <w:iCs w:val="0"/>
                <w:color w:val="000000"/>
                <w:kern w:val="2"/>
                <w:sz w:val="18"/>
                <w:szCs w:val="18"/>
                <w:u w:val="none"/>
                <w:lang w:val="en-US" w:eastAsia="zh-CN" w:bidi="ar-SA"/>
              </w:rPr>
              <w:t>total sessions</w:t>
            </w:r>
          </w:p>
        </w:tc>
        <w:tc>
          <w:tcPr>
            <w:tcW w:w="1290" w:type="dxa"/>
            <w:tcBorders>
              <w:tl2br w:val="nil"/>
              <w:tr2bl w:val="nil"/>
            </w:tcBorders>
            <w:shd w:val="clear" w:color="auto" w:fill="auto"/>
            <w:noWrap/>
            <w:vAlign w:val="center"/>
          </w:tcPr>
          <w:p w14:paraId="3D33EF8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w:t>
            </w:r>
          </w:p>
        </w:tc>
        <w:tc>
          <w:tcPr>
            <w:tcW w:w="2668" w:type="dxa"/>
            <w:gridSpan w:val="2"/>
            <w:tcBorders>
              <w:tl2br w:val="nil"/>
              <w:tr2bl w:val="nil"/>
            </w:tcBorders>
            <w:shd w:val="clear" w:color="auto" w:fill="auto"/>
            <w:noWrap/>
            <w:vAlign w:val="center"/>
          </w:tcPr>
          <w:p w14:paraId="3721AA57">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0.475(0.096 to 0.853)</w:t>
            </w:r>
          </w:p>
        </w:tc>
        <w:tc>
          <w:tcPr>
            <w:tcW w:w="1335" w:type="dxa"/>
            <w:gridSpan w:val="2"/>
            <w:tcBorders>
              <w:tl2br w:val="nil"/>
              <w:tr2bl w:val="nil"/>
            </w:tcBorders>
            <w:shd w:val="clear" w:color="auto" w:fill="auto"/>
            <w:noWrap/>
            <w:vAlign w:val="center"/>
          </w:tcPr>
          <w:p w14:paraId="7DE1C5CB">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54.58</w:t>
            </w:r>
          </w:p>
        </w:tc>
        <w:tc>
          <w:tcPr>
            <w:tcW w:w="1171" w:type="dxa"/>
            <w:gridSpan w:val="2"/>
            <w:tcBorders>
              <w:tl2br w:val="nil"/>
              <w:tr2bl w:val="nil"/>
            </w:tcBorders>
            <w:shd w:val="clear" w:color="auto" w:fill="auto"/>
            <w:noWrap/>
            <w:vAlign w:val="center"/>
          </w:tcPr>
          <w:p w14:paraId="5491347D">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restart"/>
            <w:tcBorders>
              <w:tl2br w:val="nil"/>
              <w:tr2bl w:val="nil"/>
            </w:tcBorders>
            <w:shd w:val="clear" w:color="auto" w:fill="auto"/>
            <w:noWrap/>
            <w:vAlign w:val="center"/>
          </w:tcPr>
          <w:p w14:paraId="12FE2B8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0.797</w:t>
            </w:r>
          </w:p>
        </w:tc>
      </w:tr>
      <w:tr w14:paraId="5C2D66A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26C35846">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217FB2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≤18 total sessions</w:t>
            </w:r>
          </w:p>
        </w:tc>
        <w:tc>
          <w:tcPr>
            <w:tcW w:w="1290" w:type="dxa"/>
            <w:tcBorders>
              <w:tl2br w:val="nil"/>
              <w:tr2bl w:val="nil"/>
            </w:tcBorders>
            <w:shd w:val="clear" w:color="auto" w:fill="auto"/>
            <w:noWrap/>
            <w:vAlign w:val="center"/>
          </w:tcPr>
          <w:p w14:paraId="68DE7D9F">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w:t>
            </w:r>
          </w:p>
        </w:tc>
        <w:tc>
          <w:tcPr>
            <w:tcW w:w="2668" w:type="dxa"/>
            <w:gridSpan w:val="2"/>
            <w:tcBorders>
              <w:tl2br w:val="nil"/>
              <w:tr2bl w:val="nil"/>
            </w:tcBorders>
            <w:shd w:val="clear" w:color="auto" w:fill="auto"/>
            <w:noWrap/>
            <w:vAlign w:val="center"/>
          </w:tcPr>
          <w:p w14:paraId="5B227904">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0.401(-0.014 to 0.816)</w:t>
            </w:r>
          </w:p>
        </w:tc>
        <w:tc>
          <w:tcPr>
            <w:tcW w:w="1335" w:type="dxa"/>
            <w:gridSpan w:val="2"/>
            <w:tcBorders>
              <w:tl2br w:val="nil"/>
              <w:tr2bl w:val="nil"/>
            </w:tcBorders>
            <w:shd w:val="clear" w:color="auto" w:fill="auto"/>
            <w:noWrap/>
            <w:vAlign w:val="center"/>
          </w:tcPr>
          <w:p w14:paraId="4FEC7B2A">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45.42</w:t>
            </w:r>
          </w:p>
        </w:tc>
        <w:tc>
          <w:tcPr>
            <w:tcW w:w="1171" w:type="dxa"/>
            <w:gridSpan w:val="2"/>
            <w:tcBorders>
              <w:tl2br w:val="nil"/>
              <w:tr2bl w:val="nil"/>
            </w:tcBorders>
            <w:shd w:val="clear" w:color="auto" w:fill="auto"/>
            <w:noWrap/>
            <w:vAlign w:val="center"/>
          </w:tcPr>
          <w:p w14:paraId="7C2B9C64">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continue"/>
            <w:tcBorders>
              <w:tl2br w:val="nil"/>
              <w:tr2bl w:val="nil"/>
            </w:tcBorders>
            <w:shd w:val="clear" w:color="auto" w:fill="auto"/>
            <w:noWrap/>
            <w:vAlign w:val="center"/>
          </w:tcPr>
          <w:p w14:paraId="55F58BB4">
            <w:pPr>
              <w:jc w:val="center"/>
              <w:rPr>
                <w:rFonts w:hint="eastAsia" w:ascii="宋体" w:hAnsi="宋体" w:eastAsia="宋体" w:cs="宋体"/>
                <w:i w:val="0"/>
                <w:iCs w:val="0"/>
                <w:color w:val="000000"/>
                <w:kern w:val="2"/>
                <w:sz w:val="18"/>
                <w:szCs w:val="18"/>
                <w:u w:val="none"/>
                <w:lang w:val="en-US" w:eastAsia="zh-CN" w:bidi="ar-SA"/>
              </w:rPr>
            </w:pPr>
          </w:p>
        </w:tc>
      </w:tr>
      <w:tr w14:paraId="3FC88AF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4D10D0FF">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Standing long jump distance （all years）</w:t>
            </w:r>
          </w:p>
        </w:tc>
      </w:tr>
      <w:tr w14:paraId="251D74D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1EA14A9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Duration</w:t>
            </w:r>
          </w:p>
        </w:tc>
        <w:tc>
          <w:tcPr>
            <w:tcW w:w="2120" w:type="dxa"/>
            <w:gridSpan w:val="2"/>
            <w:tcBorders>
              <w:tl2br w:val="nil"/>
              <w:tr2bl w:val="nil"/>
            </w:tcBorders>
            <w:shd w:val="clear" w:color="auto" w:fill="auto"/>
            <w:noWrap/>
            <w:vAlign w:val="center"/>
          </w:tcPr>
          <w:p w14:paraId="776A437F">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w:t>
            </w:r>
            <w:r>
              <w:rPr>
                <w:rFonts w:hint="default" w:ascii="宋体" w:hAnsi="宋体" w:eastAsia="宋体" w:cs="宋体"/>
                <w:i w:val="0"/>
                <w:iCs w:val="0"/>
                <w:color w:val="000000"/>
                <w:kern w:val="2"/>
                <w:sz w:val="18"/>
                <w:szCs w:val="18"/>
                <w:u w:val="none"/>
                <w:lang w:val="en-US" w:eastAsia="zh-CN" w:bidi="ar-SA"/>
              </w:rPr>
              <w:t>8 weeks</w:t>
            </w:r>
          </w:p>
        </w:tc>
        <w:tc>
          <w:tcPr>
            <w:tcW w:w="1290" w:type="dxa"/>
            <w:tcBorders>
              <w:tl2br w:val="nil"/>
              <w:tr2bl w:val="nil"/>
            </w:tcBorders>
            <w:shd w:val="clear" w:color="auto" w:fill="auto"/>
            <w:noWrap/>
            <w:vAlign w:val="center"/>
          </w:tcPr>
          <w:p w14:paraId="495E7C1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2668" w:type="dxa"/>
            <w:gridSpan w:val="2"/>
            <w:tcBorders>
              <w:tl2br w:val="nil"/>
              <w:tr2bl w:val="nil"/>
            </w:tcBorders>
            <w:shd w:val="clear" w:color="auto" w:fill="auto"/>
            <w:noWrap/>
            <w:vAlign w:val="center"/>
          </w:tcPr>
          <w:p w14:paraId="14DE7963">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0.386(0.097 to 0.676)</w:t>
            </w:r>
          </w:p>
        </w:tc>
        <w:tc>
          <w:tcPr>
            <w:tcW w:w="1335" w:type="dxa"/>
            <w:gridSpan w:val="2"/>
            <w:tcBorders>
              <w:tl2br w:val="nil"/>
              <w:tr2bl w:val="nil"/>
            </w:tcBorders>
            <w:shd w:val="clear" w:color="auto" w:fill="auto"/>
            <w:noWrap/>
            <w:vAlign w:val="center"/>
          </w:tcPr>
          <w:p w14:paraId="56BEA085">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55.38</w:t>
            </w:r>
          </w:p>
        </w:tc>
        <w:tc>
          <w:tcPr>
            <w:tcW w:w="1171" w:type="dxa"/>
            <w:gridSpan w:val="2"/>
            <w:tcBorders>
              <w:tl2br w:val="nil"/>
              <w:tr2bl w:val="nil"/>
            </w:tcBorders>
            <w:shd w:val="clear" w:color="auto" w:fill="auto"/>
            <w:noWrap/>
            <w:vAlign w:val="center"/>
          </w:tcPr>
          <w:p w14:paraId="2D0D07C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restart"/>
            <w:tcBorders>
              <w:tl2br w:val="nil"/>
              <w:tr2bl w:val="nil"/>
            </w:tcBorders>
            <w:shd w:val="clear" w:color="auto" w:fill="auto"/>
            <w:noWrap/>
            <w:vAlign w:val="center"/>
          </w:tcPr>
          <w:p w14:paraId="7A1D7B9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0.129</w:t>
            </w:r>
          </w:p>
        </w:tc>
      </w:tr>
      <w:tr w14:paraId="3ACF091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7E35AFA6">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0460876B">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＜8 weeks</w:t>
            </w:r>
          </w:p>
        </w:tc>
        <w:tc>
          <w:tcPr>
            <w:tcW w:w="1290" w:type="dxa"/>
            <w:tcBorders>
              <w:tl2br w:val="nil"/>
              <w:tr2bl w:val="nil"/>
            </w:tcBorders>
            <w:shd w:val="clear" w:color="auto" w:fill="auto"/>
            <w:noWrap/>
            <w:vAlign w:val="center"/>
          </w:tcPr>
          <w:p w14:paraId="4CE52F49">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2668" w:type="dxa"/>
            <w:gridSpan w:val="2"/>
            <w:tcBorders>
              <w:tl2br w:val="nil"/>
              <w:tr2bl w:val="nil"/>
            </w:tcBorders>
            <w:shd w:val="clear" w:color="auto" w:fill="auto"/>
            <w:noWrap/>
            <w:vAlign w:val="center"/>
          </w:tcPr>
          <w:p w14:paraId="5F524D8A">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0.807(0.347 to 1.267)</w:t>
            </w:r>
          </w:p>
        </w:tc>
        <w:tc>
          <w:tcPr>
            <w:tcW w:w="1335" w:type="dxa"/>
            <w:gridSpan w:val="2"/>
            <w:tcBorders>
              <w:tl2br w:val="nil"/>
              <w:tr2bl w:val="nil"/>
            </w:tcBorders>
            <w:shd w:val="clear" w:color="auto" w:fill="auto"/>
            <w:noWrap/>
            <w:vAlign w:val="center"/>
          </w:tcPr>
          <w:p w14:paraId="0BAFAF0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44.62</w:t>
            </w:r>
          </w:p>
        </w:tc>
        <w:tc>
          <w:tcPr>
            <w:tcW w:w="1171" w:type="dxa"/>
            <w:gridSpan w:val="2"/>
            <w:tcBorders>
              <w:tl2br w:val="nil"/>
              <w:tr2bl w:val="nil"/>
            </w:tcBorders>
            <w:shd w:val="clear" w:color="auto" w:fill="auto"/>
            <w:noWrap/>
            <w:vAlign w:val="center"/>
          </w:tcPr>
          <w:p w14:paraId="1F3749A8">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45.1</w:t>
            </w:r>
          </w:p>
        </w:tc>
        <w:tc>
          <w:tcPr>
            <w:tcW w:w="1816" w:type="dxa"/>
            <w:vMerge w:val="continue"/>
            <w:tcBorders>
              <w:tl2br w:val="nil"/>
              <w:tr2bl w:val="nil"/>
            </w:tcBorders>
            <w:shd w:val="clear" w:color="auto" w:fill="auto"/>
            <w:noWrap/>
            <w:vAlign w:val="center"/>
          </w:tcPr>
          <w:p w14:paraId="0E52D669">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p>
        </w:tc>
      </w:tr>
      <w:tr w14:paraId="6F71418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8" w:type="dxa"/>
            <w:gridSpan w:val="2"/>
            <w:vMerge w:val="restart"/>
            <w:tcBorders>
              <w:tl2br w:val="nil"/>
              <w:tr2bl w:val="nil"/>
            </w:tcBorders>
            <w:shd w:val="clear" w:color="auto" w:fill="auto"/>
            <w:noWrap/>
            <w:vAlign w:val="center"/>
          </w:tcPr>
          <w:p w14:paraId="02A7A6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Sessions</w:t>
            </w:r>
          </w:p>
        </w:tc>
        <w:tc>
          <w:tcPr>
            <w:tcW w:w="2120" w:type="dxa"/>
            <w:gridSpan w:val="2"/>
            <w:tcBorders>
              <w:tl2br w:val="nil"/>
              <w:tr2bl w:val="nil"/>
            </w:tcBorders>
            <w:shd w:val="clear" w:color="auto" w:fill="auto"/>
            <w:noWrap/>
            <w:vAlign w:val="center"/>
          </w:tcPr>
          <w:p w14:paraId="2F524E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≥16</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0" w:type="dxa"/>
            <w:tcBorders>
              <w:tl2br w:val="nil"/>
              <w:tr2bl w:val="nil"/>
            </w:tcBorders>
            <w:shd w:val="clear" w:color="auto" w:fill="auto"/>
            <w:noWrap/>
            <w:vAlign w:val="center"/>
          </w:tcPr>
          <w:p w14:paraId="515DD1B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2668" w:type="dxa"/>
            <w:gridSpan w:val="2"/>
            <w:tcBorders>
              <w:tl2br w:val="nil"/>
              <w:tr2bl w:val="nil"/>
            </w:tcBorders>
            <w:shd w:val="clear" w:color="auto" w:fill="auto"/>
            <w:noWrap/>
            <w:vAlign w:val="center"/>
          </w:tcPr>
          <w:p w14:paraId="2005FD2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0.386(0.097 to 0.676)</w:t>
            </w:r>
          </w:p>
        </w:tc>
        <w:tc>
          <w:tcPr>
            <w:tcW w:w="1335" w:type="dxa"/>
            <w:gridSpan w:val="2"/>
            <w:tcBorders>
              <w:tl2br w:val="nil"/>
              <w:tr2bl w:val="nil"/>
            </w:tcBorders>
            <w:shd w:val="clear" w:color="auto" w:fill="auto"/>
            <w:noWrap/>
            <w:vAlign w:val="center"/>
          </w:tcPr>
          <w:p w14:paraId="6895B487">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55.38</w:t>
            </w:r>
          </w:p>
        </w:tc>
        <w:tc>
          <w:tcPr>
            <w:tcW w:w="1171" w:type="dxa"/>
            <w:gridSpan w:val="2"/>
            <w:tcBorders>
              <w:tl2br w:val="nil"/>
              <w:tr2bl w:val="nil"/>
            </w:tcBorders>
            <w:shd w:val="clear" w:color="auto" w:fill="auto"/>
            <w:noWrap/>
            <w:vAlign w:val="center"/>
          </w:tcPr>
          <w:p w14:paraId="126D867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6" w:type="dxa"/>
            <w:vMerge w:val="restart"/>
            <w:tcBorders>
              <w:tl2br w:val="nil"/>
              <w:tr2bl w:val="nil"/>
            </w:tcBorders>
            <w:shd w:val="clear" w:color="auto" w:fill="auto"/>
            <w:noWrap/>
            <w:vAlign w:val="center"/>
          </w:tcPr>
          <w:p w14:paraId="1472315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0.129</w:t>
            </w:r>
          </w:p>
        </w:tc>
      </w:tr>
      <w:tr w14:paraId="2F13D3A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8" w:type="dxa"/>
            <w:gridSpan w:val="2"/>
            <w:vMerge w:val="continue"/>
            <w:tcBorders>
              <w:tl2br w:val="nil"/>
              <w:tr2bl w:val="nil"/>
            </w:tcBorders>
            <w:shd w:val="clear" w:color="auto" w:fill="auto"/>
            <w:noWrap/>
            <w:vAlign w:val="center"/>
          </w:tcPr>
          <w:p w14:paraId="0193C674">
            <w:pPr>
              <w:keepNext w:val="0"/>
              <w:keepLines w:val="0"/>
              <w:widowControl/>
              <w:suppressLineNumbers w:val="0"/>
              <w:jc w:val="center"/>
              <w:textAlignment w:val="center"/>
            </w:pPr>
          </w:p>
        </w:tc>
        <w:tc>
          <w:tcPr>
            <w:tcW w:w="2120" w:type="dxa"/>
            <w:gridSpan w:val="2"/>
            <w:tcBorders>
              <w:tl2br w:val="nil"/>
              <w:tr2bl w:val="nil"/>
            </w:tcBorders>
            <w:shd w:val="clear" w:color="auto" w:fill="auto"/>
            <w:noWrap/>
            <w:vAlign w:val="center"/>
          </w:tcPr>
          <w:p w14:paraId="1F812E1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＜16 total sessions</w:t>
            </w:r>
          </w:p>
        </w:tc>
        <w:tc>
          <w:tcPr>
            <w:tcW w:w="1290" w:type="dxa"/>
            <w:tcBorders>
              <w:tl2br w:val="nil"/>
              <w:tr2bl w:val="nil"/>
            </w:tcBorders>
            <w:shd w:val="clear" w:color="auto" w:fill="auto"/>
            <w:noWrap/>
            <w:vAlign w:val="center"/>
          </w:tcPr>
          <w:p w14:paraId="55043EF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w:t>
            </w:r>
          </w:p>
        </w:tc>
        <w:tc>
          <w:tcPr>
            <w:tcW w:w="2668" w:type="dxa"/>
            <w:gridSpan w:val="2"/>
            <w:tcBorders>
              <w:tl2br w:val="nil"/>
              <w:tr2bl w:val="nil"/>
            </w:tcBorders>
            <w:shd w:val="clear" w:color="auto" w:fill="auto"/>
            <w:noWrap/>
            <w:vAlign w:val="center"/>
          </w:tcPr>
          <w:p w14:paraId="45789C50">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0.807(0.347 to 1.267)</w:t>
            </w:r>
          </w:p>
        </w:tc>
        <w:tc>
          <w:tcPr>
            <w:tcW w:w="1335" w:type="dxa"/>
            <w:gridSpan w:val="2"/>
            <w:tcBorders>
              <w:tl2br w:val="nil"/>
              <w:tr2bl w:val="nil"/>
            </w:tcBorders>
            <w:shd w:val="clear" w:color="auto" w:fill="auto"/>
            <w:noWrap/>
            <w:vAlign w:val="center"/>
          </w:tcPr>
          <w:p w14:paraId="10ACDD26">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44.62</w:t>
            </w:r>
          </w:p>
        </w:tc>
        <w:tc>
          <w:tcPr>
            <w:tcW w:w="1171" w:type="dxa"/>
            <w:gridSpan w:val="2"/>
            <w:tcBorders>
              <w:tl2br w:val="nil"/>
              <w:tr2bl w:val="nil"/>
            </w:tcBorders>
            <w:shd w:val="clear" w:color="auto" w:fill="auto"/>
            <w:noWrap/>
            <w:vAlign w:val="center"/>
          </w:tcPr>
          <w:p w14:paraId="0B764AB5">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45.1</w:t>
            </w:r>
          </w:p>
        </w:tc>
        <w:tc>
          <w:tcPr>
            <w:tcW w:w="1816" w:type="dxa"/>
            <w:vMerge w:val="continue"/>
            <w:tcBorders>
              <w:tl2br w:val="nil"/>
              <w:tr2bl w:val="nil"/>
            </w:tcBorders>
            <w:shd w:val="clear" w:color="auto" w:fill="auto"/>
            <w:noWrap/>
            <w:vAlign w:val="center"/>
          </w:tcPr>
          <w:p w14:paraId="152381D3">
            <w:pPr>
              <w:jc w:val="center"/>
              <w:rPr>
                <w:rFonts w:hint="eastAsia" w:ascii="宋体" w:hAnsi="宋体" w:eastAsia="宋体" w:cs="宋体"/>
                <w:i w:val="0"/>
                <w:iCs w:val="0"/>
                <w:color w:val="000000"/>
                <w:kern w:val="2"/>
                <w:sz w:val="18"/>
                <w:szCs w:val="18"/>
                <w:u w:val="none"/>
                <w:lang w:val="en-US" w:eastAsia="zh-CN" w:bidi="ar-SA"/>
              </w:rPr>
            </w:pPr>
          </w:p>
        </w:tc>
      </w:tr>
      <w:tr w14:paraId="6353353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087C5B62">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≤10-m linear sprint time （all years）</w:t>
            </w:r>
          </w:p>
        </w:tc>
      </w:tr>
      <w:tr w14:paraId="45257AC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3C7859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30BCC1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w:t>
            </w:r>
            <w:r>
              <w:rPr>
                <w:rFonts w:hint="default"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766369C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14</w:t>
            </w:r>
          </w:p>
        </w:tc>
        <w:tc>
          <w:tcPr>
            <w:tcW w:w="2665" w:type="dxa"/>
            <w:tcBorders>
              <w:tl2br w:val="nil"/>
              <w:tr2bl w:val="nil"/>
            </w:tcBorders>
            <w:shd w:val="clear" w:color="auto" w:fill="auto"/>
            <w:noWrap/>
            <w:vAlign w:val="center"/>
          </w:tcPr>
          <w:p w14:paraId="3DD3181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-0.718</w:t>
            </w:r>
            <w:r>
              <w:rPr>
                <w:rFonts w:hint="eastAsia" w:ascii="宋体" w:hAnsi="宋体" w:eastAsia="宋体" w:cs="宋体"/>
                <w:i w:val="0"/>
                <w:iCs w:val="0"/>
                <w:color w:val="000000"/>
                <w:sz w:val="18"/>
                <w:szCs w:val="18"/>
                <w:u w:val="none"/>
                <w:lang w:val="en-US" w:eastAsia="zh-CN"/>
              </w:rPr>
              <w:t>(-1.062 to -0.374)</w:t>
            </w:r>
          </w:p>
        </w:tc>
        <w:tc>
          <w:tcPr>
            <w:tcW w:w="1335" w:type="dxa"/>
            <w:gridSpan w:val="2"/>
            <w:tcBorders>
              <w:tl2br w:val="nil"/>
              <w:tr2bl w:val="nil"/>
            </w:tcBorders>
            <w:shd w:val="clear" w:color="auto" w:fill="auto"/>
            <w:noWrap/>
            <w:vAlign w:val="center"/>
          </w:tcPr>
          <w:p w14:paraId="7B32EDC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62.49</w:t>
            </w:r>
          </w:p>
        </w:tc>
        <w:tc>
          <w:tcPr>
            <w:tcW w:w="1172" w:type="dxa"/>
            <w:gridSpan w:val="2"/>
            <w:tcBorders>
              <w:tl2br w:val="nil"/>
              <w:tr2bl w:val="nil"/>
            </w:tcBorders>
            <w:shd w:val="clear" w:color="auto" w:fill="auto"/>
            <w:noWrap/>
            <w:vAlign w:val="center"/>
          </w:tcPr>
          <w:p w14:paraId="6880119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66.1</w:t>
            </w:r>
          </w:p>
        </w:tc>
        <w:tc>
          <w:tcPr>
            <w:tcW w:w="1818" w:type="dxa"/>
            <w:gridSpan w:val="2"/>
            <w:vMerge w:val="restart"/>
            <w:tcBorders>
              <w:tl2br w:val="nil"/>
              <w:tr2bl w:val="nil"/>
            </w:tcBorders>
            <w:shd w:val="clear" w:color="auto" w:fill="auto"/>
            <w:noWrap/>
            <w:vAlign w:val="center"/>
          </w:tcPr>
          <w:p w14:paraId="60251B47">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0.948</w:t>
            </w:r>
          </w:p>
        </w:tc>
      </w:tr>
      <w:tr w14:paraId="177F8A9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244B0FCE">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164D9DF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03BD106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10</w:t>
            </w:r>
          </w:p>
        </w:tc>
        <w:tc>
          <w:tcPr>
            <w:tcW w:w="2665" w:type="dxa"/>
            <w:tcBorders>
              <w:tl2br w:val="nil"/>
              <w:tr2bl w:val="nil"/>
            </w:tcBorders>
            <w:shd w:val="clear" w:color="auto" w:fill="auto"/>
            <w:noWrap/>
            <w:vAlign w:val="center"/>
          </w:tcPr>
          <w:p w14:paraId="18D21E37">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-0.696(-1.245 to -0.148)</w:t>
            </w:r>
          </w:p>
        </w:tc>
        <w:tc>
          <w:tcPr>
            <w:tcW w:w="1335" w:type="dxa"/>
            <w:gridSpan w:val="2"/>
            <w:tcBorders>
              <w:tl2br w:val="nil"/>
              <w:tr2bl w:val="nil"/>
            </w:tcBorders>
            <w:shd w:val="clear" w:color="auto" w:fill="auto"/>
            <w:noWrap/>
            <w:vAlign w:val="center"/>
          </w:tcPr>
          <w:p w14:paraId="667DBCF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37.51</w:t>
            </w:r>
          </w:p>
        </w:tc>
        <w:tc>
          <w:tcPr>
            <w:tcW w:w="1172" w:type="dxa"/>
            <w:gridSpan w:val="2"/>
            <w:tcBorders>
              <w:tl2br w:val="nil"/>
              <w:tr2bl w:val="nil"/>
            </w:tcBorders>
            <w:shd w:val="clear" w:color="auto" w:fill="auto"/>
            <w:noWrap/>
            <w:vAlign w:val="center"/>
          </w:tcPr>
          <w:p w14:paraId="3B86AA07">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68.7</w:t>
            </w:r>
          </w:p>
        </w:tc>
        <w:tc>
          <w:tcPr>
            <w:tcW w:w="1818" w:type="dxa"/>
            <w:gridSpan w:val="2"/>
            <w:vMerge w:val="continue"/>
            <w:tcBorders>
              <w:tl2br w:val="nil"/>
              <w:tr2bl w:val="nil"/>
            </w:tcBorders>
            <w:shd w:val="clear" w:color="auto" w:fill="auto"/>
            <w:noWrap/>
            <w:vAlign w:val="center"/>
          </w:tcPr>
          <w:p w14:paraId="3B47B3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3D874A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0BF066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3899DA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16</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49CF019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13 </w:t>
            </w:r>
          </w:p>
        </w:tc>
        <w:tc>
          <w:tcPr>
            <w:tcW w:w="2665" w:type="dxa"/>
            <w:tcBorders>
              <w:tl2br w:val="nil"/>
              <w:tr2bl w:val="nil"/>
            </w:tcBorders>
            <w:shd w:val="clear" w:color="auto" w:fill="auto"/>
            <w:noWrap/>
            <w:vAlign w:val="center"/>
          </w:tcPr>
          <w:p w14:paraId="4A4B2FD4">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-0.948(-1.381 to -0.515)</w:t>
            </w:r>
          </w:p>
        </w:tc>
        <w:tc>
          <w:tcPr>
            <w:tcW w:w="1335" w:type="dxa"/>
            <w:gridSpan w:val="2"/>
            <w:tcBorders>
              <w:tl2br w:val="nil"/>
              <w:tr2bl w:val="nil"/>
            </w:tcBorders>
            <w:shd w:val="clear" w:color="auto" w:fill="auto"/>
            <w:noWrap/>
            <w:vAlign w:val="center"/>
          </w:tcPr>
          <w:p w14:paraId="7D163C3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54.75</w:t>
            </w:r>
          </w:p>
        </w:tc>
        <w:tc>
          <w:tcPr>
            <w:tcW w:w="1172" w:type="dxa"/>
            <w:gridSpan w:val="2"/>
            <w:tcBorders>
              <w:tl2br w:val="nil"/>
              <w:tr2bl w:val="nil"/>
            </w:tcBorders>
            <w:shd w:val="clear" w:color="auto" w:fill="auto"/>
            <w:noWrap/>
            <w:vAlign w:val="center"/>
          </w:tcPr>
          <w:p w14:paraId="5C6EF4C8">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73.8</w:t>
            </w:r>
          </w:p>
        </w:tc>
        <w:tc>
          <w:tcPr>
            <w:tcW w:w="1818" w:type="dxa"/>
            <w:gridSpan w:val="2"/>
            <w:vMerge w:val="restart"/>
            <w:tcBorders>
              <w:tl2br w:val="nil"/>
              <w:tr2bl w:val="nil"/>
            </w:tcBorders>
            <w:shd w:val="clear" w:color="auto" w:fill="auto"/>
            <w:noWrap/>
            <w:vAlign w:val="center"/>
          </w:tcPr>
          <w:p w14:paraId="57F6D353">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0.089</w:t>
            </w:r>
          </w:p>
        </w:tc>
      </w:tr>
      <w:tr w14:paraId="262100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0F062D51">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23B70F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≤16 total sessions</w:t>
            </w:r>
          </w:p>
        </w:tc>
        <w:tc>
          <w:tcPr>
            <w:tcW w:w="1293" w:type="dxa"/>
            <w:gridSpan w:val="2"/>
            <w:tcBorders>
              <w:tl2br w:val="nil"/>
              <w:tr2bl w:val="nil"/>
            </w:tcBorders>
            <w:shd w:val="clear" w:color="auto" w:fill="auto"/>
            <w:noWrap/>
            <w:vAlign w:val="center"/>
          </w:tcPr>
          <w:p w14:paraId="3B288EF2">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11 </w:t>
            </w:r>
          </w:p>
        </w:tc>
        <w:tc>
          <w:tcPr>
            <w:tcW w:w="2665" w:type="dxa"/>
            <w:tcBorders>
              <w:tl2br w:val="nil"/>
              <w:tr2bl w:val="nil"/>
            </w:tcBorders>
            <w:shd w:val="clear" w:color="auto" w:fill="auto"/>
            <w:noWrap/>
            <w:vAlign w:val="center"/>
          </w:tcPr>
          <w:p w14:paraId="0AA6C1A7">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-0.456(-0.82 to -0.093)</w:t>
            </w:r>
          </w:p>
        </w:tc>
        <w:tc>
          <w:tcPr>
            <w:tcW w:w="1335" w:type="dxa"/>
            <w:gridSpan w:val="2"/>
            <w:tcBorders>
              <w:tl2br w:val="nil"/>
              <w:tr2bl w:val="nil"/>
            </w:tcBorders>
            <w:shd w:val="clear" w:color="auto" w:fill="auto"/>
            <w:noWrap/>
            <w:vAlign w:val="center"/>
          </w:tcPr>
          <w:p w14:paraId="34AE1837">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45.25</w:t>
            </w:r>
          </w:p>
        </w:tc>
        <w:tc>
          <w:tcPr>
            <w:tcW w:w="1172" w:type="dxa"/>
            <w:gridSpan w:val="2"/>
            <w:tcBorders>
              <w:tl2br w:val="nil"/>
              <w:tr2bl w:val="nil"/>
            </w:tcBorders>
            <w:shd w:val="clear" w:color="auto" w:fill="auto"/>
            <w:noWrap/>
            <w:vAlign w:val="center"/>
          </w:tcPr>
          <w:p w14:paraId="65F88F4A">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48.3</w:t>
            </w:r>
          </w:p>
        </w:tc>
        <w:tc>
          <w:tcPr>
            <w:tcW w:w="1818" w:type="dxa"/>
            <w:gridSpan w:val="2"/>
            <w:vMerge w:val="continue"/>
            <w:tcBorders>
              <w:tl2br w:val="nil"/>
              <w:tr2bl w:val="nil"/>
            </w:tcBorders>
            <w:shd w:val="clear" w:color="auto" w:fill="auto"/>
            <w:noWrap/>
            <w:vAlign w:val="center"/>
          </w:tcPr>
          <w:p w14:paraId="71748403">
            <w:pPr>
              <w:jc w:val="center"/>
              <w:rPr>
                <w:rFonts w:hint="eastAsia" w:ascii="宋体" w:hAnsi="宋体" w:eastAsia="宋体" w:cs="宋体"/>
                <w:i w:val="0"/>
                <w:iCs w:val="0"/>
                <w:color w:val="000000"/>
                <w:kern w:val="0"/>
                <w:sz w:val="18"/>
                <w:szCs w:val="18"/>
                <w:u w:val="none"/>
                <w:lang w:val="en-US" w:eastAsia="zh-CN" w:bidi="ar"/>
              </w:rPr>
            </w:pPr>
          </w:p>
        </w:tc>
      </w:tr>
      <w:tr w14:paraId="536C635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4ACC659E">
            <w:pP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＞10-m linear sprint time （10-12.99 years）</w:t>
            </w:r>
          </w:p>
        </w:tc>
      </w:tr>
      <w:tr w14:paraId="6FF5151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36675D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1CB0CF8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14B62495">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0821B3E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-0.44</w:t>
            </w:r>
            <w:r>
              <w:rPr>
                <w:rFonts w:hint="eastAsia" w:ascii="宋体" w:hAnsi="宋体" w:eastAsia="宋体" w:cs="宋体"/>
                <w:i w:val="0"/>
                <w:iCs w:val="0"/>
                <w:color w:val="000000"/>
                <w:sz w:val="18"/>
                <w:szCs w:val="18"/>
                <w:u w:val="none"/>
                <w:lang w:val="en-US" w:eastAsia="zh-CN"/>
              </w:rPr>
              <w:t>(-0.721 to -0.159)</w:t>
            </w:r>
          </w:p>
        </w:tc>
        <w:tc>
          <w:tcPr>
            <w:tcW w:w="1335" w:type="dxa"/>
            <w:gridSpan w:val="2"/>
            <w:tcBorders>
              <w:tl2br w:val="nil"/>
              <w:tr2bl w:val="nil"/>
            </w:tcBorders>
            <w:shd w:val="clear" w:color="auto" w:fill="auto"/>
            <w:noWrap/>
            <w:vAlign w:val="center"/>
          </w:tcPr>
          <w:p w14:paraId="0D3F65F7">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54.18</w:t>
            </w:r>
          </w:p>
        </w:tc>
        <w:tc>
          <w:tcPr>
            <w:tcW w:w="1172" w:type="dxa"/>
            <w:gridSpan w:val="2"/>
            <w:tcBorders>
              <w:tl2br w:val="nil"/>
              <w:tr2bl w:val="nil"/>
            </w:tcBorders>
            <w:shd w:val="clear" w:color="auto" w:fill="auto"/>
            <w:noWrap/>
            <w:vAlign w:val="center"/>
          </w:tcPr>
          <w:p w14:paraId="66026788">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restart"/>
            <w:tcBorders>
              <w:tl2br w:val="nil"/>
              <w:tr2bl w:val="nil"/>
            </w:tcBorders>
            <w:shd w:val="clear" w:color="auto" w:fill="auto"/>
            <w:noWrap/>
            <w:vAlign w:val="center"/>
          </w:tcPr>
          <w:p w14:paraId="03DE7E5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0.17</w:t>
            </w:r>
          </w:p>
        </w:tc>
      </w:tr>
      <w:tr w14:paraId="2849E0A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6D986458">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3E1927F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3E46AA0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w:t>
            </w:r>
          </w:p>
        </w:tc>
        <w:tc>
          <w:tcPr>
            <w:tcW w:w="2665" w:type="dxa"/>
            <w:tcBorders>
              <w:tl2br w:val="nil"/>
              <w:tr2bl w:val="nil"/>
            </w:tcBorders>
            <w:shd w:val="clear" w:color="auto" w:fill="auto"/>
            <w:noWrap/>
            <w:vAlign w:val="center"/>
          </w:tcPr>
          <w:p w14:paraId="3F98FC39">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-0.149(-0.455 to 0.156)</w:t>
            </w:r>
          </w:p>
        </w:tc>
        <w:tc>
          <w:tcPr>
            <w:tcW w:w="1335" w:type="dxa"/>
            <w:gridSpan w:val="2"/>
            <w:tcBorders>
              <w:tl2br w:val="nil"/>
              <w:tr2bl w:val="nil"/>
            </w:tcBorders>
            <w:shd w:val="clear" w:color="auto" w:fill="auto"/>
            <w:noWrap/>
            <w:vAlign w:val="center"/>
          </w:tcPr>
          <w:p w14:paraId="6A98CE0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45.82</w:t>
            </w:r>
          </w:p>
        </w:tc>
        <w:tc>
          <w:tcPr>
            <w:tcW w:w="1172" w:type="dxa"/>
            <w:gridSpan w:val="2"/>
            <w:tcBorders>
              <w:tl2br w:val="nil"/>
              <w:tr2bl w:val="nil"/>
            </w:tcBorders>
            <w:shd w:val="clear" w:color="auto" w:fill="auto"/>
            <w:noWrap/>
            <w:vAlign w:val="center"/>
          </w:tcPr>
          <w:p w14:paraId="56CF0BA8">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continue"/>
            <w:tcBorders>
              <w:tl2br w:val="nil"/>
              <w:tr2bl w:val="nil"/>
            </w:tcBorders>
            <w:shd w:val="clear" w:color="auto" w:fill="auto"/>
            <w:noWrap/>
            <w:vAlign w:val="center"/>
          </w:tcPr>
          <w:p w14:paraId="68329A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15A3BF1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0A9474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048CF3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16</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0C3811F9">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7C2AC6D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-0.44</w:t>
            </w:r>
            <w:r>
              <w:rPr>
                <w:rFonts w:hint="eastAsia" w:ascii="宋体" w:hAnsi="宋体" w:eastAsia="宋体" w:cs="宋体"/>
                <w:i w:val="0"/>
                <w:iCs w:val="0"/>
                <w:color w:val="000000"/>
                <w:sz w:val="18"/>
                <w:szCs w:val="18"/>
                <w:u w:val="none"/>
                <w:lang w:val="en-US" w:eastAsia="zh-CN"/>
              </w:rPr>
              <w:t>(-0.721 to -0.159)</w:t>
            </w:r>
          </w:p>
        </w:tc>
        <w:tc>
          <w:tcPr>
            <w:tcW w:w="1335" w:type="dxa"/>
            <w:gridSpan w:val="2"/>
            <w:tcBorders>
              <w:tl2br w:val="nil"/>
              <w:tr2bl w:val="nil"/>
            </w:tcBorders>
            <w:shd w:val="clear" w:color="auto" w:fill="auto"/>
            <w:noWrap/>
            <w:vAlign w:val="center"/>
          </w:tcPr>
          <w:p w14:paraId="3A942742">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54.18</w:t>
            </w:r>
          </w:p>
        </w:tc>
        <w:tc>
          <w:tcPr>
            <w:tcW w:w="1172" w:type="dxa"/>
            <w:gridSpan w:val="2"/>
            <w:tcBorders>
              <w:tl2br w:val="nil"/>
              <w:tr2bl w:val="nil"/>
            </w:tcBorders>
            <w:shd w:val="clear" w:color="auto" w:fill="auto"/>
            <w:noWrap/>
            <w:vAlign w:val="center"/>
          </w:tcPr>
          <w:p w14:paraId="6964A16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restart"/>
            <w:tcBorders>
              <w:tl2br w:val="nil"/>
              <w:tr2bl w:val="nil"/>
            </w:tcBorders>
            <w:shd w:val="clear" w:color="auto" w:fill="auto"/>
            <w:noWrap/>
            <w:vAlign w:val="center"/>
          </w:tcPr>
          <w:p w14:paraId="58BCC61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0.17</w:t>
            </w:r>
          </w:p>
        </w:tc>
      </w:tr>
      <w:tr w14:paraId="16A7C0B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3DE5946B">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306AF3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≤16 total sessions</w:t>
            </w:r>
          </w:p>
        </w:tc>
        <w:tc>
          <w:tcPr>
            <w:tcW w:w="1293" w:type="dxa"/>
            <w:gridSpan w:val="2"/>
            <w:tcBorders>
              <w:tl2br w:val="nil"/>
              <w:tr2bl w:val="nil"/>
            </w:tcBorders>
            <w:shd w:val="clear" w:color="auto" w:fill="auto"/>
            <w:noWrap/>
            <w:vAlign w:val="center"/>
          </w:tcPr>
          <w:p w14:paraId="406E1C3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w:t>
            </w:r>
          </w:p>
        </w:tc>
        <w:tc>
          <w:tcPr>
            <w:tcW w:w="2665" w:type="dxa"/>
            <w:tcBorders>
              <w:tl2br w:val="nil"/>
              <w:tr2bl w:val="nil"/>
            </w:tcBorders>
            <w:shd w:val="clear" w:color="auto" w:fill="auto"/>
            <w:noWrap/>
            <w:vAlign w:val="center"/>
          </w:tcPr>
          <w:p w14:paraId="79D92495">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-0.149(-0.455 to 0.156)</w:t>
            </w:r>
          </w:p>
        </w:tc>
        <w:tc>
          <w:tcPr>
            <w:tcW w:w="1335" w:type="dxa"/>
            <w:gridSpan w:val="2"/>
            <w:tcBorders>
              <w:tl2br w:val="nil"/>
              <w:tr2bl w:val="nil"/>
            </w:tcBorders>
            <w:shd w:val="clear" w:color="auto" w:fill="auto"/>
            <w:noWrap/>
            <w:vAlign w:val="center"/>
          </w:tcPr>
          <w:p w14:paraId="5D22A134">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45.82</w:t>
            </w:r>
          </w:p>
        </w:tc>
        <w:tc>
          <w:tcPr>
            <w:tcW w:w="1172" w:type="dxa"/>
            <w:gridSpan w:val="2"/>
            <w:tcBorders>
              <w:tl2br w:val="nil"/>
              <w:tr2bl w:val="nil"/>
            </w:tcBorders>
            <w:shd w:val="clear" w:color="auto" w:fill="auto"/>
            <w:noWrap/>
            <w:vAlign w:val="center"/>
          </w:tcPr>
          <w:p w14:paraId="0DB763F5">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continue"/>
            <w:tcBorders>
              <w:tl2br w:val="nil"/>
              <w:tr2bl w:val="nil"/>
            </w:tcBorders>
            <w:shd w:val="clear" w:color="auto" w:fill="auto"/>
            <w:noWrap/>
            <w:vAlign w:val="center"/>
          </w:tcPr>
          <w:p w14:paraId="244BCB6B">
            <w:pPr>
              <w:jc w:val="center"/>
              <w:rPr>
                <w:rFonts w:hint="eastAsia" w:ascii="宋体" w:hAnsi="宋体" w:eastAsia="宋体" w:cs="宋体"/>
                <w:i w:val="0"/>
                <w:iCs w:val="0"/>
                <w:color w:val="000000"/>
                <w:kern w:val="2"/>
                <w:sz w:val="18"/>
                <w:szCs w:val="18"/>
                <w:u w:val="none"/>
                <w:lang w:val="en-US" w:eastAsia="zh-CN" w:bidi="ar-SA"/>
              </w:rPr>
            </w:pPr>
          </w:p>
        </w:tc>
      </w:tr>
      <w:tr w14:paraId="48B5500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0B3AD9A4">
            <w:pPr>
              <w:rPr>
                <w:rFonts w:hint="default"/>
                <w:lang w:val="en-US" w:eastAsia="zh-CN"/>
              </w:rPr>
            </w:pPr>
            <w:r>
              <w:rPr>
                <w:rFonts w:hint="eastAsia" w:ascii="宋体" w:hAnsi="宋体" w:eastAsia="宋体" w:cs="宋体"/>
                <w:b/>
                <w:bCs/>
                <w:i w:val="0"/>
                <w:iCs w:val="0"/>
                <w:color w:val="000000"/>
                <w:kern w:val="0"/>
                <w:sz w:val="18"/>
                <w:szCs w:val="18"/>
                <w:u w:val="none"/>
                <w:lang w:val="en-US" w:eastAsia="zh-CN" w:bidi="ar"/>
              </w:rPr>
              <w:t>＞10-m linear sprint time （13-15.99 years）</w:t>
            </w:r>
          </w:p>
        </w:tc>
      </w:tr>
      <w:tr w14:paraId="5647C1A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79DAC3E3">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0A6CB8F7">
            <w:pPr>
              <w:keepNext w:val="0"/>
              <w:keepLines w:val="0"/>
              <w:widowControl/>
              <w:suppressLineNumbers w:val="0"/>
              <w:jc w:val="center"/>
              <w:textAlignment w:val="center"/>
              <w:rPr>
                <w:rFonts w:hint="eastAsia"/>
                <w:lang w:val="en-US" w:eastAsia="zh-CN"/>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7</w:t>
            </w:r>
            <w:r>
              <w:rPr>
                <w:rFonts w:hint="default" w:ascii="宋体" w:hAnsi="宋体" w:eastAsia="宋体" w:cs="宋体"/>
                <w:i w:val="0"/>
                <w:iCs w:val="0"/>
                <w:color w:val="000000"/>
                <w:kern w:val="2"/>
                <w:sz w:val="18"/>
                <w:szCs w:val="18"/>
                <w:u w:val="none"/>
                <w:lang w:val="en-US" w:eastAsia="zh-CN" w:bidi="ar-SA"/>
              </w:rPr>
              <w:t xml:space="preserve"> weeks</w:t>
            </w:r>
          </w:p>
        </w:tc>
        <w:tc>
          <w:tcPr>
            <w:tcW w:w="1293" w:type="dxa"/>
            <w:gridSpan w:val="2"/>
            <w:tcBorders>
              <w:tl2br w:val="nil"/>
              <w:tr2bl w:val="nil"/>
            </w:tcBorders>
            <w:shd w:val="clear" w:color="auto" w:fill="auto"/>
            <w:noWrap/>
            <w:vAlign w:val="center"/>
          </w:tcPr>
          <w:p w14:paraId="58EE500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2B6543AD">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-0.309(-0.58 to -0.037)</w:t>
            </w:r>
          </w:p>
        </w:tc>
        <w:tc>
          <w:tcPr>
            <w:tcW w:w="1335" w:type="dxa"/>
            <w:gridSpan w:val="2"/>
            <w:tcBorders>
              <w:tl2br w:val="nil"/>
              <w:tr2bl w:val="nil"/>
            </w:tcBorders>
            <w:shd w:val="clear" w:color="auto" w:fill="auto"/>
            <w:noWrap/>
            <w:vAlign w:val="center"/>
          </w:tcPr>
          <w:p w14:paraId="73CC3CD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58.05</w:t>
            </w:r>
          </w:p>
        </w:tc>
        <w:tc>
          <w:tcPr>
            <w:tcW w:w="1172" w:type="dxa"/>
            <w:gridSpan w:val="2"/>
            <w:tcBorders>
              <w:tl2br w:val="nil"/>
              <w:tr2bl w:val="nil"/>
            </w:tcBorders>
            <w:shd w:val="clear" w:color="auto" w:fill="auto"/>
            <w:noWrap/>
            <w:vAlign w:val="center"/>
          </w:tcPr>
          <w:p w14:paraId="2CEB73C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restart"/>
            <w:tcBorders>
              <w:tl2br w:val="nil"/>
              <w:tr2bl w:val="nil"/>
            </w:tcBorders>
            <w:shd w:val="clear" w:color="auto" w:fill="auto"/>
            <w:noWrap/>
            <w:vAlign w:val="center"/>
          </w:tcPr>
          <w:p w14:paraId="2A58EBE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0.495</w:t>
            </w:r>
          </w:p>
        </w:tc>
      </w:tr>
      <w:tr w14:paraId="1687F9F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20B17328">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5A9210A1">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≤7 weeks</w:t>
            </w:r>
          </w:p>
        </w:tc>
        <w:tc>
          <w:tcPr>
            <w:tcW w:w="1293" w:type="dxa"/>
            <w:gridSpan w:val="2"/>
            <w:tcBorders>
              <w:tl2br w:val="nil"/>
              <w:tr2bl w:val="nil"/>
            </w:tcBorders>
            <w:shd w:val="clear" w:color="auto" w:fill="auto"/>
            <w:noWrap/>
            <w:vAlign w:val="center"/>
          </w:tcPr>
          <w:p w14:paraId="1C458A5D">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676E59B7">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-0.454(-0.773 to -0.135)</w:t>
            </w:r>
          </w:p>
        </w:tc>
        <w:tc>
          <w:tcPr>
            <w:tcW w:w="1335" w:type="dxa"/>
            <w:gridSpan w:val="2"/>
            <w:tcBorders>
              <w:tl2br w:val="nil"/>
              <w:tr2bl w:val="nil"/>
            </w:tcBorders>
            <w:shd w:val="clear" w:color="auto" w:fill="auto"/>
            <w:noWrap/>
            <w:vAlign w:val="center"/>
          </w:tcPr>
          <w:p w14:paraId="112CA075">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41.95</w:t>
            </w:r>
          </w:p>
        </w:tc>
        <w:tc>
          <w:tcPr>
            <w:tcW w:w="1172" w:type="dxa"/>
            <w:gridSpan w:val="2"/>
            <w:tcBorders>
              <w:tl2br w:val="nil"/>
              <w:tr2bl w:val="nil"/>
            </w:tcBorders>
            <w:shd w:val="clear" w:color="auto" w:fill="auto"/>
            <w:noWrap/>
            <w:vAlign w:val="center"/>
          </w:tcPr>
          <w:p w14:paraId="3DEC5DA1">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continue"/>
            <w:tcBorders>
              <w:tl2br w:val="nil"/>
              <w:tr2bl w:val="nil"/>
            </w:tcBorders>
            <w:shd w:val="clear" w:color="auto" w:fill="auto"/>
            <w:noWrap/>
            <w:vAlign w:val="center"/>
          </w:tcPr>
          <w:p w14:paraId="6D0574F9">
            <w:pPr>
              <w:jc w:val="center"/>
              <w:rPr>
                <w:rFonts w:hint="eastAsia" w:ascii="宋体" w:hAnsi="宋体" w:eastAsia="宋体" w:cs="宋体"/>
                <w:i w:val="0"/>
                <w:iCs w:val="0"/>
                <w:color w:val="000000"/>
                <w:kern w:val="2"/>
                <w:sz w:val="18"/>
                <w:szCs w:val="18"/>
                <w:u w:val="none"/>
                <w:lang w:val="en-US" w:eastAsia="zh-CN" w:bidi="ar-SA"/>
              </w:rPr>
            </w:pPr>
          </w:p>
        </w:tc>
      </w:tr>
      <w:tr w14:paraId="47990A8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37D7837E">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3E18A273">
            <w:pPr>
              <w:keepNext w:val="0"/>
              <w:keepLines w:val="0"/>
              <w:widowControl/>
              <w:suppressLineNumbers w:val="0"/>
              <w:jc w:val="center"/>
              <w:textAlignment w:val="center"/>
              <w:rPr>
                <w:rFonts w:hint="eastAsia"/>
                <w:lang w:val="en-US" w:eastAsia="zh-CN"/>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14</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783A5F9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535E824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-0.309(-0.58 to -0.037)</w:t>
            </w:r>
          </w:p>
        </w:tc>
        <w:tc>
          <w:tcPr>
            <w:tcW w:w="1335" w:type="dxa"/>
            <w:gridSpan w:val="2"/>
            <w:tcBorders>
              <w:tl2br w:val="nil"/>
              <w:tr2bl w:val="nil"/>
            </w:tcBorders>
            <w:shd w:val="clear" w:color="auto" w:fill="auto"/>
            <w:noWrap/>
            <w:vAlign w:val="center"/>
          </w:tcPr>
          <w:p w14:paraId="60263C2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58.05</w:t>
            </w:r>
          </w:p>
        </w:tc>
        <w:tc>
          <w:tcPr>
            <w:tcW w:w="1172" w:type="dxa"/>
            <w:gridSpan w:val="2"/>
            <w:tcBorders>
              <w:tl2br w:val="nil"/>
              <w:tr2bl w:val="nil"/>
            </w:tcBorders>
            <w:shd w:val="clear" w:color="auto" w:fill="auto"/>
            <w:noWrap/>
            <w:vAlign w:val="center"/>
          </w:tcPr>
          <w:p w14:paraId="6CC1EC89">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restart"/>
            <w:tcBorders>
              <w:tl2br w:val="nil"/>
              <w:tr2bl w:val="nil"/>
            </w:tcBorders>
            <w:shd w:val="clear" w:color="auto" w:fill="auto"/>
            <w:noWrap/>
            <w:vAlign w:val="center"/>
          </w:tcPr>
          <w:p w14:paraId="647DEF21">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0.495</w:t>
            </w:r>
          </w:p>
        </w:tc>
      </w:tr>
      <w:tr w14:paraId="023A3CF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137" w:type="dxa"/>
            <w:vMerge w:val="continue"/>
            <w:tcBorders>
              <w:tl2br w:val="nil"/>
              <w:tr2bl w:val="nil"/>
            </w:tcBorders>
            <w:shd w:val="clear" w:color="auto" w:fill="auto"/>
            <w:noWrap/>
            <w:vAlign w:val="center"/>
          </w:tcPr>
          <w:p w14:paraId="39CC6D4E">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30F37AC4">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≤14 total sessions</w:t>
            </w:r>
          </w:p>
        </w:tc>
        <w:tc>
          <w:tcPr>
            <w:tcW w:w="1293" w:type="dxa"/>
            <w:gridSpan w:val="2"/>
            <w:tcBorders>
              <w:tl2br w:val="nil"/>
              <w:tr2bl w:val="nil"/>
            </w:tcBorders>
            <w:shd w:val="clear" w:color="auto" w:fill="auto"/>
            <w:noWrap/>
            <w:vAlign w:val="center"/>
          </w:tcPr>
          <w:p w14:paraId="76AEEE68">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2C96B354">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-0.454(-0.773 to -0.135)</w:t>
            </w:r>
          </w:p>
        </w:tc>
        <w:tc>
          <w:tcPr>
            <w:tcW w:w="1335" w:type="dxa"/>
            <w:gridSpan w:val="2"/>
            <w:tcBorders>
              <w:tl2br w:val="nil"/>
              <w:tr2bl w:val="nil"/>
            </w:tcBorders>
            <w:shd w:val="clear" w:color="auto" w:fill="auto"/>
            <w:noWrap/>
            <w:vAlign w:val="center"/>
          </w:tcPr>
          <w:p w14:paraId="2DCD56BA">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41.95</w:t>
            </w:r>
          </w:p>
        </w:tc>
        <w:tc>
          <w:tcPr>
            <w:tcW w:w="1172" w:type="dxa"/>
            <w:gridSpan w:val="2"/>
            <w:tcBorders>
              <w:tl2br w:val="nil"/>
              <w:tr2bl w:val="nil"/>
            </w:tcBorders>
            <w:shd w:val="clear" w:color="auto" w:fill="auto"/>
            <w:noWrap/>
            <w:vAlign w:val="center"/>
          </w:tcPr>
          <w:p w14:paraId="690A70E2">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w:t>
            </w:r>
          </w:p>
        </w:tc>
        <w:tc>
          <w:tcPr>
            <w:tcW w:w="1818" w:type="dxa"/>
            <w:gridSpan w:val="2"/>
            <w:vMerge w:val="continue"/>
            <w:tcBorders>
              <w:tl2br w:val="nil"/>
              <w:tr2bl w:val="nil"/>
            </w:tcBorders>
            <w:shd w:val="clear" w:color="auto" w:fill="auto"/>
            <w:noWrap/>
            <w:vAlign w:val="center"/>
          </w:tcPr>
          <w:p w14:paraId="78087BA9">
            <w:pPr>
              <w:jc w:val="center"/>
              <w:rPr>
                <w:rFonts w:hint="eastAsia"/>
                <w:lang w:val="en-US" w:eastAsia="zh-CN"/>
              </w:rPr>
            </w:pPr>
          </w:p>
        </w:tc>
      </w:tr>
      <w:tr w14:paraId="47A7937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3E55B6E5">
            <w:pPr>
              <w:rPr>
                <w:rFonts w:hint="default"/>
                <w:lang w:val="en-US" w:eastAsia="zh-CN"/>
              </w:rPr>
            </w:pPr>
            <w:r>
              <w:rPr>
                <w:rFonts w:hint="eastAsia" w:ascii="宋体" w:hAnsi="宋体" w:eastAsia="宋体" w:cs="宋体"/>
                <w:b/>
                <w:bCs/>
                <w:i w:val="0"/>
                <w:iCs w:val="0"/>
                <w:color w:val="000000"/>
                <w:kern w:val="0"/>
                <w:sz w:val="18"/>
                <w:szCs w:val="18"/>
                <w:u w:val="none"/>
                <w:lang w:val="en-US" w:eastAsia="zh-CN" w:bidi="ar"/>
              </w:rPr>
              <w:t>＞10-m linear sprint time （all years）</w:t>
            </w:r>
          </w:p>
        </w:tc>
      </w:tr>
      <w:tr w14:paraId="730F78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1137" w:type="dxa"/>
            <w:vMerge w:val="restart"/>
            <w:tcBorders>
              <w:tl2br w:val="nil"/>
              <w:tr2bl w:val="nil"/>
            </w:tcBorders>
            <w:shd w:val="clear" w:color="auto" w:fill="auto"/>
            <w:noWrap/>
            <w:vAlign w:val="center"/>
          </w:tcPr>
          <w:p w14:paraId="494063F6">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7CA07106">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w:t>
            </w:r>
            <w:r>
              <w:rPr>
                <w:rFonts w:hint="default"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3BAF5743">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16</w:t>
            </w:r>
          </w:p>
        </w:tc>
        <w:tc>
          <w:tcPr>
            <w:tcW w:w="2665" w:type="dxa"/>
            <w:tcBorders>
              <w:tl2br w:val="nil"/>
              <w:tr2bl w:val="nil"/>
            </w:tcBorders>
            <w:shd w:val="clear" w:color="auto" w:fill="auto"/>
            <w:noWrap/>
            <w:vAlign w:val="center"/>
          </w:tcPr>
          <w:p w14:paraId="6CDBC7F0">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-0.557(-0.803 to -0.311)</w:t>
            </w:r>
          </w:p>
        </w:tc>
        <w:tc>
          <w:tcPr>
            <w:tcW w:w="1335" w:type="dxa"/>
            <w:gridSpan w:val="2"/>
            <w:tcBorders>
              <w:tl2br w:val="nil"/>
              <w:tr2bl w:val="nil"/>
            </w:tcBorders>
            <w:shd w:val="clear" w:color="auto" w:fill="auto"/>
            <w:noWrap/>
            <w:vAlign w:val="center"/>
          </w:tcPr>
          <w:p w14:paraId="5BB2363A">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52.61</w:t>
            </w:r>
          </w:p>
        </w:tc>
        <w:tc>
          <w:tcPr>
            <w:tcW w:w="1172" w:type="dxa"/>
            <w:gridSpan w:val="2"/>
            <w:tcBorders>
              <w:tl2br w:val="nil"/>
              <w:tr2bl w:val="nil"/>
            </w:tcBorders>
            <w:shd w:val="clear" w:color="auto" w:fill="auto"/>
            <w:noWrap/>
            <w:vAlign w:val="center"/>
          </w:tcPr>
          <w:p w14:paraId="31FE3F68">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41.3</w:t>
            </w:r>
          </w:p>
        </w:tc>
        <w:tc>
          <w:tcPr>
            <w:tcW w:w="1818" w:type="dxa"/>
            <w:gridSpan w:val="2"/>
            <w:vMerge w:val="restart"/>
            <w:tcBorders>
              <w:tl2br w:val="nil"/>
              <w:tr2bl w:val="nil"/>
            </w:tcBorders>
            <w:shd w:val="clear" w:color="auto" w:fill="auto"/>
            <w:noWrap/>
            <w:vAlign w:val="center"/>
          </w:tcPr>
          <w:p w14:paraId="7E3293EF">
            <w:pPr>
              <w:keepNext w:val="0"/>
              <w:keepLines w:val="0"/>
              <w:widowControl/>
              <w:suppressLineNumbers w:val="0"/>
              <w:jc w:val="center"/>
              <w:textAlignment w:val="center"/>
              <w:rPr>
                <w:rFonts w:hint="default"/>
                <w:lang w:val="en-US" w:eastAsia="zh-CN"/>
              </w:rPr>
            </w:pPr>
            <w:r>
              <w:rPr>
                <w:rFonts w:hint="eastAsia" w:ascii="宋体" w:hAnsi="宋体" w:eastAsia="宋体" w:cs="宋体"/>
                <w:i w:val="0"/>
                <w:iCs w:val="0"/>
                <w:color w:val="000000"/>
                <w:sz w:val="18"/>
                <w:szCs w:val="18"/>
                <w:u w:val="none"/>
                <w:lang w:val="en-US" w:eastAsia="zh-CN"/>
              </w:rPr>
              <w:t>0.402</w:t>
            </w:r>
          </w:p>
        </w:tc>
      </w:tr>
      <w:tr w14:paraId="3E66B6B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70A442A3">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4D57580E">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77F75C02">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18</w:t>
            </w:r>
          </w:p>
        </w:tc>
        <w:tc>
          <w:tcPr>
            <w:tcW w:w="2665" w:type="dxa"/>
            <w:tcBorders>
              <w:tl2br w:val="nil"/>
              <w:tr2bl w:val="nil"/>
            </w:tcBorders>
            <w:shd w:val="clear" w:color="auto" w:fill="auto"/>
            <w:noWrap/>
            <w:vAlign w:val="center"/>
          </w:tcPr>
          <w:p w14:paraId="6C96A072">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-0.412(-0.645 to -0.178)</w:t>
            </w:r>
          </w:p>
        </w:tc>
        <w:tc>
          <w:tcPr>
            <w:tcW w:w="1335" w:type="dxa"/>
            <w:gridSpan w:val="2"/>
            <w:tcBorders>
              <w:tl2br w:val="nil"/>
              <w:tr2bl w:val="nil"/>
            </w:tcBorders>
            <w:shd w:val="clear" w:color="auto" w:fill="auto"/>
            <w:noWrap/>
            <w:vAlign w:val="center"/>
          </w:tcPr>
          <w:p w14:paraId="5E2197DD">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47.39</w:t>
            </w:r>
          </w:p>
        </w:tc>
        <w:tc>
          <w:tcPr>
            <w:tcW w:w="1172" w:type="dxa"/>
            <w:gridSpan w:val="2"/>
            <w:tcBorders>
              <w:tl2br w:val="nil"/>
              <w:tr2bl w:val="nil"/>
            </w:tcBorders>
            <w:shd w:val="clear" w:color="auto" w:fill="auto"/>
            <w:noWrap/>
            <w:vAlign w:val="center"/>
          </w:tcPr>
          <w:p w14:paraId="0D9979B0">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29.2</w:t>
            </w:r>
          </w:p>
        </w:tc>
        <w:tc>
          <w:tcPr>
            <w:tcW w:w="1818" w:type="dxa"/>
            <w:gridSpan w:val="2"/>
            <w:vMerge w:val="continue"/>
            <w:tcBorders>
              <w:tl2br w:val="nil"/>
              <w:tr2bl w:val="nil"/>
            </w:tcBorders>
            <w:shd w:val="clear" w:color="auto" w:fill="auto"/>
            <w:noWrap/>
            <w:vAlign w:val="center"/>
          </w:tcPr>
          <w:p w14:paraId="62770811">
            <w:pPr>
              <w:keepNext w:val="0"/>
              <w:keepLines w:val="0"/>
              <w:widowControl/>
              <w:suppressLineNumbers w:val="0"/>
              <w:jc w:val="center"/>
              <w:textAlignment w:val="center"/>
              <w:rPr>
                <w:rFonts w:hint="eastAsia"/>
                <w:lang w:val="en-US" w:eastAsia="zh-CN"/>
              </w:rPr>
            </w:pPr>
          </w:p>
        </w:tc>
      </w:tr>
      <w:tr w14:paraId="6DC9D93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077444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407A181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≥16</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7F323DA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14</w:t>
            </w:r>
          </w:p>
        </w:tc>
        <w:tc>
          <w:tcPr>
            <w:tcW w:w="2665" w:type="dxa"/>
            <w:tcBorders>
              <w:tl2br w:val="nil"/>
              <w:tr2bl w:val="nil"/>
            </w:tcBorders>
            <w:shd w:val="clear" w:color="auto" w:fill="auto"/>
            <w:noWrap/>
            <w:vAlign w:val="center"/>
          </w:tcPr>
          <w:p w14:paraId="11D1011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-0.626(-0.877 to -0.375)</w:t>
            </w:r>
          </w:p>
        </w:tc>
        <w:tc>
          <w:tcPr>
            <w:tcW w:w="1335" w:type="dxa"/>
            <w:gridSpan w:val="2"/>
            <w:tcBorders>
              <w:tl2br w:val="nil"/>
              <w:tr2bl w:val="nil"/>
            </w:tcBorders>
            <w:shd w:val="clear" w:color="auto" w:fill="auto"/>
            <w:noWrap/>
            <w:vAlign w:val="center"/>
          </w:tcPr>
          <w:p w14:paraId="6BCA5FF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56.93</w:t>
            </w:r>
          </w:p>
        </w:tc>
        <w:tc>
          <w:tcPr>
            <w:tcW w:w="1172" w:type="dxa"/>
            <w:gridSpan w:val="2"/>
            <w:tcBorders>
              <w:tl2br w:val="nil"/>
              <w:tr2bl w:val="nil"/>
            </w:tcBorders>
            <w:shd w:val="clear" w:color="auto" w:fill="auto"/>
            <w:noWrap/>
            <w:vAlign w:val="center"/>
          </w:tcPr>
          <w:p w14:paraId="29D8AB9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47.1</w:t>
            </w:r>
          </w:p>
        </w:tc>
        <w:tc>
          <w:tcPr>
            <w:tcW w:w="1818" w:type="dxa"/>
            <w:gridSpan w:val="2"/>
            <w:vMerge w:val="restart"/>
            <w:tcBorders>
              <w:tl2br w:val="nil"/>
              <w:tr2bl w:val="nil"/>
            </w:tcBorders>
            <w:shd w:val="clear" w:color="auto" w:fill="auto"/>
            <w:noWrap/>
            <w:vAlign w:val="center"/>
          </w:tcPr>
          <w:p w14:paraId="6ED71A2E">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0.054</w:t>
            </w:r>
          </w:p>
        </w:tc>
      </w:tr>
      <w:tr w14:paraId="6EE5212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74556557">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7DDA0A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＜16 total sessions</w:t>
            </w:r>
          </w:p>
        </w:tc>
        <w:tc>
          <w:tcPr>
            <w:tcW w:w="1293" w:type="dxa"/>
            <w:gridSpan w:val="2"/>
            <w:tcBorders>
              <w:tl2br w:val="nil"/>
              <w:tr2bl w:val="nil"/>
            </w:tcBorders>
            <w:shd w:val="clear" w:color="auto" w:fill="auto"/>
            <w:noWrap/>
            <w:vAlign w:val="center"/>
          </w:tcPr>
          <w:p w14:paraId="6D320D0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20</w:t>
            </w:r>
          </w:p>
        </w:tc>
        <w:tc>
          <w:tcPr>
            <w:tcW w:w="2665" w:type="dxa"/>
            <w:tcBorders>
              <w:tl2br w:val="nil"/>
              <w:tr2bl w:val="nil"/>
            </w:tcBorders>
            <w:shd w:val="clear" w:color="auto" w:fill="auto"/>
            <w:noWrap/>
            <w:vAlign w:val="center"/>
          </w:tcPr>
          <w:p w14:paraId="3C14F252">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-0.311(-0.511 to -0.111)</w:t>
            </w:r>
          </w:p>
        </w:tc>
        <w:tc>
          <w:tcPr>
            <w:tcW w:w="1335" w:type="dxa"/>
            <w:gridSpan w:val="2"/>
            <w:tcBorders>
              <w:tl2br w:val="nil"/>
              <w:tr2bl w:val="nil"/>
            </w:tcBorders>
            <w:shd w:val="clear" w:color="auto" w:fill="auto"/>
            <w:noWrap/>
            <w:vAlign w:val="center"/>
          </w:tcPr>
          <w:p w14:paraId="0286A35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43.07</w:t>
            </w:r>
          </w:p>
        </w:tc>
        <w:tc>
          <w:tcPr>
            <w:tcW w:w="1172" w:type="dxa"/>
            <w:gridSpan w:val="2"/>
            <w:tcBorders>
              <w:tl2br w:val="nil"/>
              <w:tr2bl w:val="nil"/>
            </w:tcBorders>
            <w:shd w:val="clear" w:color="auto" w:fill="auto"/>
            <w:noWrap/>
            <w:vAlign w:val="center"/>
          </w:tcPr>
          <w:p w14:paraId="29A078B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1818" w:type="dxa"/>
            <w:gridSpan w:val="2"/>
            <w:vMerge w:val="continue"/>
            <w:tcBorders>
              <w:tl2br w:val="nil"/>
              <w:tr2bl w:val="nil"/>
            </w:tcBorders>
            <w:shd w:val="clear" w:color="auto" w:fill="auto"/>
            <w:noWrap/>
            <w:vAlign w:val="center"/>
          </w:tcPr>
          <w:p w14:paraId="34A80C0C">
            <w:pPr>
              <w:jc w:val="center"/>
              <w:rPr>
                <w:rFonts w:hint="eastAsia" w:ascii="宋体" w:hAnsi="宋体" w:eastAsia="宋体" w:cs="宋体"/>
                <w:i w:val="0"/>
                <w:iCs w:val="0"/>
                <w:color w:val="000000"/>
                <w:kern w:val="2"/>
                <w:sz w:val="18"/>
                <w:szCs w:val="18"/>
                <w:u w:val="none"/>
                <w:lang w:val="en-US" w:eastAsia="zh-CN" w:bidi="ar-SA"/>
              </w:rPr>
            </w:pPr>
          </w:p>
        </w:tc>
      </w:tr>
      <w:tr w14:paraId="13F8E69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01D7ECB9">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change-of-direction time （10-12.99 years）</w:t>
            </w:r>
          </w:p>
        </w:tc>
      </w:tr>
      <w:tr w14:paraId="1C816B2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2DA92C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2EA57B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9</w:t>
            </w:r>
            <w:r>
              <w:rPr>
                <w:rFonts w:hint="default" w:ascii="宋体" w:hAnsi="宋体" w:eastAsia="宋体" w:cs="宋体"/>
                <w:i w:val="0"/>
                <w:iCs w:val="0"/>
                <w:color w:val="000000"/>
                <w:kern w:val="2"/>
                <w:sz w:val="18"/>
                <w:szCs w:val="18"/>
                <w:u w:val="none"/>
                <w:lang w:val="en-US" w:eastAsia="zh-CN" w:bidi="ar-SA"/>
              </w:rPr>
              <w:t xml:space="preserve"> weeks</w:t>
            </w:r>
          </w:p>
        </w:tc>
        <w:tc>
          <w:tcPr>
            <w:tcW w:w="1293" w:type="dxa"/>
            <w:gridSpan w:val="2"/>
            <w:tcBorders>
              <w:tl2br w:val="nil"/>
              <w:tr2bl w:val="nil"/>
            </w:tcBorders>
            <w:shd w:val="clear" w:color="auto" w:fill="auto"/>
            <w:noWrap/>
            <w:vAlign w:val="center"/>
          </w:tcPr>
          <w:p w14:paraId="5A40098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w:t>
            </w:r>
          </w:p>
        </w:tc>
        <w:tc>
          <w:tcPr>
            <w:tcW w:w="2665" w:type="dxa"/>
            <w:tcBorders>
              <w:tl2br w:val="nil"/>
              <w:tr2bl w:val="nil"/>
            </w:tcBorders>
            <w:shd w:val="clear" w:color="auto" w:fill="auto"/>
            <w:noWrap/>
            <w:vAlign w:val="center"/>
          </w:tcPr>
          <w:p w14:paraId="54E38F68">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-0.525(-0.963 to -0.087)</w:t>
            </w:r>
          </w:p>
        </w:tc>
        <w:tc>
          <w:tcPr>
            <w:tcW w:w="1335" w:type="dxa"/>
            <w:gridSpan w:val="2"/>
            <w:tcBorders>
              <w:tl2br w:val="nil"/>
              <w:tr2bl w:val="nil"/>
            </w:tcBorders>
            <w:shd w:val="clear" w:color="auto" w:fill="auto"/>
            <w:noWrap/>
            <w:vAlign w:val="center"/>
          </w:tcPr>
          <w:p w14:paraId="47E302B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49.61</w:t>
            </w:r>
          </w:p>
        </w:tc>
        <w:tc>
          <w:tcPr>
            <w:tcW w:w="1172" w:type="dxa"/>
            <w:gridSpan w:val="2"/>
            <w:tcBorders>
              <w:tl2br w:val="nil"/>
              <w:tr2bl w:val="nil"/>
            </w:tcBorders>
            <w:shd w:val="clear" w:color="auto" w:fill="auto"/>
            <w:noWrap/>
            <w:vAlign w:val="center"/>
          </w:tcPr>
          <w:p w14:paraId="2C8D5B8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33.4</w:t>
            </w:r>
          </w:p>
        </w:tc>
        <w:tc>
          <w:tcPr>
            <w:tcW w:w="1818" w:type="dxa"/>
            <w:gridSpan w:val="2"/>
            <w:vMerge w:val="restart"/>
            <w:tcBorders>
              <w:tl2br w:val="nil"/>
              <w:tr2bl w:val="nil"/>
            </w:tcBorders>
            <w:shd w:val="clear" w:color="auto" w:fill="auto"/>
            <w:noWrap/>
            <w:vAlign w:val="center"/>
          </w:tcPr>
          <w:p w14:paraId="52427D4A">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0.246</w:t>
            </w:r>
          </w:p>
        </w:tc>
      </w:tr>
      <w:tr w14:paraId="667B5B8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6DAC6E90">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6E9172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≤9 weeks</w:t>
            </w:r>
          </w:p>
        </w:tc>
        <w:tc>
          <w:tcPr>
            <w:tcW w:w="1293" w:type="dxa"/>
            <w:gridSpan w:val="2"/>
            <w:tcBorders>
              <w:tl2br w:val="nil"/>
              <w:tr2bl w:val="nil"/>
            </w:tcBorders>
            <w:shd w:val="clear" w:color="auto" w:fill="auto"/>
            <w:noWrap/>
            <w:vAlign w:val="center"/>
          </w:tcPr>
          <w:p w14:paraId="28331794">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65" w:type="dxa"/>
            <w:tcBorders>
              <w:tl2br w:val="nil"/>
              <w:tr2bl w:val="nil"/>
            </w:tcBorders>
            <w:shd w:val="clear" w:color="auto" w:fill="auto"/>
            <w:noWrap/>
            <w:vAlign w:val="center"/>
          </w:tcPr>
          <w:p w14:paraId="4A31E359">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-1.009(-1.699 to -0.319)</w:t>
            </w:r>
          </w:p>
        </w:tc>
        <w:tc>
          <w:tcPr>
            <w:tcW w:w="1335" w:type="dxa"/>
            <w:gridSpan w:val="2"/>
            <w:tcBorders>
              <w:tl2br w:val="nil"/>
              <w:tr2bl w:val="nil"/>
            </w:tcBorders>
            <w:shd w:val="clear" w:color="auto" w:fill="auto"/>
            <w:noWrap/>
            <w:vAlign w:val="center"/>
          </w:tcPr>
          <w:p w14:paraId="24A6E656">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50.39</w:t>
            </w:r>
          </w:p>
        </w:tc>
        <w:tc>
          <w:tcPr>
            <w:tcW w:w="1172" w:type="dxa"/>
            <w:gridSpan w:val="2"/>
            <w:tcBorders>
              <w:tl2br w:val="nil"/>
              <w:tr2bl w:val="nil"/>
            </w:tcBorders>
            <w:shd w:val="clear" w:color="auto" w:fill="auto"/>
            <w:noWrap/>
            <w:vAlign w:val="center"/>
          </w:tcPr>
          <w:p w14:paraId="34C4693B">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64.2</w:t>
            </w:r>
          </w:p>
        </w:tc>
        <w:tc>
          <w:tcPr>
            <w:tcW w:w="1818" w:type="dxa"/>
            <w:gridSpan w:val="2"/>
            <w:vMerge w:val="continue"/>
            <w:tcBorders>
              <w:tl2br w:val="nil"/>
              <w:tr2bl w:val="nil"/>
            </w:tcBorders>
            <w:shd w:val="clear" w:color="auto" w:fill="auto"/>
            <w:noWrap/>
            <w:vAlign w:val="center"/>
          </w:tcPr>
          <w:p w14:paraId="459F4D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12DF57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5BA796D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68145F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default" w:ascii="宋体" w:hAnsi="宋体" w:eastAsia="宋体" w:cs="宋体"/>
                <w:i w:val="0"/>
                <w:iCs w:val="0"/>
                <w:color w:val="000000"/>
                <w:kern w:val="2"/>
                <w:sz w:val="18"/>
                <w:szCs w:val="18"/>
                <w:u w:val="none"/>
                <w:lang w:val="en-US" w:eastAsia="zh-CN" w:bidi="ar-SA"/>
              </w:rPr>
              <w:t>＞</w:t>
            </w:r>
            <w:r>
              <w:rPr>
                <w:rFonts w:hint="eastAsia" w:ascii="宋体" w:hAnsi="宋体" w:eastAsia="宋体" w:cs="宋体"/>
                <w:i w:val="0"/>
                <w:iCs w:val="0"/>
                <w:color w:val="000000"/>
                <w:kern w:val="2"/>
                <w:sz w:val="18"/>
                <w:szCs w:val="18"/>
                <w:u w:val="none"/>
                <w:lang w:val="en-US" w:eastAsia="zh-CN" w:bidi="ar-SA"/>
              </w:rPr>
              <w:t>1</w:t>
            </w:r>
            <w:r>
              <w:rPr>
                <w:rFonts w:hint="default" w:ascii="宋体" w:hAnsi="宋体" w:eastAsia="宋体" w:cs="宋体"/>
                <w:i w:val="0"/>
                <w:iCs w:val="0"/>
                <w:color w:val="000000"/>
                <w:kern w:val="2"/>
                <w:sz w:val="18"/>
                <w:szCs w:val="18"/>
                <w:u w:val="none"/>
                <w:lang w:val="en-US" w:eastAsia="zh-CN" w:bidi="ar-SA"/>
              </w:rPr>
              <w:t xml:space="preserve">8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26E8B179">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w:t>
            </w:r>
          </w:p>
        </w:tc>
        <w:tc>
          <w:tcPr>
            <w:tcW w:w="2665" w:type="dxa"/>
            <w:tcBorders>
              <w:tl2br w:val="nil"/>
              <w:tr2bl w:val="nil"/>
            </w:tcBorders>
            <w:shd w:val="clear" w:color="auto" w:fill="auto"/>
            <w:noWrap/>
            <w:vAlign w:val="center"/>
          </w:tcPr>
          <w:p w14:paraId="3F452C77">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-0.525(-0.963 to -0.087)</w:t>
            </w:r>
          </w:p>
        </w:tc>
        <w:tc>
          <w:tcPr>
            <w:tcW w:w="1335" w:type="dxa"/>
            <w:gridSpan w:val="2"/>
            <w:tcBorders>
              <w:tl2br w:val="nil"/>
              <w:tr2bl w:val="nil"/>
            </w:tcBorders>
            <w:shd w:val="clear" w:color="auto" w:fill="auto"/>
            <w:noWrap/>
            <w:vAlign w:val="center"/>
          </w:tcPr>
          <w:p w14:paraId="5B01A0CB">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49.61</w:t>
            </w:r>
          </w:p>
        </w:tc>
        <w:tc>
          <w:tcPr>
            <w:tcW w:w="1172" w:type="dxa"/>
            <w:gridSpan w:val="2"/>
            <w:tcBorders>
              <w:tl2br w:val="nil"/>
              <w:tr2bl w:val="nil"/>
            </w:tcBorders>
            <w:shd w:val="clear" w:color="auto" w:fill="auto"/>
            <w:noWrap/>
            <w:vAlign w:val="center"/>
          </w:tcPr>
          <w:p w14:paraId="5E64C69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33.4</w:t>
            </w:r>
          </w:p>
        </w:tc>
        <w:tc>
          <w:tcPr>
            <w:tcW w:w="1818" w:type="dxa"/>
            <w:gridSpan w:val="2"/>
            <w:vMerge w:val="restart"/>
            <w:tcBorders>
              <w:tl2br w:val="nil"/>
              <w:tr2bl w:val="nil"/>
            </w:tcBorders>
            <w:shd w:val="clear" w:color="auto" w:fill="auto"/>
            <w:noWrap/>
            <w:vAlign w:val="center"/>
          </w:tcPr>
          <w:p w14:paraId="24D8D87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0.246</w:t>
            </w:r>
          </w:p>
        </w:tc>
      </w:tr>
      <w:tr w14:paraId="7D21342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5D6EB11A">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5405BF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≤18 total sessions</w:t>
            </w:r>
          </w:p>
        </w:tc>
        <w:tc>
          <w:tcPr>
            <w:tcW w:w="1293" w:type="dxa"/>
            <w:gridSpan w:val="2"/>
            <w:tcBorders>
              <w:tl2br w:val="nil"/>
              <w:tr2bl w:val="nil"/>
            </w:tcBorders>
            <w:shd w:val="clear" w:color="auto" w:fill="auto"/>
            <w:noWrap/>
            <w:vAlign w:val="center"/>
          </w:tcPr>
          <w:p w14:paraId="331A6ADC">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65" w:type="dxa"/>
            <w:tcBorders>
              <w:tl2br w:val="nil"/>
              <w:tr2bl w:val="nil"/>
            </w:tcBorders>
            <w:shd w:val="clear" w:color="auto" w:fill="auto"/>
            <w:noWrap/>
            <w:vAlign w:val="center"/>
          </w:tcPr>
          <w:p w14:paraId="3E7E0E3C">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-1.009(-1.699 to -0.319)</w:t>
            </w:r>
          </w:p>
        </w:tc>
        <w:tc>
          <w:tcPr>
            <w:tcW w:w="1335" w:type="dxa"/>
            <w:gridSpan w:val="2"/>
            <w:tcBorders>
              <w:tl2br w:val="nil"/>
              <w:tr2bl w:val="nil"/>
            </w:tcBorders>
            <w:shd w:val="clear" w:color="auto" w:fill="auto"/>
            <w:noWrap/>
            <w:vAlign w:val="center"/>
          </w:tcPr>
          <w:p w14:paraId="3275D916">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50.39</w:t>
            </w:r>
          </w:p>
        </w:tc>
        <w:tc>
          <w:tcPr>
            <w:tcW w:w="1172" w:type="dxa"/>
            <w:gridSpan w:val="2"/>
            <w:tcBorders>
              <w:tl2br w:val="nil"/>
              <w:tr2bl w:val="nil"/>
            </w:tcBorders>
            <w:shd w:val="clear" w:color="auto" w:fill="auto"/>
            <w:noWrap/>
            <w:vAlign w:val="center"/>
          </w:tcPr>
          <w:p w14:paraId="5EC4954C">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64.2</w:t>
            </w:r>
          </w:p>
        </w:tc>
        <w:tc>
          <w:tcPr>
            <w:tcW w:w="1818" w:type="dxa"/>
            <w:gridSpan w:val="2"/>
            <w:vMerge w:val="continue"/>
            <w:tcBorders>
              <w:tl2br w:val="nil"/>
              <w:tr2bl w:val="nil"/>
            </w:tcBorders>
            <w:shd w:val="clear" w:color="auto" w:fill="auto"/>
            <w:noWrap/>
            <w:vAlign w:val="center"/>
          </w:tcPr>
          <w:p w14:paraId="2211FAB6">
            <w:pPr>
              <w:jc w:val="center"/>
              <w:rPr>
                <w:rFonts w:hint="eastAsia" w:ascii="宋体" w:hAnsi="宋体" w:eastAsia="宋体" w:cs="宋体"/>
                <w:i w:val="0"/>
                <w:iCs w:val="0"/>
                <w:color w:val="000000"/>
                <w:kern w:val="0"/>
                <w:sz w:val="18"/>
                <w:szCs w:val="18"/>
                <w:u w:val="none"/>
                <w:lang w:val="en-US" w:eastAsia="zh-CN" w:bidi="ar"/>
              </w:rPr>
            </w:pPr>
          </w:p>
        </w:tc>
      </w:tr>
      <w:tr w14:paraId="30A2411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39763841">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change-of-direction time （13-15.99 years）</w:t>
            </w:r>
          </w:p>
        </w:tc>
      </w:tr>
      <w:tr w14:paraId="7FF73CC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665D10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0C12AA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≥7</w:t>
            </w:r>
            <w:r>
              <w:rPr>
                <w:rFonts w:hint="default" w:ascii="宋体" w:hAnsi="宋体" w:eastAsia="宋体" w:cs="宋体"/>
                <w:i w:val="0"/>
                <w:iCs w:val="0"/>
                <w:color w:val="000000"/>
                <w:kern w:val="2"/>
                <w:sz w:val="18"/>
                <w:szCs w:val="18"/>
                <w:u w:val="none"/>
                <w:lang w:val="en-US" w:eastAsia="zh-CN" w:bidi="ar-SA"/>
              </w:rPr>
              <w:t xml:space="preserve"> weeks</w:t>
            </w:r>
          </w:p>
        </w:tc>
        <w:tc>
          <w:tcPr>
            <w:tcW w:w="1293" w:type="dxa"/>
            <w:gridSpan w:val="2"/>
            <w:tcBorders>
              <w:tl2br w:val="nil"/>
              <w:tr2bl w:val="nil"/>
            </w:tcBorders>
            <w:shd w:val="clear" w:color="auto" w:fill="auto"/>
            <w:noWrap/>
            <w:vAlign w:val="center"/>
          </w:tcPr>
          <w:p w14:paraId="2B9E061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6B3EB14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-0.684(-1.047 to -0.32)</w:t>
            </w:r>
          </w:p>
        </w:tc>
        <w:tc>
          <w:tcPr>
            <w:tcW w:w="1335" w:type="dxa"/>
            <w:gridSpan w:val="2"/>
            <w:tcBorders>
              <w:tl2br w:val="nil"/>
              <w:tr2bl w:val="nil"/>
            </w:tcBorders>
            <w:shd w:val="clear" w:color="auto" w:fill="auto"/>
            <w:noWrap/>
            <w:vAlign w:val="center"/>
          </w:tcPr>
          <w:p w14:paraId="7CB8803D">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82.28</w:t>
            </w:r>
          </w:p>
        </w:tc>
        <w:tc>
          <w:tcPr>
            <w:tcW w:w="1172" w:type="dxa"/>
            <w:gridSpan w:val="2"/>
            <w:tcBorders>
              <w:tl2br w:val="nil"/>
              <w:tr2bl w:val="nil"/>
            </w:tcBorders>
            <w:shd w:val="clear" w:color="auto" w:fill="auto"/>
            <w:noWrap/>
            <w:vAlign w:val="center"/>
          </w:tcPr>
          <w:p w14:paraId="0945B538">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45.5</w:t>
            </w:r>
          </w:p>
        </w:tc>
        <w:tc>
          <w:tcPr>
            <w:tcW w:w="1818" w:type="dxa"/>
            <w:gridSpan w:val="2"/>
            <w:vMerge w:val="restart"/>
            <w:tcBorders>
              <w:tl2br w:val="nil"/>
              <w:tr2bl w:val="nil"/>
            </w:tcBorders>
            <w:shd w:val="clear" w:color="auto" w:fill="auto"/>
            <w:noWrap/>
            <w:vAlign w:val="center"/>
          </w:tcPr>
          <w:p w14:paraId="75EAF869">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0.673</w:t>
            </w:r>
          </w:p>
        </w:tc>
      </w:tr>
      <w:tr w14:paraId="680EEBD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1CE49432">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637841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＜7 weeks</w:t>
            </w:r>
          </w:p>
        </w:tc>
        <w:tc>
          <w:tcPr>
            <w:tcW w:w="1293" w:type="dxa"/>
            <w:gridSpan w:val="2"/>
            <w:tcBorders>
              <w:tl2br w:val="nil"/>
              <w:tr2bl w:val="nil"/>
            </w:tcBorders>
            <w:shd w:val="clear" w:color="auto" w:fill="auto"/>
            <w:noWrap/>
            <w:vAlign w:val="center"/>
          </w:tcPr>
          <w:p w14:paraId="4FF73D5A">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65" w:type="dxa"/>
            <w:tcBorders>
              <w:tl2br w:val="nil"/>
              <w:tr2bl w:val="nil"/>
            </w:tcBorders>
            <w:shd w:val="clear" w:color="auto" w:fill="auto"/>
            <w:noWrap/>
            <w:vAlign w:val="center"/>
          </w:tcPr>
          <w:p w14:paraId="784B2F43">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-0.528(-1.152 to 0.096)</w:t>
            </w:r>
          </w:p>
        </w:tc>
        <w:tc>
          <w:tcPr>
            <w:tcW w:w="1335" w:type="dxa"/>
            <w:gridSpan w:val="2"/>
            <w:tcBorders>
              <w:tl2br w:val="nil"/>
              <w:tr2bl w:val="nil"/>
            </w:tcBorders>
            <w:shd w:val="clear" w:color="auto" w:fill="auto"/>
            <w:noWrap/>
            <w:vAlign w:val="center"/>
          </w:tcPr>
          <w:p w14:paraId="4716D08A">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17.72</w:t>
            </w:r>
          </w:p>
        </w:tc>
        <w:tc>
          <w:tcPr>
            <w:tcW w:w="1172" w:type="dxa"/>
            <w:gridSpan w:val="2"/>
            <w:tcBorders>
              <w:tl2br w:val="nil"/>
              <w:tr2bl w:val="nil"/>
            </w:tcBorders>
            <w:shd w:val="clear" w:color="auto" w:fill="auto"/>
            <w:noWrap/>
            <w:vAlign w:val="center"/>
          </w:tcPr>
          <w:p w14:paraId="39B19955">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818" w:type="dxa"/>
            <w:gridSpan w:val="2"/>
            <w:vMerge w:val="continue"/>
            <w:tcBorders>
              <w:tl2br w:val="nil"/>
              <w:tr2bl w:val="nil"/>
            </w:tcBorders>
            <w:shd w:val="clear" w:color="auto" w:fill="auto"/>
            <w:noWrap/>
            <w:vAlign w:val="center"/>
          </w:tcPr>
          <w:p w14:paraId="791DEE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134BFE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366DD5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57985B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≥14</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1B342241">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w:t>
            </w:r>
          </w:p>
        </w:tc>
        <w:tc>
          <w:tcPr>
            <w:tcW w:w="2665" w:type="dxa"/>
            <w:tcBorders>
              <w:tl2br w:val="nil"/>
              <w:tr2bl w:val="nil"/>
            </w:tcBorders>
            <w:shd w:val="clear" w:color="auto" w:fill="auto"/>
            <w:noWrap/>
            <w:vAlign w:val="center"/>
          </w:tcPr>
          <w:p w14:paraId="0ADBF52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-0.684(-1.047 to -0.32)</w:t>
            </w:r>
          </w:p>
        </w:tc>
        <w:tc>
          <w:tcPr>
            <w:tcW w:w="1335" w:type="dxa"/>
            <w:gridSpan w:val="2"/>
            <w:tcBorders>
              <w:tl2br w:val="nil"/>
              <w:tr2bl w:val="nil"/>
            </w:tcBorders>
            <w:shd w:val="clear" w:color="auto" w:fill="auto"/>
            <w:noWrap/>
            <w:vAlign w:val="center"/>
          </w:tcPr>
          <w:p w14:paraId="16A63B2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82.28</w:t>
            </w:r>
          </w:p>
        </w:tc>
        <w:tc>
          <w:tcPr>
            <w:tcW w:w="1172" w:type="dxa"/>
            <w:gridSpan w:val="2"/>
            <w:tcBorders>
              <w:tl2br w:val="nil"/>
              <w:tr2bl w:val="nil"/>
            </w:tcBorders>
            <w:shd w:val="clear" w:color="auto" w:fill="auto"/>
            <w:noWrap/>
            <w:vAlign w:val="center"/>
          </w:tcPr>
          <w:p w14:paraId="2893093A">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45.5</w:t>
            </w:r>
          </w:p>
        </w:tc>
        <w:tc>
          <w:tcPr>
            <w:tcW w:w="1818" w:type="dxa"/>
            <w:gridSpan w:val="2"/>
            <w:vMerge w:val="restart"/>
            <w:tcBorders>
              <w:tl2br w:val="nil"/>
              <w:tr2bl w:val="nil"/>
            </w:tcBorders>
            <w:shd w:val="clear" w:color="auto" w:fill="auto"/>
            <w:noWrap/>
            <w:vAlign w:val="center"/>
          </w:tcPr>
          <w:p w14:paraId="4784B5CD">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0.673</w:t>
            </w:r>
          </w:p>
        </w:tc>
      </w:tr>
      <w:tr w14:paraId="63C887F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05B40EDC">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6A809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＜14 total sessions</w:t>
            </w:r>
          </w:p>
        </w:tc>
        <w:tc>
          <w:tcPr>
            <w:tcW w:w="1293" w:type="dxa"/>
            <w:gridSpan w:val="2"/>
            <w:tcBorders>
              <w:tl2br w:val="nil"/>
              <w:tr2bl w:val="nil"/>
            </w:tcBorders>
            <w:shd w:val="clear" w:color="auto" w:fill="auto"/>
            <w:noWrap/>
            <w:vAlign w:val="center"/>
          </w:tcPr>
          <w:p w14:paraId="6211625B">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65" w:type="dxa"/>
            <w:tcBorders>
              <w:tl2br w:val="nil"/>
              <w:tr2bl w:val="nil"/>
            </w:tcBorders>
            <w:shd w:val="clear" w:color="auto" w:fill="auto"/>
            <w:noWrap/>
            <w:vAlign w:val="center"/>
          </w:tcPr>
          <w:p w14:paraId="593A68EE">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-0.528(-1.152 to 0.096)</w:t>
            </w:r>
          </w:p>
        </w:tc>
        <w:tc>
          <w:tcPr>
            <w:tcW w:w="1335" w:type="dxa"/>
            <w:gridSpan w:val="2"/>
            <w:tcBorders>
              <w:tl2br w:val="nil"/>
              <w:tr2bl w:val="nil"/>
            </w:tcBorders>
            <w:shd w:val="clear" w:color="auto" w:fill="auto"/>
            <w:noWrap/>
            <w:vAlign w:val="center"/>
          </w:tcPr>
          <w:p w14:paraId="38288290">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17.72</w:t>
            </w:r>
          </w:p>
        </w:tc>
        <w:tc>
          <w:tcPr>
            <w:tcW w:w="1172" w:type="dxa"/>
            <w:gridSpan w:val="2"/>
            <w:tcBorders>
              <w:tl2br w:val="nil"/>
              <w:tr2bl w:val="nil"/>
            </w:tcBorders>
            <w:shd w:val="clear" w:color="auto" w:fill="auto"/>
            <w:noWrap/>
            <w:vAlign w:val="center"/>
          </w:tcPr>
          <w:p w14:paraId="74C03EF5">
            <w:pPr>
              <w:jc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818" w:type="dxa"/>
            <w:gridSpan w:val="2"/>
            <w:vMerge w:val="continue"/>
            <w:tcBorders>
              <w:tl2br w:val="nil"/>
              <w:tr2bl w:val="nil"/>
            </w:tcBorders>
            <w:shd w:val="clear" w:color="auto" w:fill="auto"/>
            <w:noWrap/>
            <w:vAlign w:val="center"/>
          </w:tcPr>
          <w:p w14:paraId="61311F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0572C3F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7" w:hRule="atLeast"/>
          <w:jc w:val="center"/>
        </w:trPr>
        <w:tc>
          <w:tcPr>
            <w:tcW w:w="11538" w:type="dxa"/>
            <w:gridSpan w:val="12"/>
            <w:tcBorders>
              <w:tl2br w:val="nil"/>
              <w:tr2bl w:val="nil"/>
            </w:tcBorders>
            <w:shd w:val="clear" w:color="auto" w:fill="auto"/>
            <w:noWrap/>
            <w:vAlign w:val="center"/>
          </w:tcPr>
          <w:p w14:paraId="7DA050C2">
            <w:pP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change-of-direction time （all years）</w:t>
            </w:r>
          </w:p>
        </w:tc>
      </w:tr>
      <w:tr w14:paraId="085E395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335B02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Duration</w:t>
            </w:r>
          </w:p>
        </w:tc>
        <w:tc>
          <w:tcPr>
            <w:tcW w:w="2118" w:type="dxa"/>
            <w:gridSpan w:val="2"/>
            <w:tcBorders>
              <w:tl2br w:val="nil"/>
              <w:tr2bl w:val="nil"/>
            </w:tcBorders>
            <w:shd w:val="clear" w:color="auto" w:fill="auto"/>
            <w:noWrap/>
            <w:vAlign w:val="center"/>
          </w:tcPr>
          <w:p w14:paraId="7793F8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w:t>
            </w:r>
            <w:r>
              <w:rPr>
                <w:rFonts w:hint="default"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55B9782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11</w:t>
            </w:r>
          </w:p>
        </w:tc>
        <w:tc>
          <w:tcPr>
            <w:tcW w:w="2665" w:type="dxa"/>
            <w:tcBorders>
              <w:tl2br w:val="nil"/>
              <w:tr2bl w:val="nil"/>
            </w:tcBorders>
            <w:shd w:val="clear" w:color="auto" w:fill="auto"/>
            <w:noWrap/>
            <w:vAlign w:val="center"/>
          </w:tcPr>
          <w:p w14:paraId="0586509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-1.006(-1.474 to -0.538)</w:t>
            </w:r>
          </w:p>
        </w:tc>
        <w:tc>
          <w:tcPr>
            <w:tcW w:w="1335" w:type="dxa"/>
            <w:gridSpan w:val="2"/>
            <w:tcBorders>
              <w:tl2br w:val="nil"/>
              <w:tr2bl w:val="nil"/>
            </w:tcBorders>
            <w:shd w:val="clear" w:color="auto" w:fill="auto"/>
            <w:noWrap/>
            <w:vAlign w:val="center"/>
          </w:tcPr>
          <w:p w14:paraId="5055E8B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46.91</w:t>
            </w:r>
          </w:p>
        </w:tc>
        <w:tc>
          <w:tcPr>
            <w:tcW w:w="1172" w:type="dxa"/>
            <w:gridSpan w:val="2"/>
            <w:tcBorders>
              <w:tl2br w:val="nil"/>
              <w:tr2bl w:val="nil"/>
            </w:tcBorders>
            <w:shd w:val="clear" w:color="auto" w:fill="auto"/>
            <w:noWrap/>
            <w:vAlign w:val="center"/>
          </w:tcPr>
          <w:p w14:paraId="51639409">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70.3</w:t>
            </w:r>
          </w:p>
        </w:tc>
        <w:tc>
          <w:tcPr>
            <w:tcW w:w="1818" w:type="dxa"/>
            <w:gridSpan w:val="2"/>
            <w:vMerge w:val="restart"/>
            <w:tcBorders>
              <w:tl2br w:val="nil"/>
              <w:tr2bl w:val="nil"/>
            </w:tcBorders>
            <w:shd w:val="clear" w:color="auto" w:fill="auto"/>
            <w:noWrap/>
            <w:vAlign w:val="center"/>
          </w:tcPr>
          <w:p w14:paraId="660902B3">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0.467</w:t>
            </w:r>
          </w:p>
        </w:tc>
      </w:tr>
      <w:tr w14:paraId="3FB6CE7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continue"/>
            <w:tcBorders>
              <w:tl2br w:val="nil"/>
              <w:tr2bl w:val="nil"/>
            </w:tcBorders>
            <w:shd w:val="clear" w:color="auto" w:fill="auto"/>
            <w:noWrap/>
            <w:vAlign w:val="center"/>
          </w:tcPr>
          <w:p w14:paraId="43172DA8">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1D2751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＜8 weeks</w:t>
            </w:r>
          </w:p>
        </w:tc>
        <w:tc>
          <w:tcPr>
            <w:tcW w:w="1293" w:type="dxa"/>
            <w:gridSpan w:val="2"/>
            <w:tcBorders>
              <w:tl2br w:val="nil"/>
              <w:tr2bl w:val="nil"/>
            </w:tcBorders>
            <w:shd w:val="clear" w:color="auto" w:fill="auto"/>
            <w:noWrap/>
            <w:vAlign w:val="center"/>
          </w:tcPr>
          <w:p w14:paraId="439AE8A1">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65" w:type="dxa"/>
            <w:tcBorders>
              <w:tl2br w:val="nil"/>
              <w:tr2bl w:val="nil"/>
            </w:tcBorders>
            <w:shd w:val="clear" w:color="auto" w:fill="auto"/>
            <w:noWrap/>
            <w:vAlign w:val="center"/>
          </w:tcPr>
          <w:p w14:paraId="1A82D54D">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-0.8(-1.099 to -0.501)</w:t>
            </w:r>
          </w:p>
        </w:tc>
        <w:tc>
          <w:tcPr>
            <w:tcW w:w="1335" w:type="dxa"/>
            <w:gridSpan w:val="2"/>
            <w:tcBorders>
              <w:tl2br w:val="nil"/>
              <w:tr2bl w:val="nil"/>
            </w:tcBorders>
            <w:shd w:val="clear" w:color="auto" w:fill="auto"/>
            <w:noWrap/>
            <w:vAlign w:val="center"/>
          </w:tcPr>
          <w:p w14:paraId="45687D74">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53.09</w:t>
            </w:r>
          </w:p>
        </w:tc>
        <w:tc>
          <w:tcPr>
            <w:tcW w:w="1172" w:type="dxa"/>
            <w:gridSpan w:val="2"/>
            <w:tcBorders>
              <w:tl2br w:val="nil"/>
              <w:tr2bl w:val="nil"/>
            </w:tcBorders>
            <w:shd w:val="clear" w:color="auto" w:fill="auto"/>
            <w:noWrap/>
            <w:vAlign w:val="center"/>
          </w:tcPr>
          <w:p w14:paraId="021C39FC">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40.1</w:t>
            </w:r>
          </w:p>
        </w:tc>
        <w:tc>
          <w:tcPr>
            <w:tcW w:w="1818" w:type="dxa"/>
            <w:gridSpan w:val="2"/>
            <w:vMerge w:val="continue"/>
            <w:tcBorders>
              <w:tl2br w:val="nil"/>
              <w:tr2bl w:val="nil"/>
            </w:tcBorders>
            <w:shd w:val="clear" w:color="auto" w:fill="auto"/>
            <w:noWrap/>
            <w:vAlign w:val="center"/>
          </w:tcPr>
          <w:p w14:paraId="561E75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14:paraId="2C46991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 w:hRule="atLeast"/>
          <w:jc w:val="center"/>
        </w:trPr>
        <w:tc>
          <w:tcPr>
            <w:tcW w:w="1137" w:type="dxa"/>
            <w:vMerge w:val="restart"/>
            <w:tcBorders>
              <w:tl2br w:val="nil"/>
              <w:tr2bl w:val="nil"/>
            </w:tcBorders>
            <w:shd w:val="clear" w:color="auto" w:fill="auto"/>
            <w:noWrap/>
            <w:vAlign w:val="center"/>
          </w:tcPr>
          <w:p w14:paraId="35E5AC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Sessions</w:t>
            </w:r>
          </w:p>
        </w:tc>
        <w:tc>
          <w:tcPr>
            <w:tcW w:w="2118" w:type="dxa"/>
            <w:gridSpan w:val="2"/>
            <w:tcBorders>
              <w:tl2br w:val="nil"/>
              <w:tr2bl w:val="nil"/>
            </w:tcBorders>
            <w:shd w:val="clear" w:color="auto" w:fill="auto"/>
            <w:noWrap/>
            <w:vAlign w:val="center"/>
          </w:tcPr>
          <w:p w14:paraId="74268A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≥16</w:t>
            </w:r>
            <w:r>
              <w:rPr>
                <w:rFonts w:hint="default" w:ascii="宋体" w:hAnsi="宋体" w:eastAsia="宋体" w:cs="宋体"/>
                <w:i w:val="0"/>
                <w:iCs w:val="0"/>
                <w:color w:val="000000"/>
                <w:kern w:val="2"/>
                <w:sz w:val="18"/>
                <w:szCs w:val="18"/>
                <w:u w:val="none"/>
                <w:lang w:val="en-US" w:eastAsia="zh-CN" w:bidi="ar-SA"/>
              </w:rPr>
              <w:t xml:space="preserve"> </w:t>
            </w:r>
            <w:r>
              <w:rPr>
                <w:rFonts w:hint="eastAsia" w:ascii="宋体" w:hAnsi="宋体" w:eastAsia="宋体" w:cs="宋体"/>
                <w:i w:val="0"/>
                <w:iCs w:val="0"/>
                <w:color w:val="000000"/>
                <w:kern w:val="2"/>
                <w:sz w:val="18"/>
                <w:szCs w:val="18"/>
                <w:u w:val="none"/>
                <w:lang w:val="en-US" w:eastAsia="zh-CN" w:bidi="ar-SA"/>
              </w:rPr>
              <w:t>total sessions</w:t>
            </w:r>
          </w:p>
        </w:tc>
        <w:tc>
          <w:tcPr>
            <w:tcW w:w="1293" w:type="dxa"/>
            <w:gridSpan w:val="2"/>
            <w:tcBorders>
              <w:tl2br w:val="nil"/>
              <w:tr2bl w:val="nil"/>
            </w:tcBorders>
            <w:shd w:val="clear" w:color="auto" w:fill="auto"/>
            <w:noWrap/>
            <w:vAlign w:val="center"/>
          </w:tcPr>
          <w:p w14:paraId="4DF1A01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13</w:t>
            </w:r>
          </w:p>
        </w:tc>
        <w:tc>
          <w:tcPr>
            <w:tcW w:w="2665" w:type="dxa"/>
            <w:tcBorders>
              <w:tl2br w:val="nil"/>
              <w:tr2bl w:val="nil"/>
            </w:tcBorders>
            <w:shd w:val="clear" w:color="auto" w:fill="auto"/>
            <w:noWrap/>
            <w:vAlign w:val="center"/>
          </w:tcPr>
          <w:p w14:paraId="3990359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-1.089(-1.52 to -0.659)</w:t>
            </w:r>
          </w:p>
        </w:tc>
        <w:tc>
          <w:tcPr>
            <w:tcW w:w="1335" w:type="dxa"/>
            <w:gridSpan w:val="2"/>
            <w:tcBorders>
              <w:tl2br w:val="nil"/>
              <w:tr2bl w:val="nil"/>
            </w:tcBorders>
            <w:shd w:val="clear" w:color="auto" w:fill="auto"/>
            <w:noWrap/>
            <w:vAlign w:val="center"/>
          </w:tcPr>
          <w:p w14:paraId="3B0644E0">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54.09</w:t>
            </w:r>
          </w:p>
        </w:tc>
        <w:tc>
          <w:tcPr>
            <w:tcW w:w="1172" w:type="dxa"/>
            <w:gridSpan w:val="2"/>
            <w:tcBorders>
              <w:tl2br w:val="nil"/>
              <w:tr2bl w:val="nil"/>
            </w:tcBorders>
            <w:shd w:val="clear" w:color="auto" w:fill="auto"/>
            <w:noWrap/>
            <w:vAlign w:val="center"/>
          </w:tcPr>
          <w:p w14:paraId="5B4F231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68.7</w:t>
            </w:r>
          </w:p>
        </w:tc>
        <w:tc>
          <w:tcPr>
            <w:tcW w:w="1818" w:type="dxa"/>
            <w:gridSpan w:val="2"/>
            <w:vMerge w:val="restart"/>
            <w:tcBorders>
              <w:tl2br w:val="nil"/>
              <w:tr2bl w:val="nil"/>
            </w:tcBorders>
            <w:shd w:val="clear" w:color="auto" w:fill="auto"/>
            <w:noWrap/>
            <w:vAlign w:val="center"/>
          </w:tcPr>
          <w:p w14:paraId="40DEC455">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0.107</w:t>
            </w:r>
          </w:p>
        </w:tc>
      </w:tr>
      <w:tr w14:paraId="3F8931F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 w:hRule="atLeast"/>
          <w:jc w:val="center"/>
        </w:trPr>
        <w:tc>
          <w:tcPr>
            <w:tcW w:w="1137" w:type="dxa"/>
            <w:vMerge w:val="continue"/>
            <w:tcBorders>
              <w:tl2br w:val="nil"/>
              <w:tr2bl w:val="nil"/>
            </w:tcBorders>
            <w:shd w:val="clear" w:color="auto" w:fill="auto"/>
            <w:noWrap/>
            <w:vAlign w:val="center"/>
          </w:tcPr>
          <w:p w14:paraId="320F1ACD">
            <w:pPr>
              <w:keepNext w:val="0"/>
              <w:keepLines w:val="0"/>
              <w:widowControl/>
              <w:suppressLineNumbers w:val="0"/>
              <w:jc w:val="center"/>
              <w:textAlignment w:val="center"/>
            </w:pPr>
          </w:p>
        </w:tc>
        <w:tc>
          <w:tcPr>
            <w:tcW w:w="2118" w:type="dxa"/>
            <w:gridSpan w:val="2"/>
            <w:tcBorders>
              <w:tl2br w:val="nil"/>
              <w:tr2bl w:val="nil"/>
            </w:tcBorders>
            <w:shd w:val="clear" w:color="auto" w:fill="auto"/>
            <w:noWrap/>
            <w:vAlign w:val="center"/>
          </w:tcPr>
          <w:p w14:paraId="091D0A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2"/>
                <w:sz w:val="18"/>
                <w:szCs w:val="18"/>
                <w:u w:val="none"/>
                <w:lang w:val="en-US" w:eastAsia="zh-CN" w:bidi="ar-SA"/>
              </w:rPr>
              <w:t>＜16 total sessions</w:t>
            </w:r>
          </w:p>
        </w:tc>
        <w:tc>
          <w:tcPr>
            <w:tcW w:w="1293" w:type="dxa"/>
            <w:gridSpan w:val="2"/>
            <w:tcBorders>
              <w:tl2br w:val="nil"/>
              <w:tr2bl w:val="nil"/>
            </w:tcBorders>
            <w:shd w:val="clear" w:color="auto" w:fill="auto"/>
            <w:noWrap/>
            <w:vAlign w:val="center"/>
          </w:tcPr>
          <w:p w14:paraId="1DF2EB1A">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65" w:type="dxa"/>
            <w:tcBorders>
              <w:tl2br w:val="nil"/>
              <w:tr2bl w:val="nil"/>
            </w:tcBorders>
            <w:shd w:val="clear" w:color="auto" w:fill="auto"/>
            <w:noWrap/>
            <w:vAlign w:val="center"/>
          </w:tcPr>
          <w:p w14:paraId="4DF3EEE1">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-0.671(-0.942 to -0.4)</w:t>
            </w:r>
          </w:p>
        </w:tc>
        <w:tc>
          <w:tcPr>
            <w:tcW w:w="1335" w:type="dxa"/>
            <w:gridSpan w:val="2"/>
            <w:tcBorders>
              <w:tl2br w:val="nil"/>
              <w:tr2bl w:val="nil"/>
            </w:tcBorders>
            <w:shd w:val="clear" w:color="auto" w:fill="auto"/>
            <w:noWrap/>
            <w:vAlign w:val="center"/>
          </w:tcPr>
          <w:p w14:paraId="279784BF">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45.91</w:t>
            </w:r>
          </w:p>
        </w:tc>
        <w:tc>
          <w:tcPr>
            <w:tcW w:w="1172" w:type="dxa"/>
            <w:gridSpan w:val="2"/>
            <w:tcBorders>
              <w:tl2br w:val="nil"/>
              <w:tr2bl w:val="nil"/>
            </w:tcBorders>
            <w:shd w:val="clear" w:color="auto" w:fill="auto"/>
            <w:noWrap/>
            <w:vAlign w:val="center"/>
          </w:tcPr>
          <w:p w14:paraId="386ABB73">
            <w:pPr>
              <w:jc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21.8</w:t>
            </w:r>
          </w:p>
        </w:tc>
        <w:tc>
          <w:tcPr>
            <w:tcW w:w="1818" w:type="dxa"/>
            <w:gridSpan w:val="2"/>
            <w:vMerge w:val="continue"/>
            <w:tcBorders>
              <w:tl2br w:val="nil"/>
              <w:tr2bl w:val="nil"/>
            </w:tcBorders>
            <w:shd w:val="clear" w:color="auto" w:fill="auto"/>
            <w:noWrap/>
            <w:vAlign w:val="center"/>
          </w:tcPr>
          <w:p w14:paraId="2BA6D31E">
            <w:pPr>
              <w:jc w:val="center"/>
              <w:rPr>
                <w:rFonts w:hint="eastAsia" w:ascii="宋体" w:hAnsi="宋体" w:eastAsia="宋体" w:cs="宋体"/>
                <w:i w:val="0"/>
                <w:iCs w:val="0"/>
                <w:color w:val="000000"/>
                <w:kern w:val="0"/>
                <w:sz w:val="18"/>
                <w:szCs w:val="18"/>
                <w:u w:val="none"/>
                <w:lang w:val="en-US" w:eastAsia="zh-CN" w:bidi="ar"/>
              </w:rPr>
            </w:pPr>
          </w:p>
        </w:tc>
      </w:tr>
    </w:tbl>
    <w:p w14:paraId="714F0513">
      <w:pPr>
        <w:rPr>
          <w:rFonts w:hint="eastAsia"/>
        </w:rPr>
      </w:pPr>
    </w:p>
    <w:p w14:paraId="4EA975A9">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rFonts w:hint="default"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Abbreviations: ES = effect sizes (Hedge’s g);95%CI = 95% confidence interval.</w:t>
      </w:r>
    </w:p>
    <w:p w14:paraId="27EC8BB9">
      <w:pPr>
        <w:rPr>
          <w:rFonts w:hint="eastAsia"/>
        </w:rPr>
      </w:pPr>
    </w:p>
    <w:p w14:paraId="13D2B257">
      <w:pPr>
        <w:rPr>
          <w:rFonts w:hint="eastAsia"/>
        </w:rPr>
      </w:pPr>
    </w:p>
    <w:p w14:paraId="799400DC">
      <w:pPr>
        <w:rPr>
          <w:rFonts w:hint="eastAsia"/>
        </w:rPr>
      </w:pPr>
    </w:p>
    <w:p w14:paraId="66D2B942">
      <w:pPr>
        <w:rPr>
          <w:rFonts w:hint="eastAsia"/>
        </w:rPr>
      </w:pPr>
    </w:p>
    <w:p w14:paraId="469AFBDF">
      <w:pPr>
        <w:rPr>
          <w:rFonts w:hint="eastAsia"/>
        </w:rPr>
      </w:pPr>
    </w:p>
    <w:p w14:paraId="6FAB2BF3">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Supplementary Table </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 xml:space="preserve">. </w:t>
      </w:r>
    </w:p>
    <w:p w14:paraId="12A0B6C7">
      <w:pPr>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Meta-Regression Results of Training Variables for Predicting the Impact of Plyometric Training on Countermovement Jump Height in Youth Male Team Sports Players</w:t>
      </w:r>
      <w:r>
        <w:rPr>
          <w:rFonts w:hint="eastAsia" w:ascii="Times New Roman" w:hAnsi="Times New Roman" w:eastAsia="宋体" w:cs="Times New Roman"/>
          <w:sz w:val="24"/>
          <w:szCs w:val="24"/>
          <w:lang w:val="en-US" w:eastAsia="zh-CN"/>
        </w:rPr>
        <w:t>.</w:t>
      </w:r>
    </w:p>
    <w:tbl>
      <w:tblPr>
        <w:tblStyle w:val="3"/>
        <w:tblpPr w:leftFromText="180" w:rightFromText="180" w:vertAnchor="text" w:horzAnchor="page" w:tblpXSpec="center" w:tblpY="248"/>
        <w:tblOverlap w:val="never"/>
        <w:tblW w:w="9408"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67"/>
        <w:gridCol w:w="1524"/>
        <w:gridCol w:w="2300"/>
        <w:gridCol w:w="1887"/>
        <w:gridCol w:w="1030"/>
      </w:tblGrid>
      <w:tr w14:paraId="5F42C3F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jc w:val="center"/>
        </w:trPr>
        <w:tc>
          <w:tcPr>
            <w:tcW w:w="2667" w:type="dxa"/>
            <w:tcBorders>
              <w:bottom w:val="single" w:color="auto" w:sz="6" w:space="0"/>
            </w:tcBorders>
            <w:shd w:val="clear" w:color="auto" w:fill="auto"/>
            <w:noWrap/>
            <w:vAlign w:val="center"/>
          </w:tcPr>
          <w:p w14:paraId="190997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bookmarkStart w:id="1" w:name="_GoBack"/>
            <w:bookmarkEnd w:id="1"/>
            <w:r>
              <w:rPr>
                <w:rFonts w:hint="eastAsia" w:ascii="宋体" w:hAnsi="宋体" w:eastAsia="宋体" w:cs="宋体"/>
                <w:i w:val="0"/>
                <w:iCs w:val="0"/>
                <w:color w:val="000000"/>
                <w:kern w:val="0"/>
                <w:sz w:val="18"/>
                <w:szCs w:val="18"/>
                <w:u w:val="none"/>
                <w:lang w:val="en-US" w:eastAsia="zh-CN" w:bidi="ar"/>
              </w:rPr>
              <w:t>Covariate</w:t>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1" name="图片_1"/>
                  <wp:cNvGraphicFramePr/>
                  <a:graphic xmlns:a="http://schemas.openxmlformats.org/drawingml/2006/main">
                    <a:graphicData uri="http://schemas.openxmlformats.org/drawingml/2006/picture">
                      <pic:pic xmlns:pic="http://schemas.openxmlformats.org/drawingml/2006/picture">
                        <pic:nvPicPr>
                          <pic:cNvPr id="1" name="图片_1"/>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2" name="图片_14"/>
                  <wp:cNvGraphicFramePr/>
                  <a:graphic xmlns:a="http://schemas.openxmlformats.org/drawingml/2006/main">
                    <a:graphicData uri="http://schemas.openxmlformats.org/drawingml/2006/picture">
                      <pic:pic xmlns:pic="http://schemas.openxmlformats.org/drawingml/2006/picture">
                        <pic:nvPicPr>
                          <pic:cNvPr id="2" name="图片_14"/>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3" name="图片_15"/>
                  <wp:cNvGraphicFramePr/>
                  <a:graphic xmlns:a="http://schemas.openxmlformats.org/drawingml/2006/main">
                    <a:graphicData uri="http://schemas.openxmlformats.org/drawingml/2006/picture">
                      <pic:pic xmlns:pic="http://schemas.openxmlformats.org/drawingml/2006/picture">
                        <pic:nvPicPr>
                          <pic:cNvPr id="3" name="图片_15"/>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4" name="图片_28"/>
                  <wp:cNvGraphicFramePr/>
                  <a:graphic xmlns:a="http://schemas.openxmlformats.org/drawingml/2006/main">
                    <a:graphicData uri="http://schemas.openxmlformats.org/drawingml/2006/picture">
                      <pic:pic xmlns:pic="http://schemas.openxmlformats.org/drawingml/2006/picture">
                        <pic:nvPicPr>
                          <pic:cNvPr id="4" name="图片_28"/>
                          <pic:cNvPicPr/>
                        </pic:nvPicPr>
                        <pic:blipFill>
                          <a:blip r:embed="rId5"/>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5" name="图片_29"/>
                  <wp:cNvGraphicFramePr/>
                  <a:graphic xmlns:a="http://schemas.openxmlformats.org/drawingml/2006/main">
                    <a:graphicData uri="http://schemas.openxmlformats.org/drawingml/2006/picture">
                      <pic:pic xmlns:pic="http://schemas.openxmlformats.org/drawingml/2006/picture">
                        <pic:nvPicPr>
                          <pic:cNvPr id="5" name="图片_29"/>
                          <pic:cNvPicPr/>
                        </pic:nvPicPr>
                        <pic:blipFill>
                          <a:blip r:embed="rId5"/>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6" name="图片_26"/>
                  <wp:cNvGraphicFramePr/>
                  <a:graphic xmlns:a="http://schemas.openxmlformats.org/drawingml/2006/main">
                    <a:graphicData uri="http://schemas.openxmlformats.org/drawingml/2006/picture">
                      <pic:pic xmlns:pic="http://schemas.openxmlformats.org/drawingml/2006/picture">
                        <pic:nvPicPr>
                          <pic:cNvPr id="6" name="图片_26"/>
                          <pic:cNvPicPr/>
                        </pic:nvPicPr>
                        <pic:blipFill>
                          <a:blip r:embed="rId5"/>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7" name="图片_5"/>
                  <wp:cNvGraphicFramePr/>
                  <a:graphic xmlns:a="http://schemas.openxmlformats.org/drawingml/2006/main">
                    <a:graphicData uri="http://schemas.openxmlformats.org/drawingml/2006/picture">
                      <pic:pic xmlns:pic="http://schemas.openxmlformats.org/drawingml/2006/picture">
                        <pic:nvPicPr>
                          <pic:cNvPr id="7" name="图片_5"/>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8" name="图片_10"/>
                  <wp:cNvGraphicFramePr/>
                  <a:graphic xmlns:a="http://schemas.openxmlformats.org/drawingml/2006/main">
                    <a:graphicData uri="http://schemas.openxmlformats.org/drawingml/2006/picture">
                      <pic:pic xmlns:pic="http://schemas.openxmlformats.org/drawingml/2006/picture">
                        <pic:nvPicPr>
                          <pic:cNvPr id="8" name="图片_10"/>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9" name="图片_11"/>
                  <wp:cNvGraphicFramePr/>
                  <a:graphic xmlns:a="http://schemas.openxmlformats.org/drawingml/2006/main">
                    <a:graphicData uri="http://schemas.openxmlformats.org/drawingml/2006/picture">
                      <pic:pic xmlns:pic="http://schemas.openxmlformats.org/drawingml/2006/picture">
                        <pic:nvPicPr>
                          <pic:cNvPr id="9" name="图片_11"/>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10" name="图片_22"/>
                  <wp:cNvGraphicFramePr/>
                  <a:graphic xmlns:a="http://schemas.openxmlformats.org/drawingml/2006/main">
                    <a:graphicData uri="http://schemas.openxmlformats.org/drawingml/2006/picture">
                      <pic:pic xmlns:pic="http://schemas.openxmlformats.org/drawingml/2006/picture">
                        <pic:nvPicPr>
                          <pic:cNvPr id="10" name="图片_22"/>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11" name="图片_9"/>
                  <wp:cNvGraphicFramePr/>
                  <a:graphic xmlns:a="http://schemas.openxmlformats.org/drawingml/2006/main">
                    <a:graphicData uri="http://schemas.openxmlformats.org/drawingml/2006/picture">
                      <pic:pic xmlns:pic="http://schemas.openxmlformats.org/drawingml/2006/picture">
                        <pic:nvPicPr>
                          <pic:cNvPr id="11" name="图片_9"/>
                          <pic:cNvPicPr/>
                        </pic:nvPicPr>
                        <pic:blipFill>
                          <a:blip r:embed="rId4"/>
                          <a:stretch>
                            <a:fillRect/>
                          </a:stretch>
                        </pic:blipFill>
                        <pic:spPr>
                          <a:xfrm>
                            <a:off x="0" y="0"/>
                            <a:ext cx="243840" cy="243840"/>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243840" cy="243840"/>
                  <wp:effectExtent l="0" t="0" r="0" b="0"/>
                  <wp:wrapNone/>
                  <wp:docPr id="12" name="图片_18"/>
                  <wp:cNvGraphicFramePr/>
                  <a:graphic xmlns:a="http://schemas.openxmlformats.org/drawingml/2006/main">
                    <a:graphicData uri="http://schemas.openxmlformats.org/drawingml/2006/picture">
                      <pic:pic xmlns:pic="http://schemas.openxmlformats.org/drawingml/2006/picture">
                        <pic:nvPicPr>
                          <pic:cNvPr id="12" name="图片_18"/>
                          <pic:cNvPicPr/>
                        </pic:nvPicPr>
                        <pic:blipFill>
                          <a:blip r:embed="rId5"/>
                          <a:stretch>
                            <a:fillRect/>
                          </a:stretch>
                        </pic:blipFill>
                        <pic:spPr>
                          <a:xfrm>
                            <a:off x="0" y="0"/>
                            <a:ext cx="243840" cy="243840"/>
                          </a:xfrm>
                          <a:prstGeom prst="rect">
                            <a:avLst/>
                          </a:prstGeom>
                          <a:noFill/>
                          <a:ln>
                            <a:noFill/>
                          </a:ln>
                        </pic:spPr>
                      </pic:pic>
                    </a:graphicData>
                  </a:graphic>
                </wp:anchor>
              </w:drawing>
            </w:r>
          </w:p>
        </w:tc>
        <w:tc>
          <w:tcPr>
            <w:tcW w:w="1524" w:type="dxa"/>
            <w:tcBorders>
              <w:bottom w:val="single" w:color="auto" w:sz="6" w:space="0"/>
            </w:tcBorders>
            <w:shd w:val="clear" w:color="auto" w:fill="auto"/>
            <w:noWrap/>
            <w:vAlign w:val="center"/>
          </w:tcPr>
          <w:p w14:paraId="2C17B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Coefficient</w:t>
            </w:r>
          </w:p>
        </w:tc>
        <w:tc>
          <w:tcPr>
            <w:tcW w:w="2300" w:type="dxa"/>
            <w:tcBorders>
              <w:bottom w:val="single" w:color="auto" w:sz="6" w:space="0"/>
            </w:tcBorders>
            <w:shd w:val="clear" w:color="auto" w:fill="auto"/>
            <w:noWrap/>
            <w:vAlign w:val="center"/>
          </w:tcPr>
          <w:p w14:paraId="3F9557B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95%CI</w:t>
            </w:r>
          </w:p>
        </w:tc>
        <w:tc>
          <w:tcPr>
            <w:tcW w:w="1887" w:type="dxa"/>
            <w:tcBorders>
              <w:bottom w:val="single" w:color="auto" w:sz="6" w:space="0"/>
            </w:tcBorders>
            <w:shd w:val="clear" w:color="auto" w:fill="auto"/>
            <w:noWrap/>
            <w:vAlign w:val="center"/>
          </w:tcPr>
          <w:p w14:paraId="756BB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030" w:type="dxa"/>
            <w:tcBorders>
              <w:bottom w:val="single" w:color="auto" w:sz="6" w:space="0"/>
            </w:tcBorders>
            <w:shd w:val="clear" w:color="auto" w:fill="auto"/>
            <w:noWrap/>
            <w:vAlign w:val="center"/>
          </w:tcPr>
          <w:p w14:paraId="60D3F788">
            <w:pPr>
              <w:keepNext w:val="0"/>
              <w:keepLines w:val="0"/>
              <w:widowControl/>
              <w:suppressLineNumbers w:val="0"/>
              <w:ind w:firstLine="180" w:firstLineChars="10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w:t>
            </w:r>
          </w:p>
        </w:tc>
      </w:tr>
      <w:tr w14:paraId="53DB828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9408" w:type="dxa"/>
            <w:gridSpan w:val="5"/>
            <w:tcBorders>
              <w:tl2br w:val="nil"/>
              <w:tr2bl w:val="nil"/>
            </w:tcBorders>
            <w:shd w:val="clear" w:color="auto" w:fill="auto"/>
            <w:noWrap/>
            <w:vAlign w:val="center"/>
          </w:tcPr>
          <w:p w14:paraId="1320E12F">
            <w:pPr>
              <w:jc w:val="both"/>
              <w:rPr>
                <w:rFonts w:hint="default" w:ascii="宋体" w:hAnsi="宋体" w:eastAsia="宋体" w:cs="宋体"/>
                <w:i w:val="0"/>
                <w:iCs w:val="0"/>
                <w:color w:val="000000"/>
                <w:sz w:val="18"/>
                <w:szCs w:val="18"/>
                <w:u w:val="none"/>
                <w:lang w:val="en-US" w:eastAsia="zh-CN"/>
              </w:rPr>
            </w:pPr>
            <w:r>
              <w:rPr>
                <w:rFonts w:hint="eastAsia" w:ascii="宋体" w:hAnsi="宋体" w:eastAsia="宋体" w:cs="宋体"/>
                <w:b/>
                <w:bCs/>
                <w:i w:val="0"/>
                <w:iCs w:val="0"/>
                <w:color w:val="000000"/>
                <w:kern w:val="0"/>
                <w:sz w:val="18"/>
                <w:szCs w:val="18"/>
                <w:u w:val="none"/>
                <w:lang w:val="en-US" w:eastAsia="zh-CN" w:bidi="ar"/>
              </w:rPr>
              <w:t>Countermovement jump height (all years(n=29))</w:t>
            </w:r>
          </w:p>
        </w:tc>
      </w:tr>
      <w:tr w14:paraId="5BF3B00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667" w:type="dxa"/>
            <w:tcBorders>
              <w:tl2br w:val="nil"/>
              <w:tr2bl w:val="nil"/>
            </w:tcBorders>
            <w:shd w:val="clear" w:color="auto" w:fill="auto"/>
            <w:noWrap/>
            <w:vAlign w:val="center"/>
          </w:tcPr>
          <w:p w14:paraId="2E3B62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b w:val="0"/>
                <w:bCs w:val="0"/>
                <w:i w:val="0"/>
                <w:iCs w:val="0"/>
                <w:color w:val="000000"/>
                <w:kern w:val="0"/>
                <w:sz w:val="18"/>
                <w:szCs w:val="18"/>
                <w:u w:val="none"/>
                <w:lang w:val="en-US" w:eastAsia="zh-CN" w:bidi="ar"/>
              </w:rPr>
              <w:t>Intercept</w:t>
            </w:r>
          </w:p>
        </w:tc>
        <w:tc>
          <w:tcPr>
            <w:tcW w:w="1524" w:type="dxa"/>
            <w:tcBorders>
              <w:tl2br w:val="nil"/>
              <w:tr2bl w:val="nil"/>
            </w:tcBorders>
            <w:shd w:val="clear" w:color="auto" w:fill="auto"/>
            <w:noWrap/>
            <w:vAlign w:val="center"/>
          </w:tcPr>
          <w:p w14:paraId="3DB2DA7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-32.755</w:t>
            </w:r>
          </w:p>
        </w:tc>
        <w:tc>
          <w:tcPr>
            <w:tcW w:w="2300" w:type="dxa"/>
            <w:tcBorders>
              <w:tl2br w:val="nil"/>
              <w:tr2bl w:val="nil"/>
            </w:tcBorders>
            <w:shd w:val="clear" w:color="auto" w:fill="auto"/>
            <w:noWrap/>
            <w:vAlign w:val="center"/>
          </w:tcPr>
          <w:p w14:paraId="3AD2FC7F">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-58.533 to -6.978</w:t>
            </w:r>
          </w:p>
        </w:tc>
        <w:tc>
          <w:tcPr>
            <w:tcW w:w="1887" w:type="dxa"/>
            <w:tcBorders>
              <w:tl2br w:val="nil"/>
              <w:tr2bl w:val="nil"/>
            </w:tcBorders>
            <w:shd w:val="clear" w:color="auto" w:fill="auto"/>
            <w:noWrap/>
            <w:vAlign w:val="center"/>
          </w:tcPr>
          <w:p w14:paraId="11972DB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-2.62</w:t>
            </w:r>
          </w:p>
        </w:tc>
        <w:tc>
          <w:tcPr>
            <w:tcW w:w="1030" w:type="dxa"/>
            <w:tcBorders>
              <w:tl2br w:val="nil"/>
              <w:tr2bl w:val="nil"/>
            </w:tcBorders>
            <w:shd w:val="clear" w:color="auto" w:fill="auto"/>
            <w:noWrap/>
            <w:vAlign w:val="center"/>
          </w:tcPr>
          <w:p w14:paraId="161E59BD">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0.015</w:t>
            </w:r>
          </w:p>
        </w:tc>
      </w:tr>
      <w:tr w14:paraId="3B0AD23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667" w:type="dxa"/>
            <w:tcBorders>
              <w:tl2br w:val="nil"/>
              <w:tr2bl w:val="nil"/>
            </w:tcBorders>
            <w:shd w:val="clear" w:color="auto" w:fill="auto"/>
            <w:noWrap/>
            <w:vAlign w:val="center"/>
          </w:tcPr>
          <w:p w14:paraId="1AF33B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b w:val="0"/>
                <w:bCs w:val="0"/>
                <w:i w:val="0"/>
                <w:iCs w:val="0"/>
                <w:color w:val="000000"/>
                <w:kern w:val="0"/>
                <w:sz w:val="18"/>
                <w:szCs w:val="18"/>
                <w:u w:val="none"/>
                <w:lang w:val="en-US" w:eastAsia="zh-CN" w:bidi="ar"/>
              </w:rPr>
              <w:t>Training duration</w:t>
            </w:r>
          </w:p>
        </w:tc>
        <w:tc>
          <w:tcPr>
            <w:tcW w:w="1524" w:type="dxa"/>
            <w:tcBorders>
              <w:tl2br w:val="nil"/>
              <w:tr2bl w:val="nil"/>
            </w:tcBorders>
            <w:shd w:val="clear" w:color="auto" w:fill="auto"/>
            <w:noWrap/>
            <w:vAlign w:val="center"/>
          </w:tcPr>
          <w:p w14:paraId="3FBB627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4.337</w:t>
            </w:r>
          </w:p>
        </w:tc>
        <w:tc>
          <w:tcPr>
            <w:tcW w:w="2300" w:type="dxa"/>
            <w:tcBorders>
              <w:tl2br w:val="nil"/>
              <w:tr2bl w:val="nil"/>
            </w:tcBorders>
            <w:shd w:val="clear" w:color="auto" w:fill="auto"/>
            <w:noWrap/>
            <w:vAlign w:val="center"/>
          </w:tcPr>
          <w:p w14:paraId="36DAFC31">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0.878 to 7.797</w:t>
            </w:r>
          </w:p>
        </w:tc>
        <w:tc>
          <w:tcPr>
            <w:tcW w:w="1887" w:type="dxa"/>
            <w:tcBorders>
              <w:tl2br w:val="nil"/>
              <w:tr2bl w:val="nil"/>
            </w:tcBorders>
            <w:shd w:val="clear" w:color="auto" w:fill="auto"/>
            <w:noWrap/>
            <w:vAlign w:val="center"/>
          </w:tcPr>
          <w:p w14:paraId="13C87A1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2.58</w:t>
            </w:r>
          </w:p>
        </w:tc>
        <w:tc>
          <w:tcPr>
            <w:tcW w:w="1030" w:type="dxa"/>
            <w:tcBorders>
              <w:tl2br w:val="nil"/>
              <w:tr2bl w:val="nil"/>
            </w:tcBorders>
            <w:shd w:val="clear" w:color="auto" w:fill="auto"/>
            <w:noWrap/>
            <w:vAlign w:val="center"/>
          </w:tcPr>
          <w:p w14:paraId="70D46F2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0.016</w:t>
            </w:r>
          </w:p>
        </w:tc>
      </w:tr>
      <w:tr w14:paraId="1BEE997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2667" w:type="dxa"/>
            <w:tcBorders>
              <w:tl2br w:val="nil"/>
              <w:tr2bl w:val="nil"/>
            </w:tcBorders>
            <w:shd w:val="clear" w:color="auto" w:fill="auto"/>
            <w:noWrap/>
            <w:vAlign w:val="center"/>
          </w:tcPr>
          <w:p w14:paraId="4565329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b w:val="0"/>
                <w:bCs w:val="0"/>
                <w:i w:val="0"/>
                <w:iCs w:val="0"/>
                <w:color w:val="000000"/>
                <w:kern w:val="0"/>
                <w:sz w:val="18"/>
                <w:szCs w:val="18"/>
                <w:u w:val="none"/>
                <w:lang w:val="en-US" w:eastAsia="zh-CN" w:bidi="ar"/>
              </w:rPr>
              <w:t>Frequency</w:t>
            </w:r>
          </w:p>
        </w:tc>
        <w:tc>
          <w:tcPr>
            <w:tcW w:w="1524" w:type="dxa"/>
            <w:tcBorders>
              <w:tl2br w:val="nil"/>
              <w:tr2bl w:val="nil"/>
            </w:tcBorders>
            <w:shd w:val="clear" w:color="auto" w:fill="auto"/>
            <w:noWrap/>
            <w:vAlign w:val="center"/>
          </w:tcPr>
          <w:p w14:paraId="272B3AF4">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16.522</w:t>
            </w:r>
          </w:p>
        </w:tc>
        <w:tc>
          <w:tcPr>
            <w:tcW w:w="2300" w:type="dxa"/>
            <w:tcBorders>
              <w:tl2br w:val="nil"/>
              <w:tr2bl w:val="nil"/>
            </w:tcBorders>
            <w:shd w:val="clear" w:color="auto" w:fill="auto"/>
            <w:noWrap/>
            <w:vAlign w:val="center"/>
          </w:tcPr>
          <w:p w14:paraId="5B2D525B">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3.678 to 29.365</w:t>
            </w:r>
          </w:p>
        </w:tc>
        <w:tc>
          <w:tcPr>
            <w:tcW w:w="1887" w:type="dxa"/>
            <w:tcBorders>
              <w:tl2br w:val="nil"/>
              <w:tr2bl w:val="nil"/>
            </w:tcBorders>
            <w:shd w:val="clear" w:color="auto" w:fill="auto"/>
            <w:noWrap/>
            <w:vAlign w:val="center"/>
          </w:tcPr>
          <w:p w14:paraId="7A58A4AD">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2.65</w:t>
            </w:r>
          </w:p>
        </w:tc>
        <w:tc>
          <w:tcPr>
            <w:tcW w:w="1030" w:type="dxa"/>
            <w:tcBorders>
              <w:tl2br w:val="nil"/>
              <w:tr2bl w:val="nil"/>
            </w:tcBorders>
            <w:shd w:val="clear" w:color="auto" w:fill="auto"/>
            <w:noWrap/>
            <w:vAlign w:val="center"/>
          </w:tcPr>
          <w:p w14:paraId="62130E36">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0.014</w:t>
            </w:r>
          </w:p>
        </w:tc>
      </w:tr>
      <w:tr w14:paraId="07E69EF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667" w:type="dxa"/>
            <w:tcBorders>
              <w:tl2br w:val="nil"/>
              <w:tr2bl w:val="nil"/>
            </w:tcBorders>
            <w:shd w:val="clear" w:color="auto" w:fill="auto"/>
            <w:noWrap/>
            <w:vAlign w:val="center"/>
          </w:tcPr>
          <w:p w14:paraId="1FFB4C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Total sessions</w:t>
            </w:r>
          </w:p>
        </w:tc>
        <w:tc>
          <w:tcPr>
            <w:tcW w:w="1524" w:type="dxa"/>
            <w:tcBorders>
              <w:tl2br w:val="nil"/>
              <w:tr2bl w:val="nil"/>
            </w:tcBorders>
            <w:shd w:val="clear" w:color="auto" w:fill="auto"/>
            <w:noWrap/>
            <w:vAlign w:val="center"/>
          </w:tcPr>
          <w:p w14:paraId="5D82ED3C">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-2.144</w:t>
            </w:r>
          </w:p>
        </w:tc>
        <w:tc>
          <w:tcPr>
            <w:tcW w:w="2300" w:type="dxa"/>
            <w:tcBorders>
              <w:tl2br w:val="nil"/>
              <w:tr2bl w:val="nil"/>
            </w:tcBorders>
            <w:shd w:val="clear" w:color="auto" w:fill="auto"/>
            <w:noWrap/>
            <w:vAlign w:val="center"/>
          </w:tcPr>
          <w:p w14:paraId="6E084CE1">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-3.869 to -0.418</w:t>
            </w:r>
          </w:p>
        </w:tc>
        <w:tc>
          <w:tcPr>
            <w:tcW w:w="1887" w:type="dxa"/>
            <w:tcBorders>
              <w:tl2br w:val="nil"/>
              <w:tr2bl w:val="nil"/>
            </w:tcBorders>
            <w:shd w:val="clear" w:color="auto" w:fill="auto"/>
            <w:noWrap/>
            <w:vAlign w:val="center"/>
          </w:tcPr>
          <w:p w14:paraId="68742C92">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-2.56</w:t>
            </w:r>
          </w:p>
        </w:tc>
        <w:tc>
          <w:tcPr>
            <w:tcW w:w="1030" w:type="dxa"/>
            <w:tcBorders>
              <w:tl2br w:val="nil"/>
              <w:tr2bl w:val="nil"/>
            </w:tcBorders>
            <w:shd w:val="clear" w:color="auto" w:fill="auto"/>
            <w:noWrap/>
            <w:vAlign w:val="center"/>
          </w:tcPr>
          <w:p w14:paraId="43B836DE">
            <w:pPr>
              <w:jc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0.017</w:t>
            </w:r>
          </w:p>
        </w:tc>
      </w:tr>
    </w:tbl>
    <w:p w14:paraId="31998EE5">
      <w:pPr>
        <w:rPr>
          <w:rFonts w:hint="eastAsia"/>
        </w:rPr>
      </w:pPr>
      <w:r>
        <w:rPr>
          <w:rFonts w:hint="eastAsia"/>
        </w:rPr>
        <w:t>Note: n means number of study groups.</w:t>
      </w:r>
    </w:p>
    <w:p w14:paraId="0A58BBDB">
      <w:pPr>
        <w:rPr>
          <w:rFonts w:hint="eastAsia"/>
        </w:rPr>
      </w:pPr>
      <w:r>
        <w:rPr>
          <w:rFonts w:hint="eastAsia"/>
        </w:rPr>
        <w:t>Abbreviation: 95%CI = 95% confidence interval.</w:t>
      </w:r>
    </w:p>
    <w:p w14:paraId="04968346">
      <w:pPr>
        <w:rPr>
          <w:rFonts w:hint="eastAsia"/>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jNTg0OGVlYmE4MzczYTcyOGEwNDBhMGM4ZWU2MDQifQ=="/>
  </w:docVars>
  <w:rsids>
    <w:rsidRoot w:val="00000000"/>
    <w:rsid w:val="00563274"/>
    <w:rsid w:val="052D2E4C"/>
    <w:rsid w:val="065E5585"/>
    <w:rsid w:val="0C3E5955"/>
    <w:rsid w:val="140E7C96"/>
    <w:rsid w:val="18CC2AD6"/>
    <w:rsid w:val="195B26C4"/>
    <w:rsid w:val="1AC61A50"/>
    <w:rsid w:val="1AE73428"/>
    <w:rsid w:val="1BB65FE2"/>
    <w:rsid w:val="1BFE4A94"/>
    <w:rsid w:val="1DD63A37"/>
    <w:rsid w:val="22D90F8B"/>
    <w:rsid w:val="266C1B40"/>
    <w:rsid w:val="284A3C00"/>
    <w:rsid w:val="286F3D5E"/>
    <w:rsid w:val="2D8A262B"/>
    <w:rsid w:val="2F8C0779"/>
    <w:rsid w:val="31E750D3"/>
    <w:rsid w:val="31FC33CC"/>
    <w:rsid w:val="36B149BA"/>
    <w:rsid w:val="39FB4602"/>
    <w:rsid w:val="3E0A449F"/>
    <w:rsid w:val="44190499"/>
    <w:rsid w:val="49C66F8F"/>
    <w:rsid w:val="5451360A"/>
    <w:rsid w:val="574E100E"/>
    <w:rsid w:val="58BE40E6"/>
    <w:rsid w:val="5AE64A95"/>
    <w:rsid w:val="5CC34859"/>
    <w:rsid w:val="600C0AFA"/>
    <w:rsid w:val="6FB452BF"/>
    <w:rsid w:val="70F512BC"/>
    <w:rsid w:val="71086B3C"/>
    <w:rsid w:val="7510055C"/>
    <w:rsid w:val="784E1C89"/>
    <w:rsid w:val="7D612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1343</Words>
  <Characters>4864</Characters>
  <Lines>0</Lines>
  <Paragraphs>0</Paragraphs>
  <TotalTime>1</TotalTime>
  <ScaleCrop>false</ScaleCrop>
  <LinksUpToDate>false</LinksUpToDate>
  <CharactersWithSpaces>5238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86181</dc:creator>
  <cp:lastModifiedBy>林格胜</cp:lastModifiedBy>
  <dcterms:modified xsi:type="dcterms:W3CDTF">2024-07-24T14:03:15Z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1AE1410CF4B44B97BEABE0D0CA696DAD_12</vt:lpwstr>
  </property>
</Properties>
</file>