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F7D4C" w14:textId="77777777" w:rsidR="006966A1" w:rsidRPr="00CF352D" w:rsidRDefault="006966A1" w:rsidP="006966A1">
      <w:pPr>
        <w:spacing w:line="360" w:lineRule="auto"/>
        <w:jc w:val="both"/>
        <w:rPr>
          <w:rFonts w:ascii="Arial" w:hAnsi="Arial" w:cs="Arial"/>
          <w:sz w:val="21"/>
          <w:szCs w:val="21"/>
          <w:lang w:val="en-US"/>
        </w:rPr>
      </w:pPr>
      <w:r w:rsidRPr="002753B0">
        <w:rPr>
          <w:rFonts w:ascii="Arial" w:hAnsi="Arial" w:cs="Arial"/>
          <w:b/>
          <w:bCs/>
          <w:sz w:val="21"/>
          <w:szCs w:val="21"/>
          <w:lang w:val="en-US"/>
        </w:rPr>
        <w:t>Supplemental Table 1</w:t>
      </w:r>
      <w:r>
        <w:rPr>
          <w:rFonts w:ascii="Arial" w:hAnsi="Arial" w:cs="Arial"/>
          <w:b/>
          <w:bCs/>
          <w:sz w:val="21"/>
          <w:szCs w:val="21"/>
          <w:lang w:val="en-US"/>
        </w:rPr>
        <w:t xml:space="preserve">. </w:t>
      </w:r>
      <w:r w:rsidRPr="00CF352D">
        <w:rPr>
          <w:rFonts w:ascii="Arial" w:hAnsi="Arial" w:cs="Arial"/>
          <w:sz w:val="21"/>
          <w:szCs w:val="21"/>
          <w:lang w:val="en-US"/>
        </w:rPr>
        <w:t>Group comparisons of clinical characteristics and visual outcomes.</w:t>
      </w:r>
    </w:p>
    <w:tbl>
      <w:tblPr>
        <w:tblStyle w:val="EinfacheTabelle2"/>
        <w:tblW w:w="10787" w:type="dxa"/>
        <w:tblInd w:w="-807" w:type="dxa"/>
        <w:tblLayout w:type="fixed"/>
        <w:tblLook w:val="0420" w:firstRow="1" w:lastRow="0" w:firstColumn="0" w:lastColumn="0" w:noHBand="0" w:noVBand="1"/>
      </w:tblPr>
      <w:tblGrid>
        <w:gridCol w:w="2083"/>
        <w:gridCol w:w="992"/>
        <w:gridCol w:w="993"/>
        <w:gridCol w:w="850"/>
        <w:gridCol w:w="284"/>
        <w:gridCol w:w="992"/>
        <w:gridCol w:w="992"/>
        <w:gridCol w:w="851"/>
        <w:gridCol w:w="992"/>
        <w:gridCol w:w="992"/>
        <w:gridCol w:w="766"/>
      </w:tblGrid>
      <w:tr w:rsidR="006966A1" w:rsidRPr="002B0015" w14:paraId="67EDE01C" w14:textId="77777777" w:rsidTr="003B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tcW w:w="2083" w:type="dxa"/>
            <w:tcBorders>
              <w:top w:val="nil"/>
              <w:bottom w:val="nil"/>
            </w:tcBorders>
            <w:vAlign w:val="center"/>
          </w:tcPr>
          <w:p w14:paraId="355048A6" w14:textId="77777777" w:rsidR="006966A1" w:rsidRPr="00485BDC" w:rsidRDefault="006966A1" w:rsidP="003B3328">
            <w:pPr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</w:p>
        </w:tc>
        <w:tc>
          <w:tcPr>
            <w:tcW w:w="2835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63FFD6FA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68E72A61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</w:p>
        </w:tc>
        <w:tc>
          <w:tcPr>
            <w:tcW w:w="5585" w:type="dxa"/>
            <w:gridSpan w:val="6"/>
            <w:tcBorders>
              <w:top w:val="single" w:sz="4" w:space="0" w:color="auto"/>
            </w:tcBorders>
            <w:vAlign w:val="center"/>
          </w:tcPr>
          <w:p w14:paraId="0751CB38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</w:p>
        </w:tc>
      </w:tr>
      <w:tr w:rsidR="006966A1" w:rsidRPr="00485BDC" w14:paraId="249275D2" w14:textId="77777777" w:rsidTr="003B3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083" w:type="dxa"/>
            <w:tcBorders>
              <w:top w:val="nil"/>
              <w:bottom w:val="nil"/>
            </w:tcBorders>
            <w:vAlign w:val="center"/>
            <w:hideMark/>
          </w:tcPr>
          <w:p w14:paraId="2BBB77ED" w14:textId="77777777" w:rsidR="006966A1" w:rsidRPr="00485BDC" w:rsidRDefault="006966A1" w:rsidP="003B3328">
            <w:pPr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</w:p>
        </w:tc>
        <w:tc>
          <w:tcPr>
            <w:tcW w:w="2835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51F48C33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2DB356D9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</w:p>
        </w:tc>
        <w:tc>
          <w:tcPr>
            <w:tcW w:w="5585" w:type="dxa"/>
            <w:gridSpan w:val="6"/>
            <w:tcBorders>
              <w:top w:val="single" w:sz="4" w:space="0" w:color="auto"/>
            </w:tcBorders>
            <w:vAlign w:val="center"/>
            <w:hideMark/>
          </w:tcPr>
          <w:p w14:paraId="54177FE6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>poor visual outcome</w:t>
            </w:r>
          </w:p>
        </w:tc>
      </w:tr>
      <w:tr w:rsidR="006966A1" w:rsidRPr="00485BDC" w14:paraId="71244F06" w14:textId="77777777" w:rsidTr="003B3328">
        <w:trPr>
          <w:trHeight w:val="227"/>
        </w:trPr>
        <w:tc>
          <w:tcPr>
            <w:tcW w:w="2083" w:type="dxa"/>
            <w:tcBorders>
              <w:top w:val="nil"/>
              <w:bottom w:val="nil"/>
            </w:tcBorders>
            <w:vAlign w:val="center"/>
          </w:tcPr>
          <w:p w14:paraId="21BEB5E9" w14:textId="77777777" w:rsidR="006966A1" w:rsidRPr="00485BDC" w:rsidRDefault="006966A1" w:rsidP="003B3328">
            <w:pPr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</w:tcBorders>
            <w:vAlign w:val="center"/>
          </w:tcPr>
          <w:p w14:paraId="2C555D19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US" w:eastAsia="en-US"/>
              </w:rPr>
              <w:t>poor visual outcome</w:t>
            </w:r>
          </w:p>
          <w:p w14:paraId="61E15D6C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US" w:eastAsia="en-US"/>
              </w:rPr>
            </w:pPr>
          </w:p>
        </w:tc>
        <w:tc>
          <w:tcPr>
            <w:tcW w:w="284" w:type="dxa"/>
            <w:tcBorders>
              <w:top w:val="nil"/>
              <w:bottom w:val="nil"/>
            </w:tcBorders>
            <w:vAlign w:val="center"/>
          </w:tcPr>
          <w:p w14:paraId="1DC9F42B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FFFFFF" w:themeColor="background1"/>
              <w:bottom w:val="single" w:sz="4" w:space="0" w:color="auto"/>
            </w:tcBorders>
            <w:vAlign w:val="center"/>
          </w:tcPr>
          <w:p w14:paraId="67A8D9BB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vertAlign w:val="superscript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ophthalmologic worsening</w:t>
            </w: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vertAlign w:val="superscript"/>
                <w:lang w:val="en-GB" w:eastAsia="en-US"/>
              </w:rPr>
              <w:t>3</w:t>
            </w:r>
          </w:p>
          <w:p w14:paraId="53B5B90B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</w:p>
        </w:tc>
        <w:tc>
          <w:tcPr>
            <w:tcW w:w="2750" w:type="dxa"/>
            <w:gridSpan w:val="3"/>
            <w:tcBorders>
              <w:bottom w:val="single" w:sz="4" w:space="0" w:color="auto"/>
            </w:tcBorders>
            <w:vAlign w:val="center"/>
          </w:tcPr>
          <w:p w14:paraId="7D88BA3A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persistent visual impairment</w:t>
            </w:r>
          </w:p>
          <w:p w14:paraId="015D3E1B" w14:textId="77777777" w:rsidR="006966A1" w:rsidRPr="00485BDC" w:rsidRDefault="006966A1" w:rsidP="003B3328">
            <w:pPr>
              <w:jc w:val="center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</w:p>
        </w:tc>
      </w:tr>
      <w:tr w:rsidR="006966A1" w:rsidRPr="00485BDC" w14:paraId="1A56A35E" w14:textId="77777777" w:rsidTr="003B3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083" w:type="dxa"/>
            <w:tcBorders>
              <w:top w:val="nil"/>
            </w:tcBorders>
            <w:vAlign w:val="center"/>
          </w:tcPr>
          <w:p w14:paraId="18F88262" w14:textId="77777777" w:rsidR="006966A1" w:rsidRPr="00485BDC" w:rsidRDefault="006966A1" w:rsidP="003B3328">
            <w:pPr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10AEA985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b/>
                <w:bCs/>
                <w:sz w:val="15"/>
                <w:szCs w:val="15"/>
                <w:lang w:val="en-US"/>
              </w:rPr>
              <w:t>yes</w:t>
            </w:r>
          </w:p>
          <w:p w14:paraId="17AA0479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>n = 32</w:t>
            </w:r>
          </w:p>
        </w:tc>
        <w:tc>
          <w:tcPr>
            <w:tcW w:w="993" w:type="dxa"/>
            <w:vAlign w:val="center"/>
          </w:tcPr>
          <w:p w14:paraId="707A4F6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  <w:t>no</w:t>
            </w:r>
          </w:p>
          <w:p w14:paraId="1F45EEA7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n = 57</w:t>
            </w:r>
          </w:p>
        </w:tc>
        <w:tc>
          <w:tcPr>
            <w:tcW w:w="850" w:type="dxa"/>
            <w:vAlign w:val="center"/>
          </w:tcPr>
          <w:p w14:paraId="58E13F47" w14:textId="77777777" w:rsidR="006966A1" w:rsidRPr="00485BDC" w:rsidRDefault="006966A1" w:rsidP="003B3328">
            <w:pPr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i/>
                <w:iCs/>
                <w:sz w:val="15"/>
                <w:szCs w:val="15"/>
                <w:lang w:val="en-US" w:eastAsia="en-US"/>
              </w:rPr>
              <w:t>p</w:t>
            </w:r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  <w:t>-value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vAlign w:val="center"/>
          </w:tcPr>
          <w:p w14:paraId="544572F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75938D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</w:pPr>
            <w:proofErr w:type="spellStart"/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  <w:t>yes</w:t>
            </w:r>
            <w:proofErr w:type="spellEnd"/>
          </w:p>
          <w:p w14:paraId="04E65D4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n = 14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95707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</w:pPr>
            <w:proofErr w:type="spellStart"/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  <w:t>no</w:t>
            </w:r>
            <w:proofErr w:type="spellEnd"/>
          </w:p>
          <w:p w14:paraId="44077E5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n = 51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6E876B0F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i/>
                <w:iCs/>
                <w:sz w:val="15"/>
                <w:szCs w:val="15"/>
                <w:lang w:eastAsia="en-US"/>
              </w:rPr>
              <w:t>p</w:t>
            </w:r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  <w:t>-</w:t>
            </w:r>
            <w:proofErr w:type="spellStart"/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  <w:t>value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5C22FDE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</w:pPr>
            <w:proofErr w:type="spellStart"/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eastAsia="en-US"/>
              </w:rPr>
              <w:t>yes</w:t>
            </w:r>
            <w:proofErr w:type="spellEnd"/>
          </w:p>
          <w:p w14:paraId="457396D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n = 29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7E6F26C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  <w:t>no</w:t>
            </w:r>
          </w:p>
          <w:p w14:paraId="092F644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n = 61</w:t>
            </w:r>
          </w:p>
        </w:tc>
        <w:tc>
          <w:tcPr>
            <w:tcW w:w="766" w:type="dxa"/>
            <w:tcBorders>
              <w:top w:val="single" w:sz="4" w:space="0" w:color="auto"/>
            </w:tcBorders>
            <w:vAlign w:val="center"/>
          </w:tcPr>
          <w:p w14:paraId="7A25E1DC" w14:textId="77777777" w:rsidR="006966A1" w:rsidRPr="00485BDC" w:rsidRDefault="006966A1" w:rsidP="003B3328">
            <w:pPr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i/>
                <w:iCs/>
                <w:sz w:val="15"/>
                <w:szCs w:val="15"/>
                <w:lang w:val="en-GB" w:eastAsia="en-US"/>
              </w:rPr>
              <w:t>p</w:t>
            </w:r>
            <w:r w:rsidRPr="00485BDC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  <w:t>-value</w:t>
            </w:r>
          </w:p>
        </w:tc>
      </w:tr>
      <w:tr w:rsidR="006966A1" w:rsidRPr="00485BDC" w14:paraId="21C90D1B" w14:textId="77777777" w:rsidTr="003B3328">
        <w:trPr>
          <w:trHeight w:val="227"/>
        </w:trPr>
        <w:tc>
          <w:tcPr>
            <w:tcW w:w="2083" w:type="dxa"/>
            <w:vAlign w:val="center"/>
          </w:tcPr>
          <w:p w14:paraId="08C61CF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age at diagnosis</w:t>
            </w:r>
          </w:p>
          <w:p w14:paraId="33515AE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>years (mean ± SD)</w:t>
            </w:r>
          </w:p>
        </w:tc>
        <w:tc>
          <w:tcPr>
            <w:tcW w:w="992" w:type="dxa"/>
            <w:vAlign w:val="center"/>
          </w:tcPr>
          <w:p w14:paraId="5319852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35.0 ± 12.6</w:t>
            </w:r>
          </w:p>
        </w:tc>
        <w:tc>
          <w:tcPr>
            <w:tcW w:w="993" w:type="dxa"/>
            <w:vAlign w:val="center"/>
          </w:tcPr>
          <w:p w14:paraId="1516AB60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32.4 ± 10.1</w:t>
            </w:r>
          </w:p>
        </w:tc>
        <w:tc>
          <w:tcPr>
            <w:tcW w:w="850" w:type="dxa"/>
            <w:vAlign w:val="center"/>
          </w:tcPr>
          <w:p w14:paraId="21B932CE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0.285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284" w:type="dxa"/>
            <w:tcBorders>
              <w:top w:val="single" w:sz="4" w:space="0" w:color="auto"/>
            </w:tcBorders>
            <w:vAlign w:val="center"/>
          </w:tcPr>
          <w:p w14:paraId="58DED3C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776ED241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31.4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13.6</w:t>
            </w:r>
          </w:p>
        </w:tc>
        <w:tc>
          <w:tcPr>
            <w:tcW w:w="992" w:type="dxa"/>
            <w:vAlign w:val="center"/>
          </w:tcPr>
          <w:p w14:paraId="7184EF7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34.1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9.8</w:t>
            </w:r>
          </w:p>
        </w:tc>
        <w:tc>
          <w:tcPr>
            <w:tcW w:w="851" w:type="dxa"/>
            <w:vAlign w:val="center"/>
          </w:tcPr>
          <w:p w14:paraId="13E378A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0.398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992" w:type="dxa"/>
            <w:vAlign w:val="center"/>
          </w:tcPr>
          <w:p w14:paraId="18978E9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34.1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12.3</w:t>
            </w:r>
          </w:p>
        </w:tc>
        <w:tc>
          <w:tcPr>
            <w:tcW w:w="992" w:type="dxa"/>
            <w:vAlign w:val="center"/>
          </w:tcPr>
          <w:p w14:paraId="0945B8A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33.0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10.5</w:t>
            </w:r>
          </w:p>
        </w:tc>
        <w:tc>
          <w:tcPr>
            <w:tcW w:w="766" w:type="dxa"/>
            <w:vAlign w:val="center"/>
          </w:tcPr>
          <w:p w14:paraId="52C9C64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0.654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</w:tr>
      <w:tr w:rsidR="006966A1" w:rsidRPr="00485BDC" w14:paraId="42A6D4D5" w14:textId="77777777" w:rsidTr="003B3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083" w:type="dxa"/>
            <w:vAlign w:val="center"/>
          </w:tcPr>
          <w:p w14:paraId="390880D4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baseline BMI</w:t>
            </w:r>
          </w:p>
          <w:p w14:paraId="16430B7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>kg/m</w:t>
            </w:r>
            <w:r w:rsidRPr="00485BDC">
              <w:rPr>
                <w:rFonts w:ascii="Arial" w:eastAsiaTheme="minorHAnsi" w:hAnsi="Arial" w:cs="Arial"/>
                <w:sz w:val="16"/>
                <w:szCs w:val="16"/>
                <w:vertAlign w:val="superscript"/>
                <w:lang w:val="en-GB" w:eastAsia="en-US"/>
              </w:rPr>
              <w:t>2</w:t>
            </w:r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 xml:space="preserve"> (mean ± SD)</w:t>
            </w:r>
          </w:p>
        </w:tc>
        <w:tc>
          <w:tcPr>
            <w:tcW w:w="992" w:type="dxa"/>
            <w:vAlign w:val="center"/>
          </w:tcPr>
          <w:p w14:paraId="251B0AB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34.0 ± 8.8</w:t>
            </w:r>
          </w:p>
        </w:tc>
        <w:tc>
          <w:tcPr>
            <w:tcW w:w="993" w:type="dxa"/>
            <w:vAlign w:val="center"/>
          </w:tcPr>
          <w:p w14:paraId="1977542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34.9 ± 7.2</w:t>
            </w:r>
          </w:p>
        </w:tc>
        <w:tc>
          <w:tcPr>
            <w:tcW w:w="850" w:type="dxa"/>
            <w:vAlign w:val="center"/>
          </w:tcPr>
          <w:p w14:paraId="11E3C95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0.604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284" w:type="dxa"/>
            <w:vAlign w:val="center"/>
          </w:tcPr>
          <w:p w14:paraId="6AB0B7E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188CA8F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34.4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10.8</w:t>
            </w:r>
          </w:p>
        </w:tc>
        <w:tc>
          <w:tcPr>
            <w:tcW w:w="992" w:type="dxa"/>
            <w:vAlign w:val="center"/>
          </w:tcPr>
          <w:p w14:paraId="673B93A0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34.2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7.7</w:t>
            </w:r>
          </w:p>
        </w:tc>
        <w:tc>
          <w:tcPr>
            <w:tcW w:w="851" w:type="dxa"/>
            <w:vAlign w:val="center"/>
          </w:tcPr>
          <w:p w14:paraId="739B574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0.641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992" w:type="dxa"/>
            <w:vAlign w:val="center"/>
          </w:tcPr>
          <w:p w14:paraId="2970768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34.0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8.9</w:t>
            </w:r>
          </w:p>
        </w:tc>
        <w:tc>
          <w:tcPr>
            <w:tcW w:w="992" w:type="dxa"/>
            <w:vAlign w:val="center"/>
          </w:tcPr>
          <w:p w14:paraId="5A7F8E7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34.9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7.2</w:t>
            </w:r>
          </w:p>
        </w:tc>
        <w:tc>
          <w:tcPr>
            <w:tcW w:w="766" w:type="dxa"/>
            <w:vAlign w:val="center"/>
          </w:tcPr>
          <w:p w14:paraId="6A89C711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0.627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</w:tr>
      <w:tr w:rsidR="006966A1" w:rsidRPr="00485BDC" w14:paraId="532C5981" w14:textId="77777777" w:rsidTr="003B3328">
        <w:trPr>
          <w:trHeight w:val="227"/>
        </w:trPr>
        <w:tc>
          <w:tcPr>
            <w:tcW w:w="2083" w:type="dxa"/>
            <w:vAlign w:val="center"/>
          </w:tcPr>
          <w:p w14:paraId="153FBA4F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baseline CSF-OP</w:t>
            </w:r>
          </w:p>
          <w:p w14:paraId="48DB34C0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proofErr w:type="spellStart"/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>cmCSF</w:t>
            </w:r>
            <w:proofErr w:type="spellEnd"/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 xml:space="preserve"> (mean ± SD)</w:t>
            </w:r>
          </w:p>
        </w:tc>
        <w:tc>
          <w:tcPr>
            <w:tcW w:w="992" w:type="dxa"/>
            <w:vAlign w:val="center"/>
          </w:tcPr>
          <w:p w14:paraId="1C83919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36.9 ± 8.2</w:t>
            </w:r>
          </w:p>
        </w:tc>
        <w:tc>
          <w:tcPr>
            <w:tcW w:w="993" w:type="dxa"/>
            <w:vAlign w:val="center"/>
          </w:tcPr>
          <w:p w14:paraId="7E759157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35.3 ± 8.3</w:t>
            </w:r>
          </w:p>
        </w:tc>
        <w:tc>
          <w:tcPr>
            <w:tcW w:w="850" w:type="dxa"/>
            <w:vAlign w:val="center"/>
          </w:tcPr>
          <w:p w14:paraId="7F55B2F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0.396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284" w:type="dxa"/>
            <w:vAlign w:val="center"/>
          </w:tcPr>
          <w:p w14:paraId="15C05B7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0F81D00E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37.9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7.4</w:t>
            </w:r>
          </w:p>
        </w:tc>
        <w:tc>
          <w:tcPr>
            <w:tcW w:w="992" w:type="dxa"/>
            <w:vAlign w:val="center"/>
          </w:tcPr>
          <w:p w14:paraId="02176B2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34.6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8.5</w:t>
            </w:r>
          </w:p>
        </w:tc>
        <w:tc>
          <w:tcPr>
            <w:tcW w:w="851" w:type="dxa"/>
            <w:vAlign w:val="center"/>
          </w:tcPr>
          <w:p w14:paraId="577758C4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0.203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992" w:type="dxa"/>
            <w:vAlign w:val="center"/>
          </w:tcPr>
          <w:p w14:paraId="1895329F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37.1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8.6</w:t>
            </w:r>
          </w:p>
        </w:tc>
        <w:tc>
          <w:tcPr>
            <w:tcW w:w="992" w:type="dxa"/>
            <w:vAlign w:val="center"/>
          </w:tcPr>
          <w:p w14:paraId="2EC3B8F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35.3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8.1</w:t>
            </w:r>
          </w:p>
        </w:tc>
        <w:tc>
          <w:tcPr>
            <w:tcW w:w="766" w:type="dxa"/>
            <w:vAlign w:val="center"/>
          </w:tcPr>
          <w:p w14:paraId="259B558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0.319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</w:tr>
      <w:tr w:rsidR="006966A1" w:rsidRPr="00485BDC" w14:paraId="1076177A" w14:textId="77777777" w:rsidTr="003B3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083" w:type="dxa"/>
            <w:vAlign w:val="center"/>
          </w:tcPr>
          <w:p w14:paraId="67729EA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disease duration</w:t>
            </w:r>
          </w:p>
          <w:p w14:paraId="333E338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lang w:val="en-GB" w:eastAsia="en-US"/>
              </w:rPr>
              <w:t>months (mean ± SD)</w:t>
            </w:r>
          </w:p>
        </w:tc>
        <w:tc>
          <w:tcPr>
            <w:tcW w:w="992" w:type="dxa"/>
            <w:vAlign w:val="center"/>
          </w:tcPr>
          <w:p w14:paraId="744AC1D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64.3 ± 59.3</w:t>
            </w:r>
          </w:p>
        </w:tc>
        <w:tc>
          <w:tcPr>
            <w:tcW w:w="993" w:type="dxa"/>
            <w:vAlign w:val="center"/>
          </w:tcPr>
          <w:p w14:paraId="72FB371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49.3 ± 42.5</w:t>
            </w:r>
          </w:p>
        </w:tc>
        <w:tc>
          <w:tcPr>
            <w:tcW w:w="850" w:type="dxa"/>
            <w:vAlign w:val="center"/>
          </w:tcPr>
          <w:p w14:paraId="2A7E1D7E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0.168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284" w:type="dxa"/>
            <w:vAlign w:val="center"/>
          </w:tcPr>
          <w:p w14:paraId="433E290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42B93C4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59.3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39.4</w:t>
            </w:r>
          </w:p>
        </w:tc>
        <w:tc>
          <w:tcPr>
            <w:tcW w:w="992" w:type="dxa"/>
            <w:vAlign w:val="center"/>
          </w:tcPr>
          <w:p w14:paraId="574B1D61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47.2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38.8</w:t>
            </w:r>
          </w:p>
        </w:tc>
        <w:tc>
          <w:tcPr>
            <w:tcW w:w="851" w:type="dxa"/>
            <w:vAlign w:val="center"/>
          </w:tcPr>
          <w:p w14:paraId="77B2F00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0.306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  <w:tc>
          <w:tcPr>
            <w:tcW w:w="992" w:type="dxa"/>
            <w:vAlign w:val="center"/>
          </w:tcPr>
          <w:p w14:paraId="26AFE61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67.8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61.0</w:t>
            </w:r>
          </w:p>
        </w:tc>
        <w:tc>
          <w:tcPr>
            <w:tcW w:w="992" w:type="dxa"/>
            <w:vAlign w:val="center"/>
          </w:tcPr>
          <w:p w14:paraId="451A98D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 xml:space="preserve">48.3 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± 41.8</w:t>
            </w:r>
          </w:p>
        </w:tc>
        <w:tc>
          <w:tcPr>
            <w:tcW w:w="766" w:type="dxa"/>
            <w:vAlign w:val="center"/>
          </w:tcPr>
          <w:p w14:paraId="2866F29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0.080</w:t>
            </w:r>
            <w:r w:rsidRPr="00485BDC">
              <w:rPr>
                <w:rFonts w:ascii="Arial" w:eastAsiaTheme="minorHAnsi" w:hAnsi="Arial" w:cs="Arial"/>
                <w:sz w:val="15"/>
                <w:szCs w:val="15"/>
                <w:vertAlign w:val="superscript"/>
                <w:lang w:val="en-US" w:eastAsia="en-US"/>
              </w:rPr>
              <w:t>1</w:t>
            </w:r>
          </w:p>
        </w:tc>
      </w:tr>
      <w:tr w:rsidR="006966A1" w:rsidRPr="00485BDC" w14:paraId="7E36E219" w14:textId="77777777" w:rsidTr="003B3328">
        <w:trPr>
          <w:trHeight w:val="227"/>
        </w:trPr>
        <w:tc>
          <w:tcPr>
            <w:tcW w:w="2083" w:type="dxa"/>
            <w:vAlign w:val="center"/>
          </w:tcPr>
          <w:p w14:paraId="1D6F5DC4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therapeutic strategy</w:t>
            </w:r>
          </w:p>
          <w:p w14:paraId="546CF5C1" w14:textId="77777777" w:rsidR="006966A1" w:rsidRDefault="006966A1" w:rsidP="006966A1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surgical</w:t>
            </w:r>
          </w:p>
          <w:p w14:paraId="731CC6E0" w14:textId="77777777" w:rsidR="006966A1" w:rsidRPr="00C44B1B" w:rsidRDefault="006966A1" w:rsidP="006966A1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pharmacological</w:t>
            </w:r>
            <w:r>
              <w:rPr>
                <w:rFonts w:ascii="Arial" w:eastAsiaTheme="minorHAnsi" w:hAnsi="Arial" w:cs="Arial"/>
                <w:b/>
                <w:bCs/>
                <w:sz w:val="16"/>
                <w:szCs w:val="16"/>
                <w:vertAlign w:val="superscript"/>
                <w:lang w:val="en-GB" w:eastAsia="en-US"/>
              </w:rPr>
              <w:t>4</w:t>
            </w:r>
          </w:p>
        </w:tc>
        <w:tc>
          <w:tcPr>
            <w:tcW w:w="992" w:type="dxa"/>
            <w:vAlign w:val="center"/>
          </w:tcPr>
          <w:p w14:paraId="32067071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</w:p>
          <w:p w14:paraId="3C147CA3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  <w:t>31%</w:t>
            </w:r>
          </w:p>
          <w:p w14:paraId="78FE4E0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59%</w:t>
            </w:r>
          </w:p>
        </w:tc>
        <w:tc>
          <w:tcPr>
            <w:tcW w:w="993" w:type="dxa"/>
            <w:vAlign w:val="center"/>
          </w:tcPr>
          <w:p w14:paraId="4F047A6C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</w:p>
          <w:p w14:paraId="79D96243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  <w:t>69%</w:t>
            </w:r>
          </w:p>
          <w:p w14:paraId="239BAD2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41%</w:t>
            </w:r>
          </w:p>
        </w:tc>
        <w:tc>
          <w:tcPr>
            <w:tcW w:w="850" w:type="dxa"/>
            <w:vAlign w:val="center"/>
          </w:tcPr>
          <w:p w14:paraId="264ECB4C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</w:p>
          <w:p w14:paraId="37D9EE70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GB" w:eastAsia="en-US"/>
              </w:rPr>
              <w:t>0.008</w:t>
            </w:r>
            <w:r w:rsidRPr="00273972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  <w:lang w:val="en-US"/>
              </w:rPr>
              <w:t>2</w:t>
            </w:r>
          </w:p>
          <w:p w14:paraId="3E9D11A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GB" w:eastAsia="en-US"/>
              </w:rPr>
              <w:t>1.0</w:t>
            </w:r>
            <w:r w:rsidRPr="00485BDC">
              <w:rPr>
                <w:rFonts w:ascii="Arial" w:hAnsi="Arial" w:cs="Arial"/>
                <w:sz w:val="15"/>
                <w:szCs w:val="15"/>
                <w:vertAlign w:val="superscript"/>
                <w:lang w:val="en-US"/>
              </w:rPr>
              <w:t>2</w:t>
            </w:r>
          </w:p>
        </w:tc>
        <w:tc>
          <w:tcPr>
            <w:tcW w:w="284" w:type="dxa"/>
            <w:vAlign w:val="center"/>
          </w:tcPr>
          <w:p w14:paraId="2ABA509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</w:tc>
        <w:tc>
          <w:tcPr>
            <w:tcW w:w="992" w:type="dxa"/>
            <w:vAlign w:val="center"/>
          </w:tcPr>
          <w:p w14:paraId="48B36BEE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26405B96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29%</w:t>
            </w:r>
          </w:p>
          <w:p w14:paraId="0E063FF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54%</w:t>
            </w:r>
          </w:p>
        </w:tc>
        <w:tc>
          <w:tcPr>
            <w:tcW w:w="992" w:type="dxa"/>
            <w:vAlign w:val="center"/>
          </w:tcPr>
          <w:p w14:paraId="20D0C298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03C60F39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71%</w:t>
            </w:r>
          </w:p>
          <w:p w14:paraId="6042B48E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46%</w:t>
            </w:r>
          </w:p>
        </w:tc>
        <w:tc>
          <w:tcPr>
            <w:tcW w:w="851" w:type="dxa"/>
            <w:vAlign w:val="center"/>
          </w:tcPr>
          <w:p w14:paraId="7A1583EC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2672FADC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0.232</w:t>
            </w:r>
            <w:r w:rsidRPr="00485BDC">
              <w:rPr>
                <w:rFonts w:ascii="Arial" w:hAnsi="Arial" w:cs="Arial"/>
                <w:sz w:val="15"/>
                <w:szCs w:val="15"/>
                <w:vertAlign w:val="superscript"/>
                <w:lang w:val="en-US"/>
              </w:rPr>
              <w:t>2</w:t>
            </w:r>
          </w:p>
          <w:p w14:paraId="240E82A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0.760</w:t>
            </w:r>
            <w:r w:rsidRPr="00273972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BB6BAAC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0C24444F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  <w:t>34%</w:t>
            </w:r>
          </w:p>
          <w:p w14:paraId="665D4CC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58%</w:t>
            </w:r>
          </w:p>
        </w:tc>
        <w:tc>
          <w:tcPr>
            <w:tcW w:w="992" w:type="dxa"/>
            <w:vAlign w:val="center"/>
          </w:tcPr>
          <w:p w14:paraId="24579CCE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50273FE2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  <w:t>66%</w:t>
            </w:r>
          </w:p>
          <w:p w14:paraId="0CCAB20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42%</w:t>
            </w:r>
          </w:p>
        </w:tc>
        <w:tc>
          <w:tcPr>
            <w:tcW w:w="766" w:type="dxa"/>
            <w:vAlign w:val="center"/>
          </w:tcPr>
          <w:p w14:paraId="571C3964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</w:p>
          <w:p w14:paraId="70D2876B" w14:textId="77777777" w:rsidR="006966A1" w:rsidRPr="00273972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</w:pPr>
            <w:r w:rsidRPr="00273972">
              <w:rPr>
                <w:rFonts w:ascii="Arial" w:eastAsiaTheme="minorHAnsi" w:hAnsi="Arial" w:cs="Arial"/>
                <w:b/>
                <w:bCs/>
                <w:sz w:val="15"/>
                <w:szCs w:val="15"/>
                <w:lang w:val="en-US" w:eastAsia="en-US"/>
              </w:rPr>
              <w:t>0.005</w:t>
            </w:r>
            <w:r w:rsidRPr="00273972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  <w:lang w:val="en-US"/>
              </w:rPr>
              <w:t>2</w:t>
            </w:r>
          </w:p>
          <w:p w14:paraId="57A208C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</w:pPr>
            <w:r>
              <w:rPr>
                <w:rFonts w:ascii="Arial" w:eastAsiaTheme="minorHAnsi" w:hAnsi="Arial" w:cs="Arial"/>
                <w:sz w:val="15"/>
                <w:szCs w:val="15"/>
                <w:lang w:val="en-US" w:eastAsia="en-US"/>
              </w:rPr>
              <w:t>0.811</w:t>
            </w:r>
            <w:r w:rsidRPr="00273972">
              <w:rPr>
                <w:rFonts w:ascii="Arial" w:hAnsi="Arial" w:cs="Arial"/>
                <w:b/>
                <w:bCs/>
                <w:sz w:val="15"/>
                <w:szCs w:val="15"/>
                <w:vertAlign w:val="superscript"/>
                <w:lang w:val="en-US"/>
              </w:rPr>
              <w:t>2</w:t>
            </w:r>
          </w:p>
        </w:tc>
      </w:tr>
      <w:tr w:rsidR="006966A1" w:rsidRPr="00485BDC" w14:paraId="4EFDDD9E" w14:textId="77777777" w:rsidTr="003B33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</w:trPr>
        <w:tc>
          <w:tcPr>
            <w:tcW w:w="2083" w:type="dxa"/>
            <w:vAlign w:val="center"/>
          </w:tcPr>
          <w:p w14:paraId="1A8CE14E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sex</w:t>
            </w:r>
          </w:p>
          <w:p w14:paraId="29AC295B" w14:textId="77777777" w:rsidR="006966A1" w:rsidRPr="00485BDC" w:rsidRDefault="006966A1" w:rsidP="006966A1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male</w:t>
            </w:r>
          </w:p>
          <w:p w14:paraId="4CBB4E7E" w14:textId="77777777" w:rsidR="006966A1" w:rsidRPr="00485BDC" w:rsidRDefault="006966A1" w:rsidP="006966A1">
            <w:pPr>
              <w:pStyle w:val="Listenabsatz"/>
              <w:numPr>
                <w:ilvl w:val="0"/>
                <w:numId w:val="1"/>
              </w:numPr>
              <w:spacing w:line="276" w:lineRule="auto"/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</w:pPr>
            <w:r w:rsidRPr="00485BDC">
              <w:rPr>
                <w:rFonts w:ascii="Arial" w:eastAsiaTheme="minorHAnsi" w:hAnsi="Arial" w:cs="Arial"/>
                <w:b/>
                <w:bCs/>
                <w:sz w:val="16"/>
                <w:szCs w:val="16"/>
                <w:lang w:val="en-GB" w:eastAsia="en-US"/>
              </w:rPr>
              <w:t>female</w:t>
            </w:r>
          </w:p>
        </w:tc>
        <w:tc>
          <w:tcPr>
            <w:tcW w:w="992" w:type="dxa"/>
            <w:vAlign w:val="center"/>
          </w:tcPr>
          <w:p w14:paraId="48BF07B9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</w:p>
          <w:p w14:paraId="639816C7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 xml:space="preserve">56% </w:t>
            </w:r>
          </w:p>
          <w:p w14:paraId="5CAEB093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>33%</w:t>
            </w:r>
          </w:p>
        </w:tc>
        <w:tc>
          <w:tcPr>
            <w:tcW w:w="993" w:type="dxa"/>
            <w:vAlign w:val="center"/>
          </w:tcPr>
          <w:p w14:paraId="34B8E0E7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</w:p>
          <w:p w14:paraId="3398CE2B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>44%</w:t>
            </w:r>
          </w:p>
          <w:p w14:paraId="082A0FB5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>67%</w:t>
            </w:r>
          </w:p>
        </w:tc>
        <w:tc>
          <w:tcPr>
            <w:tcW w:w="850" w:type="dxa"/>
            <w:vAlign w:val="center"/>
          </w:tcPr>
          <w:p w14:paraId="50A93C30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lang w:val="en-US"/>
              </w:rPr>
            </w:pPr>
          </w:p>
          <w:p w14:paraId="0776E870" w14:textId="77777777" w:rsidR="006966A1" w:rsidRPr="00485BDC" w:rsidRDefault="006966A1" w:rsidP="003B3328">
            <w:pPr>
              <w:spacing w:line="276" w:lineRule="auto"/>
              <w:rPr>
                <w:rFonts w:ascii="Arial" w:hAnsi="Arial" w:cs="Arial"/>
                <w:sz w:val="15"/>
                <w:szCs w:val="15"/>
                <w:vertAlign w:val="superscript"/>
                <w:lang w:val="en-US"/>
              </w:rPr>
            </w:pPr>
            <w:r w:rsidRPr="00485BDC">
              <w:rPr>
                <w:rFonts w:ascii="Arial" w:hAnsi="Arial" w:cs="Arial"/>
                <w:sz w:val="15"/>
                <w:szCs w:val="15"/>
                <w:lang w:val="en-US"/>
              </w:rPr>
              <w:t>0.271</w:t>
            </w:r>
            <w:r w:rsidRPr="00485BDC">
              <w:rPr>
                <w:rFonts w:ascii="Arial" w:hAnsi="Arial" w:cs="Arial"/>
                <w:sz w:val="15"/>
                <w:szCs w:val="15"/>
                <w:vertAlign w:val="superscript"/>
                <w:lang w:val="en-US"/>
              </w:rPr>
              <w:t>2</w:t>
            </w:r>
          </w:p>
        </w:tc>
        <w:tc>
          <w:tcPr>
            <w:tcW w:w="284" w:type="dxa"/>
            <w:vAlign w:val="center"/>
          </w:tcPr>
          <w:p w14:paraId="77BFD2D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</w:tc>
        <w:tc>
          <w:tcPr>
            <w:tcW w:w="992" w:type="dxa"/>
            <w:vAlign w:val="center"/>
          </w:tcPr>
          <w:p w14:paraId="1508B796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0A77A66D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13%</w:t>
            </w:r>
          </w:p>
          <w:p w14:paraId="2B38482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23%</w:t>
            </w:r>
          </w:p>
        </w:tc>
        <w:tc>
          <w:tcPr>
            <w:tcW w:w="992" w:type="dxa"/>
            <w:vAlign w:val="center"/>
          </w:tcPr>
          <w:p w14:paraId="29353F50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7ACAA18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87%</w:t>
            </w:r>
          </w:p>
          <w:p w14:paraId="4AA46E9F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77%</w:t>
            </w:r>
          </w:p>
        </w:tc>
        <w:tc>
          <w:tcPr>
            <w:tcW w:w="851" w:type="dxa"/>
            <w:vAlign w:val="center"/>
          </w:tcPr>
          <w:p w14:paraId="21349FDB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7AE56315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vertAlign w:val="superscript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0.675</w:t>
            </w:r>
            <w:r w:rsidRPr="00485BDC">
              <w:rPr>
                <w:rFonts w:ascii="Arial" w:hAnsi="Arial" w:cs="Arial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992" w:type="dxa"/>
            <w:vAlign w:val="center"/>
          </w:tcPr>
          <w:p w14:paraId="4D170441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070B138C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56%</w:t>
            </w:r>
          </w:p>
          <w:p w14:paraId="4EF9A4D8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30%</w:t>
            </w:r>
          </w:p>
        </w:tc>
        <w:tc>
          <w:tcPr>
            <w:tcW w:w="992" w:type="dxa"/>
            <w:vAlign w:val="center"/>
          </w:tcPr>
          <w:p w14:paraId="5A35DB24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5F24EAC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44%</w:t>
            </w:r>
          </w:p>
          <w:p w14:paraId="264F3041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70%</w:t>
            </w:r>
          </w:p>
        </w:tc>
        <w:tc>
          <w:tcPr>
            <w:tcW w:w="766" w:type="dxa"/>
            <w:vAlign w:val="center"/>
          </w:tcPr>
          <w:p w14:paraId="46FAF94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</w:p>
          <w:p w14:paraId="253A7742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5"/>
                <w:szCs w:val="15"/>
                <w:lang w:eastAsia="en-US"/>
              </w:rPr>
            </w:pPr>
            <w:r w:rsidRPr="00485BDC">
              <w:rPr>
                <w:rFonts w:ascii="Arial" w:eastAsiaTheme="minorHAnsi" w:hAnsi="Arial" w:cs="Arial"/>
                <w:sz w:val="15"/>
                <w:szCs w:val="15"/>
                <w:lang w:eastAsia="en-US"/>
              </w:rPr>
              <w:t>0.141</w:t>
            </w:r>
            <w:r w:rsidRPr="00485BDC">
              <w:rPr>
                <w:rFonts w:ascii="Arial" w:hAnsi="Arial" w:cs="Arial"/>
                <w:sz w:val="15"/>
                <w:szCs w:val="15"/>
                <w:vertAlign w:val="superscript"/>
                <w:lang w:val="en-US"/>
              </w:rPr>
              <w:t>2</w:t>
            </w:r>
          </w:p>
        </w:tc>
      </w:tr>
      <w:tr w:rsidR="006966A1" w:rsidRPr="002B0015" w14:paraId="06F2AC98" w14:textId="77777777" w:rsidTr="003B3328">
        <w:trPr>
          <w:trHeight w:val="687"/>
        </w:trPr>
        <w:tc>
          <w:tcPr>
            <w:tcW w:w="10787" w:type="dxa"/>
            <w:gridSpan w:val="11"/>
            <w:vAlign w:val="center"/>
          </w:tcPr>
          <w:p w14:paraId="7C2BCA8A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  <w:t>CSF-OP: cerebrospinal fluid opening pressure. SD: standard deviation.</w:t>
            </w:r>
          </w:p>
          <w:p w14:paraId="37060FA9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vertAlign w:val="superscript"/>
                <w:lang w:val="en-US" w:eastAsia="en-US"/>
              </w:rPr>
              <w:t>1</w:t>
            </w:r>
            <w:r w:rsidRPr="00485BDC"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  <w:t>two-sided p-values calculated by independent samples t-test.</w:t>
            </w:r>
          </w:p>
          <w:p w14:paraId="7E93A613" w14:textId="77777777" w:rsidR="006966A1" w:rsidRPr="00485BDC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vertAlign w:val="superscript"/>
                <w:lang w:val="en-US" w:eastAsia="en-US"/>
              </w:rPr>
              <w:t>2</w:t>
            </w:r>
            <w:r w:rsidRPr="00485BDC"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  <w:t>calculated by Fisher’s exact test.</w:t>
            </w:r>
          </w:p>
          <w:p w14:paraId="01572563" w14:textId="77777777" w:rsidR="006966A1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  <w:r w:rsidRPr="00485BDC">
              <w:rPr>
                <w:rFonts w:ascii="Arial" w:eastAsiaTheme="minorHAnsi" w:hAnsi="Arial" w:cs="Arial"/>
                <w:sz w:val="16"/>
                <w:szCs w:val="16"/>
                <w:vertAlign w:val="superscript"/>
                <w:lang w:val="en-US" w:eastAsia="en-US"/>
              </w:rPr>
              <w:t>3</w:t>
            </w:r>
            <w:r w:rsidRPr="00485BDC"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  <w:t xml:space="preserve">only available for 65 patients. The missing values in the “ophthalmologic worsening” group is due to lack of baseline visual acuity or baseline papilledema grade in 25 patients. </w:t>
            </w:r>
          </w:p>
          <w:p w14:paraId="0741EB75" w14:textId="77777777" w:rsidR="006966A1" w:rsidRPr="006E0D83" w:rsidRDefault="006966A1" w:rsidP="003B3328">
            <w:pPr>
              <w:spacing w:line="276" w:lineRule="auto"/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</w:pPr>
            <w:r>
              <w:rPr>
                <w:rFonts w:ascii="Arial" w:eastAsiaTheme="minorHAnsi" w:hAnsi="Arial" w:cs="Arial"/>
                <w:sz w:val="16"/>
                <w:szCs w:val="16"/>
                <w:vertAlign w:val="superscript"/>
                <w:lang w:val="en-US" w:eastAsia="en-US"/>
              </w:rPr>
              <w:t>4</w:t>
            </w:r>
            <w:r>
              <w:rPr>
                <w:rFonts w:ascii="Arial" w:eastAsiaTheme="minorHAnsi" w:hAnsi="Arial" w:cs="Arial"/>
                <w:sz w:val="16"/>
                <w:szCs w:val="16"/>
                <w:lang w:val="en-US" w:eastAsia="en-US"/>
              </w:rPr>
              <w:t>data on medical therapy was available for 83 out of 90 patients in the outcome analyses.</w:t>
            </w:r>
          </w:p>
        </w:tc>
      </w:tr>
    </w:tbl>
    <w:p w14:paraId="40203B00" w14:textId="77777777" w:rsidR="00823DE8" w:rsidRDefault="00823DE8">
      <w:pPr>
        <w:rPr>
          <w:lang w:val="en-US"/>
        </w:rPr>
      </w:pPr>
    </w:p>
    <w:p w14:paraId="050642F8" w14:textId="77777777" w:rsidR="002B0015" w:rsidRPr="002B0015" w:rsidRDefault="002B0015">
      <w:pPr>
        <w:rPr>
          <w:rFonts w:ascii="Arial" w:hAnsi="Arial" w:cs="Arial"/>
          <w:sz w:val="22"/>
          <w:szCs w:val="22"/>
          <w:lang w:val="en-US"/>
        </w:rPr>
      </w:pPr>
    </w:p>
    <w:p w14:paraId="2FA0E582" w14:textId="77777777" w:rsidR="002B0015" w:rsidRPr="002B0015" w:rsidRDefault="002B0015">
      <w:pPr>
        <w:rPr>
          <w:rFonts w:ascii="Arial" w:hAnsi="Arial" w:cs="Arial"/>
          <w:sz w:val="22"/>
          <w:szCs w:val="22"/>
          <w:lang w:val="en-US"/>
        </w:rPr>
      </w:pPr>
    </w:p>
    <w:p w14:paraId="4A66DC24" w14:textId="704D7011" w:rsidR="002B0015" w:rsidRPr="002B0015" w:rsidRDefault="002B0015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2B0015">
        <w:rPr>
          <w:rFonts w:ascii="Arial" w:hAnsi="Arial" w:cs="Arial"/>
          <w:b/>
          <w:bCs/>
          <w:sz w:val="22"/>
          <w:szCs w:val="22"/>
          <w:lang w:val="en-US"/>
        </w:rPr>
        <w:t xml:space="preserve">Supplemental Table 2. </w:t>
      </w:r>
      <w:r w:rsidR="00CF352D">
        <w:rPr>
          <w:rFonts w:ascii="Arial" w:hAnsi="Arial" w:cs="Arial"/>
          <w:sz w:val="22"/>
          <w:szCs w:val="22"/>
          <w:lang w:val="en-US"/>
        </w:rPr>
        <w:t>Baseline c</w:t>
      </w:r>
      <w:r w:rsidRPr="00CF352D">
        <w:rPr>
          <w:rFonts w:ascii="Arial" w:hAnsi="Arial" w:cs="Arial"/>
          <w:sz w:val="22"/>
          <w:szCs w:val="22"/>
          <w:lang w:val="en-US"/>
        </w:rPr>
        <w:t>haracteristics of the</w:t>
      </w:r>
      <w:r w:rsidR="00CF352D" w:rsidRPr="00CF352D">
        <w:rPr>
          <w:rFonts w:ascii="Arial" w:hAnsi="Arial" w:cs="Arial"/>
          <w:sz w:val="22"/>
          <w:szCs w:val="22"/>
          <w:lang w:val="en-US"/>
        </w:rPr>
        <w:t xml:space="preserve"> patients lost to </w:t>
      </w:r>
      <w:r w:rsidRPr="00CF352D">
        <w:rPr>
          <w:rFonts w:ascii="Arial" w:hAnsi="Arial" w:cs="Arial"/>
          <w:sz w:val="22"/>
          <w:szCs w:val="22"/>
          <w:lang w:val="en-US"/>
        </w:rPr>
        <w:t>follow-up</w:t>
      </w:r>
      <w:r w:rsidR="00CF352D" w:rsidRPr="00CF352D">
        <w:rPr>
          <w:rFonts w:ascii="Arial" w:hAnsi="Arial" w:cs="Arial"/>
          <w:sz w:val="22"/>
          <w:szCs w:val="22"/>
          <w:lang w:val="en-US"/>
        </w:rPr>
        <w:t xml:space="preserve"> and patients in the follow-up cohort.</w:t>
      </w:r>
    </w:p>
    <w:p w14:paraId="12C2A089" w14:textId="77777777" w:rsidR="002B0015" w:rsidRDefault="002B0015">
      <w:pPr>
        <w:rPr>
          <w:lang w:val="en-US"/>
        </w:rPr>
      </w:pPr>
    </w:p>
    <w:tbl>
      <w:tblPr>
        <w:tblStyle w:val="EinfacheTabelle2"/>
        <w:tblW w:w="8647" w:type="dxa"/>
        <w:tblLook w:val="0420" w:firstRow="1" w:lastRow="0" w:firstColumn="0" w:lastColumn="0" w:noHBand="0" w:noVBand="1"/>
      </w:tblPr>
      <w:tblGrid>
        <w:gridCol w:w="2828"/>
        <w:gridCol w:w="2213"/>
        <w:gridCol w:w="2330"/>
        <w:gridCol w:w="1276"/>
      </w:tblGrid>
      <w:tr w:rsidR="00B25FB6" w:rsidRPr="002C1CD8" w14:paraId="62F7FC03" w14:textId="69785771" w:rsidTr="00A003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82"/>
        </w:trPr>
        <w:tc>
          <w:tcPr>
            <w:tcW w:w="2828" w:type="dxa"/>
            <w:tcBorders>
              <w:top w:val="single" w:sz="4" w:space="0" w:color="auto"/>
            </w:tcBorders>
            <w:vAlign w:val="center"/>
            <w:hideMark/>
          </w:tcPr>
          <w:p w14:paraId="0A679C0A" w14:textId="77777777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</w:p>
        </w:tc>
        <w:tc>
          <w:tcPr>
            <w:tcW w:w="2213" w:type="dxa"/>
            <w:tcBorders>
              <w:top w:val="single" w:sz="4" w:space="0" w:color="auto"/>
            </w:tcBorders>
            <w:vAlign w:val="center"/>
            <w:hideMark/>
          </w:tcPr>
          <w:p w14:paraId="03B1B489" w14:textId="77777777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CF352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follow-</w:t>
            </w:r>
            <w:proofErr w:type="spellStart"/>
            <w:r w:rsidRPr="00CF352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up</w:t>
            </w:r>
            <w:proofErr w:type="spellEnd"/>
            <w:r w:rsidRPr="00CF352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 xml:space="preserve"> </w:t>
            </w:r>
          </w:p>
          <w:p w14:paraId="62EFD7CD" w14:textId="77777777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proofErr w:type="spellStart"/>
            <w:r w:rsidRPr="00CF352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cohort</w:t>
            </w:r>
            <w:proofErr w:type="spellEnd"/>
          </w:p>
          <w:p w14:paraId="43D9E0E8" w14:textId="59477736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 w:rsidRPr="00CF352D"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(n = 90)</w:t>
            </w:r>
          </w:p>
        </w:tc>
        <w:tc>
          <w:tcPr>
            <w:tcW w:w="2330" w:type="dxa"/>
            <w:tcBorders>
              <w:top w:val="single" w:sz="4" w:space="0" w:color="auto"/>
            </w:tcBorders>
            <w:vAlign w:val="center"/>
            <w:hideMark/>
          </w:tcPr>
          <w:p w14:paraId="3B812BF2" w14:textId="77777777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 w:rsidRPr="00CF352D"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>patients lost to follow-up</w:t>
            </w:r>
          </w:p>
          <w:p w14:paraId="189603BE" w14:textId="7408EF69" w:rsidR="00B25FB6" w:rsidRPr="00CF352D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 w:rsidRPr="00CF352D"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>(n = 101)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48BF8083" w14:textId="18E33131" w:rsidR="00B25FB6" w:rsidRPr="00CF352D" w:rsidRDefault="00B25FB6" w:rsidP="00A003DE">
            <w:pP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val="en-US" w:eastAsia="en-US"/>
              </w:rPr>
              <w:t>p-value</w:t>
            </w:r>
          </w:p>
        </w:tc>
      </w:tr>
      <w:tr w:rsidR="00B25FB6" w:rsidRPr="002C1CD8" w14:paraId="2FC810C2" w14:textId="75B20218" w:rsidTr="00B25F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tcW w:w="2828" w:type="dxa"/>
            <w:vAlign w:val="center"/>
          </w:tcPr>
          <w:p w14:paraId="388657AF" w14:textId="73BCAC6F" w:rsidR="00B25FB6" w:rsidRPr="002C1CD8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age</w:t>
            </w:r>
          </w:p>
        </w:tc>
        <w:tc>
          <w:tcPr>
            <w:tcW w:w="2213" w:type="dxa"/>
            <w:vAlign w:val="center"/>
          </w:tcPr>
          <w:p w14:paraId="14DE95B1" w14:textId="0D928C96" w:rsidR="00B25FB6" w:rsidRPr="002C1CD8" w:rsidRDefault="00B25FB6" w:rsidP="001D7FF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33.3 </w:t>
            </w:r>
            <w:r w:rsidRPr="002B0015"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±</w:t>
            </w: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 xml:space="preserve"> 11.0</w:t>
            </w:r>
          </w:p>
        </w:tc>
        <w:tc>
          <w:tcPr>
            <w:tcW w:w="2330" w:type="dxa"/>
            <w:vAlign w:val="center"/>
          </w:tcPr>
          <w:p w14:paraId="3A2154DC" w14:textId="5E8B4C3A" w:rsidR="00B25FB6" w:rsidRPr="002C1CD8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 xml:space="preserve">37.4 </w:t>
            </w:r>
            <w:r w:rsidRPr="002B0015"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±</w:t>
            </w: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 xml:space="preserve"> 13.4</w:t>
            </w:r>
          </w:p>
        </w:tc>
        <w:tc>
          <w:tcPr>
            <w:tcW w:w="1276" w:type="dxa"/>
            <w:vAlign w:val="center"/>
          </w:tcPr>
          <w:p w14:paraId="4907511F" w14:textId="41F2D31B" w:rsidR="00B25FB6" w:rsidRPr="000B058C" w:rsidRDefault="00B25FB6" w:rsidP="00B25FB6">
            <w:pPr>
              <w:rPr>
                <w:rFonts w:ascii="Arial" w:eastAsiaTheme="minorHAnsi" w:hAnsi="Arial" w:cs="Arial"/>
                <w:sz w:val="20"/>
                <w:szCs w:val="20"/>
                <w:vertAlign w:val="superscript"/>
                <w:lang w:val="en-GB"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0.023</w:t>
            </w:r>
            <w:r w:rsidR="000B058C">
              <w:rPr>
                <w:rFonts w:ascii="Arial" w:eastAsiaTheme="minorHAnsi" w:hAnsi="Arial" w:cs="Arial"/>
                <w:sz w:val="20"/>
                <w:szCs w:val="20"/>
                <w:vertAlign w:val="superscript"/>
                <w:lang w:val="en-GB" w:eastAsia="en-US"/>
              </w:rPr>
              <w:t>1</w:t>
            </w:r>
          </w:p>
        </w:tc>
      </w:tr>
      <w:tr w:rsidR="00B25FB6" w:rsidRPr="002C1CD8" w14:paraId="7AEFD11D" w14:textId="38BFFC96" w:rsidTr="00B25FB6">
        <w:trPr>
          <w:trHeight w:val="699"/>
        </w:trPr>
        <w:tc>
          <w:tcPr>
            <w:tcW w:w="2828" w:type="dxa"/>
            <w:vAlign w:val="center"/>
          </w:tcPr>
          <w:p w14:paraId="1C97D438" w14:textId="4E73679E" w:rsidR="00B25FB6" w:rsidRDefault="00B25FB6" w:rsidP="001D7FF6">
            <w:pP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female/male</w:t>
            </w:r>
          </w:p>
        </w:tc>
        <w:tc>
          <w:tcPr>
            <w:tcW w:w="2213" w:type="dxa"/>
            <w:vAlign w:val="center"/>
          </w:tcPr>
          <w:p w14:paraId="07B53752" w14:textId="68AE7CD3" w:rsidR="00B25FB6" w:rsidRPr="002C1CD8" w:rsidRDefault="00B25FB6" w:rsidP="001D7FF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f = 81; m = 9</w:t>
            </w:r>
          </w:p>
        </w:tc>
        <w:tc>
          <w:tcPr>
            <w:tcW w:w="2330" w:type="dxa"/>
            <w:vAlign w:val="center"/>
          </w:tcPr>
          <w:p w14:paraId="4E18097F" w14:textId="4BF91157" w:rsidR="00B25FB6" w:rsidRPr="002C1CD8" w:rsidRDefault="00B25FB6" w:rsidP="001D7FF6">
            <w:pP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f = 84; m = 17</w:t>
            </w:r>
          </w:p>
        </w:tc>
        <w:tc>
          <w:tcPr>
            <w:tcW w:w="1276" w:type="dxa"/>
            <w:vAlign w:val="center"/>
          </w:tcPr>
          <w:p w14:paraId="3849D6AB" w14:textId="4609FFBB" w:rsidR="00B25FB6" w:rsidRPr="000B058C" w:rsidRDefault="00B25FB6" w:rsidP="00B25FB6">
            <w:pPr>
              <w:rPr>
                <w:rFonts w:ascii="Arial" w:eastAsiaTheme="minorHAnsi" w:hAnsi="Arial" w:cs="Arial"/>
                <w:sz w:val="20"/>
                <w:szCs w:val="20"/>
                <w:vertAlign w:val="superscript"/>
                <w:lang w:val="en-GB"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0.207</w:t>
            </w:r>
            <w:r w:rsidR="000B058C">
              <w:rPr>
                <w:rFonts w:ascii="Arial" w:eastAsiaTheme="minorHAnsi" w:hAnsi="Arial" w:cs="Arial"/>
                <w:sz w:val="20"/>
                <w:szCs w:val="20"/>
                <w:vertAlign w:val="superscript"/>
                <w:lang w:val="en-GB" w:eastAsia="en-US"/>
              </w:rPr>
              <w:t>2</w:t>
            </w:r>
          </w:p>
        </w:tc>
      </w:tr>
      <w:tr w:rsidR="00B25FB6" w:rsidRPr="002C1CD8" w14:paraId="4520D98C" w14:textId="03BD1F3D" w:rsidTr="00B25F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tcW w:w="2828" w:type="dxa"/>
            <w:vAlign w:val="center"/>
          </w:tcPr>
          <w:p w14:paraId="59D30603" w14:textId="37F97E8F" w:rsidR="00B25FB6" w:rsidRPr="002C1CD8" w:rsidRDefault="00B25FB6" w:rsidP="002B0015">
            <w:pP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</w:pPr>
            <w:r w:rsidRPr="005A2FBA"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>BMI</w:t>
            </w:r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 xml:space="preserve"> [kg/m</w:t>
            </w:r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vertAlign w:val="superscript"/>
                <w:lang w:val="en-GB" w:eastAsia="en-US"/>
              </w:rPr>
              <w:t>2</w:t>
            </w:r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>]</w:t>
            </w:r>
          </w:p>
        </w:tc>
        <w:tc>
          <w:tcPr>
            <w:tcW w:w="2213" w:type="dxa"/>
            <w:vAlign w:val="center"/>
          </w:tcPr>
          <w:p w14:paraId="0F9A7DA1" w14:textId="753C10EA" w:rsidR="00B25FB6" w:rsidRPr="002C1CD8" w:rsidRDefault="00B25FB6" w:rsidP="002B00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34.6 </w:t>
            </w:r>
            <w:r w:rsidRPr="002B0015"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±</w:t>
            </w: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 xml:space="preserve"> 7.8</w:t>
            </w:r>
          </w:p>
        </w:tc>
        <w:tc>
          <w:tcPr>
            <w:tcW w:w="2330" w:type="dxa"/>
            <w:vAlign w:val="center"/>
          </w:tcPr>
          <w:p w14:paraId="34D2497A" w14:textId="06F17993" w:rsidR="00B25FB6" w:rsidRPr="000B058C" w:rsidRDefault="00B25FB6" w:rsidP="002B0015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34.3 </w:t>
            </w:r>
            <w:r w:rsidRPr="002B0015"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9.0</w:t>
            </w:r>
          </w:p>
        </w:tc>
        <w:tc>
          <w:tcPr>
            <w:tcW w:w="1276" w:type="dxa"/>
            <w:vAlign w:val="center"/>
          </w:tcPr>
          <w:p w14:paraId="096414B8" w14:textId="6D556162" w:rsidR="00B25FB6" w:rsidRPr="000B058C" w:rsidRDefault="00B25FB6" w:rsidP="00B25FB6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0.807</w:t>
            </w:r>
            <w:r w:rsidR="000B058C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B25FB6" w:rsidRPr="002C1CD8" w14:paraId="7C0EB248" w14:textId="5F7B9B1A" w:rsidTr="00B25FB6">
        <w:trPr>
          <w:trHeight w:val="699"/>
        </w:trPr>
        <w:tc>
          <w:tcPr>
            <w:tcW w:w="2828" w:type="dxa"/>
            <w:vAlign w:val="center"/>
          </w:tcPr>
          <w:p w14:paraId="6BCC0AF9" w14:textId="3235A586" w:rsidR="00B25FB6" w:rsidRPr="002C1CD8" w:rsidRDefault="00B25FB6" w:rsidP="002B0015">
            <w:pP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</w:pPr>
            <w:r w:rsidRPr="005A2FBA"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>CSF-OP</w:t>
            </w:r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 xml:space="preserve"> [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>cmCSF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1"/>
                <w:szCs w:val="21"/>
                <w:lang w:val="en-GB" w:eastAsia="en-US"/>
              </w:rPr>
              <w:t>]</w:t>
            </w:r>
          </w:p>
        </w:tc>
        <w:tc>
          <w:tcPr>
            <w:tcW w:w="2213" w:type="dxa"/>
            <w:vAlign w:val="center"/>
          </w:tcPr>
          <w:p w14:paraId="0DCDE759" w14:textId="56FDA03D" w:rsidR="00B25FB6" w:rsidRPr="002C1CD8" w:rsidRDefault="00B25FB6" w:rsidP="002B00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35.9 </w:t>
            </w:r>
            <w:r w:rsidRPr="002B0015"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>±</w:t>
            </w:r>
            <w:r>
              <w:rPr>
                <w:rFonts w:ascii="Arial" w:eastAsiaTheme="minorHAnsi" w:hAnsi="Arial" w:cs="Arial"/>
                <w:sz w:val="20"/>
                <w:szCs w:val="20"/>
                <w:lang w:val="en-GB" w:eastAsia="en-US"/>
              </w:rPr>
              <w:t xml:space="preserve"> 8.3</w:t>
            </w:r>
          </w:p>
        </w:tc>
        <w:tc>
          <w:tcPr>
            <w:tcW w:w="2330" w:type="dxa"/>
            <w:vAlign w:val="center"/>
          </w:tcPr>
          <w:p w14:paraId="2F310299" w14:textId="13199102" w:rsidR="00B25FB6" w:rsidRPr="002C1CD8" w:rsidRDefault="00B25FB6" w:rsidP="002B001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36.3 </w:t>
            </w:r>
            <w:r w:rsidRPr="002B0015"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7.9</w:t>
            </w:r>
          </w:p>
        </w:tc>
        <w:tc>
          <w:tcPr>
            <w:tcW w:w="1276" w:type="dxa"/>
            <w:vAlign w:val="center"/>
          </w:tcPr>
          <w:p w14:paraId="23FA207E" w14:textId="7F85DBDE" w:rsidR="00B25FB6" w:rsidRPr="000B058C" w:rsidRDefault="00B25FB6" w:rsidP="00B25FB6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0.733</w:t>
            </w:r>
            <w:r w:rsidR="000B058C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  <w:tr w:rsidR="00B25FB6" w:rsidRPr="002C1CD8" w14:paraId="56446D50" w14:textId="4DBD58C4" w:rsidTr="00B25F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</w:trPr>
        <w:tc>
          <w:tcPr>
            <w:tcW w:w="2828" w:type="dxa"/>
            <w:vAlign w:val="center"/>
          </w:tcPr>
          <w:p w14:paraId="4CADB165" w14:textId="18F0B5E9" w:rsidR="00B25FB6" w:rsidRPr="00CF352D" w:rsidRDefault="00B25FB6" w:rsidP="00CF352D">
            <w:pP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</w:pPr>
            <w:proofErr w:type="spellStart"/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Frisén</w:t>
            </w:r>
            <w:proofErr w:type="spellEnd"/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 xml:space="preserve"> grade </w:t>
            </w:r>
          </w:p>
          <w:p w14:paraId="5ADA60F3" w14:textId="3E7B493B" w:rsidR="00B25FB6" w:rsidRPr="002C1CD8" w:rsidRDefault="00B25FB6" w:rsidP="00CF352D">
            <w:pP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</w:pPr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(median &amp; IQR)</w:t>
            </w:r>
          </w:p>
        </w:tc>
        <w:tc>
          <w:tcPr>
            <w:tcW w:w="2213" w:type="dxa"/>
            <w:vAlign w:val="center"/>
          </w:tcPr>
          <w:p w14:paraId="06C64098" w14:textId="65D13A5A" w:rsidR="00B25FB6" w:rsidRPr="002C1CD8" w:rsidRDefault="00B25FB6" w:rsidP="001D7FF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1CD8">
              <w:rPr>
                <w:rFonts w:ascii="Arial" w:hAnsi="Arial" w:cs="Arial"/>
                <w:sz w:val="20"/>
                <w:szCs w:val="20"/>
                <w:lang w:val="en-US"/>
              </w:rPr>
              <w:t>2 (2)</w:t>
            </w:r>
          </w:p>
        </w:tc>
        <w:tc>
          <w:tcPr>
            <w:tcW w:w="2330" w:type="dxa"/>
            <w:vAlign w:val="center"/>
          </w:tcPr>
          <w:p w14:paraId="7EA8B36C" w14:textId="7FF74347" w:rsidR="00B25FB6" w:rsidRPr="000B058C" w:rsidRDefault="00B25FB6" w:rsidP="001D7FF6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 (1)</w:t>
            </w:r>
            <w:r w:rsidR="000B058C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3</w:t>
            </w:r>
          </w:p>
        </w:tc>
        <w:tc>
          <w:tcPr>
            <w:tcW w:w="1276" w:type="dxa"/>
            <w:vAlign w:val="center"/>
          </w:tcPr>
          <w:p w14:paraId="74032C9E" w14:textId="6B914043" w:rsidR="00B25FB6" w:rsidRPr="00C61324" w:rsidRDefault="00C61324" w:rsidP="00B25FB6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0.208</w:t>
            </w:r>
            <w: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4</w:t>
            </w:r>
          </w:p>
        </w:tc>
      </w:tr>
      <w:tr w:rsidR="00B25FB6" w:rsidRPr="002C1CD8" w14:paraId="5CA82C9C" w14:textId="38D3AC4D" w:rsidTr="00B25FB6">
        <w:trPr>
          <w:trHeight w:val="699"/>
        </w:trPr>
        <w:tc>
          <w:tcPr>
            <w:tcW w:w="2828" w:type="dxa"/>
            <w:vAlign w:val="center"/>
          </w:tcPr>
          <w:p w14:paraId="49B95ADA" w14:textId="010D606A" w:rsidR="00B25FB6" w:rsidRPr="00CF352D" w:rsidRDefault="00B25FB6" w:rsidP="00CF352D">
            <w:pPr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</w:pPr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BCVA [</w:t>
            </w:r>
            <w:proofErr w:type="spellStart"/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logMAR</w:t>
            </w:r>
            <w:proofErr w:type="spellEnd"/>
            <w:r w:rsidRPr="00CF352D">
              <w:rPr>
                <w:rFonts w:ascii="Arial" w:eastAsiaTheme="minorHAnsi" w:hAnsi="Arial" w:cs="Arial"/>
                <w:b/>
                <w:bCs/>
                <w:sz w:val="20"/>
                <w:szCs w:val="20"/>
                <w:lang w:val="en-GB" w:eastAsia="en-US"/>
              </w:rPr>
              <w:t>]</w:t>
            </w:r>
          </w:p>
        </w:tc>
        <w:tc>
          <w:tcPr>
            <w:tcW w:w="2213" w:type="dxa"/>
            <w:vAlign w:val="center"/>
          </w:tcPr>
          <w:p w14:paraId="66DF3276" w14:textId="52DED734" w:rsidR="00B25FB6" w:rsidRPr="002C1CD8" w:rsidRDefault="00B25FB6" w:rsidP="001D7FF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2C1CD8">
              <w:rPr>
                <w:rFonts w:ascii="Arial" w:hAnsi="Arial" w:cs="Arial"/>
                <w:sz w:val="20"/>
                <w:szCs w:val="20"/>
                <w:lang w:val="en-US"/>
              </w:rPr>
              <w:t>0.13 ± 0.20</w:t>
            </w:r>
          </w:p>
        </w:tc>
        <w:tc>
          <w:tcPr>
            <w:tcW w:w="2330" w:type="dxa"/>
            <w:vAlign w:val="center"/>
          </w:tcPr>
          <w:p w14:paraId="1B9FCDD5" w14:textId="23379C42" w:rsidR="00B25FB6" w:rsidRDefault="00B25FB6" w:rsidP="001D7FF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0.17 </w:t>
            </w:r>
            <w:r w:rsidRPr="002B0015">
              <w:rPr>
                <w:rFonts w:ascii="Arial" w:hAnsi="Arial" w:cs="Arial"/>
                <w:sz w:val="20"/>
                <w:szCs w:val="20"/>
                <w:lang w:val="en-US"/>
              </w:rPr>
              <w:t>±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0.37</w:t>
            </w:r>
          </w:p>
        </w:tc>
        <w:tc>
          <w:tcPr>
            <w:tcW w:w="1276" w:type="dxa"/>
            <w:vAlign w:val="center"/>
          </w:tcPr>
          <w:p w14:paraId="2B85C60A" w14:textId="4D50C9CF" w:rsidR="00B25FB6" w:rsidRPr="000B058C" w:rsidRDefault="00B25FB6" w:rsidP="00B25FB6">
            <w:pPr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0.362</w:t>
            </w:r>
            <w:r w:rsidR="000B058C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1</w:t>
            </w:r>
          </w:p>
        </w:tc>
      </w:tr>
    </w:tbl>
    <w:p w14:paraId="188F0656" w14:textId="77777777" w:rsidR="000B058C" w:rsidRDefault="000B058C" w:rsidP="000B058C">
      <w:pPr>
        <w:spacing w:line="276" w:lineRule="auto"/>
        <w:rPr>
          <w:rFonts w:ascii="Arial" w:eastAsiaTheme="minorHAnsi" w:hAnsi="Arial" w:cs="Arial"/>
          <w:sz w:val="16"/>
          <w:szCs w:val="16"/>
          <w:lang w:val="en-US" w:eastAsia="en-US"/>
        </w:rPr>
      </w:pPr>
      <w:r w:rsidRPr="00485BDC">
        <w:rPr>
          <w:rFonts w:ascii="Arial" w:eastAsiaTheme="minorHAnsi" w:hAnsi="Arial" w:cs="Arial"/>
          <w:sz w:val="16"/>
          <w:szCs w:val="16"/>
          <w:vertAlign w:val="superscript"/>
          <w:lang w:val="en-US" w:eastAsia="en-US"/>
        </w:rPr>
        <w:t>1</w:t>
      </w:r>
      <w:r w:rsidRPr="00485BDC">
        <w:rPr>
          <w:rFonts w:ascii="Arial" w:eastAsiaTheme="minorHAnsi" w:hAnsi="Arial" w:cs="Arial"/>
          <w:sz w:val="16"/>
          <w:szCs w:val="16"/>
          <w:lang w:val="en-US" w:eastAsia="en-US"/>
        </w:rPr>
        <w:t>two-sided p-values calculated by independent samples t-test.</w:t>
      </w:r>
    </w:p>
    <w:p w14:paraId="27E98E6F" w14:textId="08A486BF" w:rsidR="000B058C" w:rsidRDefault="000B058C" w:rsidP="000B058C">
      <w:pPr>
        <w:spacing w:line="276" w:lineRule="auto"/>
        <w:rPr>
          <w:rFonts w:ascii="Arial" w:eastAsiaTheme="minorHAnsi" w:hAnsi="Arial" w:cs="Arial"/>
          <w:sz w:val="16"/>
          <w:szCs w:val="16"/>
          <w:lang w:val="en-US" w:eastAsia="en-US"/>
        </w:rPr>
      </w:pPr>
      <w:r w:rsidRPr="00485BDC">
        <w:rPr>
          <w:rFonts w:ascii="Arial" w:eastAsiaTheme="minorHAnsi" w:hAnsi="Arial" w:cs="Arial"/>
          <w:sz w:val="16"/>
          <w:szCs w:val="16"/>
          <w:vertAlign w:val="superscript"/>
          <w:lang w:val="en-US" w:eastAsia="en-US"/>
        </w:rPr>
        <w:t>2</w:t>
      </w:r>
      <w:r w:rsidRPr="00485BDC">
        <w:rPr>
          <w:rFonts w:ascii="Arial" w:eastAsiaTheme="minorHAnsi" w:hAnsi="Arial" w:cs="Arial"/>
          <w:sz w:val="16"/>
          <w:szCs w:val="16"/>
          <w:lang w:val="en-US" w:eastAsia="en-US"/>
        </w:rPr>
        <w:t>calculated by Fisher’s exact test.</w:t>
      </w:r>
      <w:r>
        <w:rPr>
          <w:rFonts w:ascii="Arial" w:eastAsiaTheme="minorHAnsi" w:hAnsi="Arial" w:cs="Arial"/>
          <w:sz w:val="16"/>
          <w:szCs w:val="16"/>
          <w:lang w:val="en-US" w:eastAsia="en-US"/>
        </w:rPr>
        <w:t xml:space="preserve"> </w:t>
      </w:r>
    </w:p>
    <w:p w14:paraId="7554144D" w14:textId="30812B90" w:rsidR="000B058C" w:rsidRDefault="000B058C" w:rsidP="000B058C">
      <w:pPr>
        <w:spacing w:line="276" w:lineRule="auto"/>
        <w:rPr>
          <w:rFonts w:ascii="Arial" w:eastAsiaTheme="minorHAnsi" w:hAnsi="Arial" w:cs="Arial"/>
          <w:sz w:val="16"/>
          <w:szCs w:val="16"/>
          <w:lang w:val="en-US" w:eastAsia="en-US"/>
        </w:rPr>
      </w:pPr>
      <w:r>
        <w:rPr>
          <w:rFonts w:ascii="Arial" w:eastAsiaTheme="minorHAnsi" w:hAnsi="Arial" w:cs="Arial"/>
          <w:sz w:val="16"/>
          <w:szCs w:val="16"/>
          <w:vertAlign w:val="superscript"/>
          <w:lang w:val="en-US" w:eastAsia="en-US"/>
        </w:rPr>
        <w:t>3</w:t>
      </w:r>
      <w:r>
        <w:rPr>
          <w:rFonts w:ascii="Arial" w:eastAsiaTheme="minorHAnsi" w:hAnsi="Arial" w:cs="Arial"/>
          <w:sz w:val="16"/>
          <w:szCs w:val="16"/>
          <w:lang w:val="en-US" w:eastAsia="en-US"/>
        </w:rPr>
        <w:t>available in 73 patients.</w:t>
      </w:r>
    </w:p>
    <w:p w14:paraId="1A462084" w14:textId="6F82CA2C" w:rsidR="000B058C" w:rsidRPr="000B058C" w:rsidRDefault="000B058C" w:rsidP="000B058C">
      <w:pPr>
        <w:spacing w:line="276" w:lineRule="auto"/>
        <w:rPr>
          <w:rFonts w:ascii="Arial" w:eastAsiaTheme="minorHAnsi" w:hAnsi="Arial" w:cs="Arial"/>
          <w:sz w:val="16"/>
          <w:szCs w:val="16"/>
          <w:lang w:val="en-US" w:eastAsia="en-US"/>
        </w:rPr>
      </w:pPr>
      <w:r>
        <w:rPr>
          <w:rFonts w:ascii="Arial" w:eastAsiaTheme="minorHAnsi" w:hAnsi="Arial" w:cs="Arial"/>
          <w:sz w:val="16"/>
          <w:szCs w:val="16"/>
          <w:vertAlign w:val="superscript"/>
          <w:lang w:val="en-US" w:eastAsia="en-US"/>
        </w:rPr>
        <w:t>4</w:t>
      </w:r>
      <w:r>
        <w:rPr>
          <w:rFonts w:ascii="Arial" w:eastAsiaTheme="minorHAnsi" w:hAnsi="Arial" w:cs="Arial"/>
          <w:sz w:val="16"/>
          <w:szCs w:val="16"/>
          <w:lang w:val="en-US" w:eastAsia="en-US"/>
        </w:rPr>
        <w:t>calculated using Mann-Whitney-U-test.</w:t>
      </w:r>
    </w:p>
    <w:p w14:paraId="07461D95" w14:textId="77777777" w:rsidR="000B058C" w:rsidRPr="00485BDC" w:rsidRDefault="000B058C" w:rsidP="000B058C">
      <w:pPr>
        <w:spacing w:line="276" w:lineRule="auto"/>
        <w:rPr>
          <w:rFonts w:ascii="Arial" w:eastAsiaTheme="minorHAnsi" w:hAnsi="Arial" w:cs="Arial"/>
          <w:sz w:val="16"/>
          <w:szCs w:val="16"/>
          <w:lang w:val="en-US" w:eastAsia="en-US"/>
        </w:rPr>
      </w:pPr>
    </w:p>
    <w:p w14:paraId="30084F7E" w14:textId="77777777" w:rsidR="002B0015" w:rsidRPr="006966A1" w:rsidRDefault="002B0015">
      <w:pPr>
        <w:rPr>
          <w:lang w:val="en-US"/>
        </w:rPr>
      </w:pPr>
    </w:p>
    <w:sectPr w:rsidR="002B0015" w:rsidRPr="006966A1" w:rsidSect="0088611F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1E3AAD"/>
    <w:multiLevelType w:val="hybridMultilevel"/>
    <w:tmpl w:val="7F64ACA8"/>
    <w:lvl w:ilvl="0" w:tplc="969C4A48">
      <w:start w:val="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45401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6A1"/>
    <w:rsid w:val="000B058C"/>
    <w:rsid w:val="00257C29"/>
    <w:rsid w:val="002B0015"/>
    <w:rsid w:val="004B1519"/>
    <w:rsid w:val="00542587"/>
    <w:rsid w:val="005773C7"/>
    <w:rsid w:val="006966A1"/>
    <w:rsid w:val="00731228"/>
    <w:rsid w:val="008043EA"/>
    <w:rsid w:val="00823DE8"/>
    <w:rsid w:val="0088611F"/>
    <w:rsid w:val="00907F2F"/>
    <w:rsid w:val="009348A9"/>
    <w:rsid w:val="009A3EB9"/>
    <w:rsid w:val="00A003DE"/>
    <w:rsid w:val="00B25FB6"/>
    <w:rsid w:val="00C15567"/>
    <w:rsid w:val="00C61324"/>
    <w:rsid w:val="00CF352D"/>
    <w:rsid w:val="00DE2281"/>
    <w:rsid w:val="00E352F7"/>
    <w:rsid w:val="00F5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53F5BA2"/>
  <w15:chartTrackingRefBased/>
  <w15:docId w15:val="{11E6C034-B11D-0446-9981-8F1BDCF60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966A1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966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966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966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966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966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966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966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966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966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966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966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966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966A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966A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966A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966A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966A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966A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966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966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966A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966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966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966A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966A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966A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966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966A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966A1"/>
    <w:rPr>
      <w:b/>
      <w:bCs/>
      <w:smallCaps/>
      <w:color w:val="0F4761" w:themeColor="accent1" w:themeShade="BF"/>
      <w:spacing w:val="5"/>
    </w:rPr>
  </w:style>
  <w:style w:type="table" w:styleId="EinfacheTabelle2">
    <w:name w:val="Plain Table 2"/>
    <w:basedOn w:val="NormaleTabelle"/>
    <w:uiPriority w:val="42"/>
    <w:rsid w:val="006966A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Knoche, Theresia Yasemin</dc:creator>
  <cp:keywords/>
  <dc:description/>
  <cp:lastModifiedBy>Knoche, Theresia Yasemin</cp:lastModifiedBy>
  <cp:revision>5</cp:revision>
  <dcterms:created xsi:type="dcterms:W3CDTF">2024-07-18T13:05:00Z</dcterms:created>
  <dcterms:modified xsi:type="dcterms:W3CDTF">2024-07-23T18:38:00Z</dcterms:modified>
</cp:coreProperties>
</file>