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E96217" w14:textId="77777777" w:rsidR="00986E96" w:rsidRPr="000C6F8B" w:rsidRDefault="00986E96" w:rsidP="00986E96">
      <w:pPr>
        <w:jc w:val="both"/>
        <w:rPr>
          <w:b/>
          <w:bCs/>
          <w:color w:val="262626"/>
          <w:sz w:val="24"/>
          <w:szCs w:val="24"/>
        </w:rPr>
      </w:pPr>
      <w:r w:rsidRPr="000C6F8B">
        <w:rPr>
          <w:b/>
          <w:bCs/>
          <w:color w:val="262626"/>
          <w:sz w:val="24"/>
          <w:szCs w:val="24"/>
        </w:rPr>
        <w:t>EXTENDED DATA</w:t>
      </w:r>
    </w:p>
    <w:p w14:paraId="0C650465" w14:textId="77777777" w:rsidR="00986E96" w:rsidRPr="000C6F8B" w:rsidRDefault="00986E96" w:rsidP="00986E96">
      <w:pPr>
        <w:jc w:val="both"/>
        <w:rPr>
          <w:sz w:val="22"/>
          <w:szCs w:val="22"/>
        </w:rPr>
      </w:pPr>
      <w:r>
        <w:rPr>
          <w:b/>
          <w:bCs/>
          <w:noProof/>
          <w:sz w:val="22"/>
          <w:szCs w:val="22"/>
          <w14:ligatures w14:val="standardContextual"/>
        </w:rPr>
        <w:drawing>
          <wp:inline distT="0" distB="0" distL="0" distR="0" wp14:anchorId="0A77D278" wp14:editId="31D20EBA">
            <wp:extent cx="5943600" cy="6934200"/>
            <wp:effectExtent l="0" t="0" r="0" b="0"/>
            <wp:docPr id="18040929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09294" name="Picture 180409294"/>
                    <pic:cNvPicPr/>
                  </pic:nvPicPr>
                  <pic:blipFill>
                    <a:blip r:embed="rId4"/>
                    <a:stretch>
                      <a:fillRect/>
                    </a:stretch>
                  </pic:blipFill>
                  <pic:spPr>
                    <a:xfrm>
                      <a:off x="0" y="0"/>
                      <a:ext cx="5943600" cy="6934200"/>
                    </a:xfrm>
                    <a:prstGeom prst="rect">
                      <a:avLst/>
                    </a:prstGeom>
                  </pic:spPr>
                </pic:pic>
              </a:graphicData>
            </a:graphic>
          </wp:inline>
        </w:drawing>
      </w:r>
      <w:r w:rsidRPr="000C6F8B">
        <w:rPr>
          <w:b/>
          <w:bCs/>
          <w:sz w:val="22"/>
          <w:szCs w:val="22"/>
        </w:rPr>
        <w:t>Extended Data Fig 1.</w:t>
      </w:r>
      <w:r w:rsidRPr="000C6F8B">
        <w:rPr>
          <w:sz w:val="22"/>
          <w:szCs w:val="22"/>
        </w:rPr>
        <w:t xml:space="preserve"> </w:t>
      </w:r>
      <w:r w:rsidRPr="000C6F8B">
        <w:rPr>
          <w:b/>
          <w:bCs/>
          <w:sz w:val="22"/>
          <w:szCs w:val="22"/>
        </w:rPr>
        <w:t xml:space="preserve">Weighted gene correlation network analysis reveals </w:t>
      </w:r>
      <w:r w:rsidRPr="000C6F8B">
        <w:rPr>
          <w:b/>
          <w:bCs/>
          <w:i/>
          <w:iCs/>
          <w:sz w:val="22"/>
          <w:szCs w:val="22"/>
        </w:rPr>
        <w:t>Aox</w:t>
      </w:r>
      <w:r w:rsidRPr="000C6F8B">
        <w:rPr>
          <w:b/>
          <w:bCs/>
          <w:sz w:val="22"/>
          <w:szCs w:val="22"/>
        </w:rPr>
        <w:t xml:space="preserve"> expression corrects aberrant </w:t>
      </w:r>
      <w:r w:rsidRPr="000C6F8B">
        <w:rPr>
          <w:b/>
          <w:bCs/>
          <w:i/>
          <w:iCs/>
          <w:sz w:val="22"/>
          <w:szCs w:val="22"/>
        </w:rPr>
        <w:t>TCox10</w:t>
      </w:r>
      <w:r w:rsidRPr="000C6F8B">
        <w:rPr>
          <w:b/>
          <w:bCs/>
          <w:i/>
          <w:iCs/>
          <w:sz w:val="22"/>
          <w:szCs w:val="22"/>
          <w:vertAlign w:val="superscript"/>
        </w:rPr>
        <w:t>-/-</w:t>
      </w:r>
      <w:r w:rsidRPr="000C6F8B">
        <w:rPr>
          <w:b/>
          <w:bCs/>
          <w:sz w:val="22"/>
          <w:szCs w:val="22"/>
        </w:rPr>
        <w:t xml:space="preserve"> gene expression.</w:t>
      </w:r>
      <w:r w:rsidRPr="000C6F8B">
        <w:rPr>
          <w:sz w:val="22"/>
          <w:szCs w:val="22"/>
        </w:rPr>
        <w:t xml:space="preserve"> (A) Volcano plots demonstrating differential gene expression of </w:t>
      </w:r>
      <w:r w:rsidRPr="000C6F8B">
        <w:rPr>
          <w:i/>
          <w:iCs/>
          <w:sz w:val="22"/>
          <w:szCs w:val="22"/>
        </w:rPr>
        <w:t>TCox10</w:t>
      </w:r>
      <w:r w:rsidRPr="000C6F8B">
        <w:rPr>
          <w:i/>
          <w:iCs/>
          <w:sz w:val="22"/>
          <w:szCs w:val="22"/>
          <w:vertAlign w:val="superscript"/>
        </w:rPr>
        <w:t>-/-</w:t>
      </w:r>
      <w:r w:rsidRPr="000C6F8B">
        <w:rPr>
          <w:sz w:val="22"/>
          <w:szCs w:val="22"/>
        </w:rPr>
        <w:t>, AOX, and TCox10</w:t>
      </w:r>
      <w:r w:rsidRPr="000C6F8B">
        <w:rPr>
          <w:sz w:val="22"/>
          <w:szCs w:val="22"/>
          <w:vertAlign w:val="superscript"/>
        </w:rPr>
        <w:t>-/-</w:t>
      </w:r>
      <w:r w:rsidRPr="000C6F8B">
        <w:rPr>
          <w:sz w:val="22"/>
          <w:szCs w:val="22"/>
        </w:rPr>
        <w:t>/AOX T cells against WT T cells, as well as TCox10</w:t>
      </w:r>
      <w:r w:rsidRPr="000C6F8B">
        <w:rPr>
          <w:sz w:val="22"/>
          <w:szCs w:val="22"/>
          <w:vertAlign w:val="superscript"/>
        </w:rPr>
        <w:t>-/-</w:t>
      </w:r>
      <w:r w:rsidRPr="000C6F8B">
        <w:rPr>
          <w:sz w:val="22"/>
          <w:szCs w:val="22"/>
        </w:rPr>
        <w:t>/AOX against TCox10</w:t>
      </w:r>
      <w:r w:rsidRPr="000C6F8B">
        <w:rPr>
          <w:sz w:val="22"/>
          <w:szCs w:val="22"/>
          <w:vertAlign w:val="superscript"/>
        </w:rPr>
        <w:t>-/-</w:t>
      </w:r>
      <w:r w:rsidRPr="000C6F8B">
        <w:rPr>
          <w:sz w:val="22"/>
          <w:szCs w:val="22"/>
        </w:rPr>
        <w:t xml:space="preserve">. (B) Cluster dendrogram of weighted gene correlation network analysis (WGCNA) showing distribution of genes into indicated modules. (C) Heatmap showing the correlation of eigengene intercepts </w:t>
      </w:r>
      <w:r w:rsidRPr="000C6F8B">
        <w:rPr>
          <w:sz w:val="22"/>
          <w:szCs w:val="22"/>
        </w:rPr>
        <w:lastRenderedPageBreak/>
        <w:t xml:space="preserve">across samples in the detected modules. (D) Heatmap of gene expression from the selected modules in (C).  Data represents an RNAseq experiment; n = 3-4. </w:t>
      </w:r>
    </w:p>
    <w:p w14:paraId="1A6649B8" w14:textId="77777777" w:rsidR="00986E96" w:rsidRPr="000C6F8B" w:rsidRDefault="00986E96" w:rsidP="00986E96">
      <w:pPr>
        <w:jc w:val="both"/>
        <w:rPr>
          <w:sz w:val="22"/>
          <w:szCs w:val="22"/>
        </w:rPr>
      </w:pPr>
    </w:p>
    <w:p w14:paraId="6126E611" w14:textId="77777777" w:rsidR="00986E96" w:rsidRPr="000C6F8B" w:rsidRDefault="00986E96" w:rsidP="00986E96">
      <w:pPr>
        <w:jc w:val="both"/>
        <w:rPr>
          <w:sz w:val="22"/>
          <w:szCs w:val="22"/>
        </w:rPr>
      </w:pPr>
      <w:r>
        <w:rPr>
          <w:b/>
          <w:bCs/>
          <w:noProof/>
          <w:sz w:val="22"/>
          <w:szCs w:val="22"/>
          <w14:ligatures w14:val="standardContextual"/>
        </w:rPr>
        <w:drawing>
          <wp:inline distT="0" distB="0" distL="0" distR="0" wp14:anchorId="628BB3D5" wp14:editId="63B860A8">
            <wp:extent cx="5943600" cy="5687060"/>
            <wp:effectExtent l="0" t="0" r="0" b="0"/>
            <wp:docPr id="1328973474" name="Picture 7" descr="A diagram of different types of mitochondri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973474" name="Picture 7" descr="A diagram of different types of mitochondria&#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5687060"/>
                    </a:xfrm>
                    <a:prstGeom prst="rect">
                      <a:avLst/>
                    </a:prstGeom>
                  </pic:spPr>
                </pic:pic>
              </a:graphicData>
            </a:graphic>
          </wp:inline>
        </w:drawing>
      </w:r>
      <w:r w:rsidRPr="000C6F8B">
        <w:rPr>
          <w:b/>
          <w:bCs/>
          <w:sz w:val="22"/>
          <w:szCs w:val="22"/>
        </w:rPr>
        <w:t xml:space="preserve">Extended Data Fig 2. </w:t>
      </w:r>
      <w:r w:rsidRPr="000C6F8B">
        <w:rPr>
          <w:b/>
          <w:bCs/>
          <w:i/>
          <w:iCs/>
          <w:sz w:val="22"/>
          <w:szCs w:val="22"/>
        </w:rPr>
        <w:t>Aox</w:t>
      </w:r>
      <w:r w:rsidRPr="000C6F8B">
        <w:rPr>
          <w:b/>
          <w:bCs/>
          <w:sz w:val="22"/>
          <w:szCs w:val="22"/>
        </w:rPr>
        <w:t xml:space="preserve"> expression improves OXPHOS and mtRNA gene expression and mitochondrial function.</w:t>
      </w:r>
      <w:r w:rsidRPr="000C6F8B">
        <w:rPr>
          <w:sz w:val="22"/>
          <w:szCs w:val="22"/>
        </w:rPr>
        <w:t xml:space="preserve"> (A) Lollipop plots of gene set enrichment analysis (GSEA) of MitoCarta pathways, separated between OXPHOS, central dogma, and metabolism categories. Point size reflects -log10 B-H adjusted p value, point opacity reflects ratio of enriched genes to genes in the set. Color indicates TCox10</w:t>
      </w:r>
      <w:r w:rsidRPr="000C6F8B">
        <w:rPr>
          <w:sz w:val="22"/>
          <w:szCs w:val="22"/>
          <w:vertAlign w:val="superscript"/>
        </w:rPr>
        <w:t>-/-</w:t>
      </w:r>
      <w:r w:rsidRPr="000C6F8B">
        <w:rPr>
          <w:sz w:val="22"/>
          <w:szCs w:val="22"/>
        </w:rPr>
        <w:t xml:space="preserve"> vs WT or TCox10</w:t>
      </w:r>
      <w:r w:rsidRPr="000C6F8B">
        <w:rPr>
          <w:sz w:val="22"/>
          <w:szCs w:val="22"/>
          <w:vertAlign w:val="superscript"/>
        </w:rPr>
        <w:t>-/-</w:t>
      </w:r>
      <w:r w:rsidRPr="000C6F8B">
        <w:rPr>
          <w:sz w:val="22"/>
          <w:szCs w:val="22"/>
        </w:rPr>
        <w:t>/AOX vs TCox10</w:t>
      </w:r>
      <w:r w:rsidRPr="000C6F8B">
        <w:rPr>
          <w:sz w:val="22"/>
          <w:szCs w:val="22"/>
          <w:vertAlign w:val="superscript"/>
        </w:rPr>
        <w:t>-/-</w:t>
      </w:r>
      <w:r w:rsidRPr="000C6F8B">
        <w:rPr>
          <w:sz w:val="22"/>
          <w:szCs w:val="22"/>
        </w:rPr>
        <w:t xml:space="preserve"> comparisons. Pathways that with padj &lt; 0.25 in either or both comparisons are shown.  (B) Quantification of oxidative consumption rate (OCR) following MitoStress Test, including basal consumption rate, ATP consumption rate, and max consumption rate. ATP rate is calculated following the addition of oligomycin, max consumption rate is calculated following the addition of FCCP. Left, CD8</w:t>
      </w:r>
      <w:r w:rsidRPr="000C6F8B">
        <w:rPr>
          <w:sz w:val="22"/>
          <w:szCs w:val="22"/>
          <w:vertAlign w:val="superscript"/>
        </w:rPr>
        <w:t>+</w:t>
      </w:r>
      <w:r w:rsidRPr="000C6F8B">
        <w:rPr>
          <w:sz w:val="22"/>
          <w:szCs w:val="22"/>
        </w:rPr>
        <w:t>, Right, CD4</w:t>
      </w:r>
      <w:r w:rsidRPr="000C6F8B">
        <w:rPr>
          <w:sz w:val="22"/>
          <w:szCs w:val="22"/>
          <w:vertAlign w:val="superscript"/>
        </w:rPr>
        <w:t>+</w:t>
      </w:r>
      <w:r w:rsidRPr="000C6F8B">
        <w:rPr>
          <w:sz w:val="22"/>
          <w:szCs w:val="22"/>
        </w:rPr>
        <w:t xml:space="preserve">. </w:t>
      </w:r>
    </w:p>
    <w:p w14:paraId="2C550C4B" w14:textId="77777777" w:rsidR="00986E96" w:rsidRPr="000C6F8B" w:rsidRDefault="00986E96" w:rsidP="00986E96">
      <w:pPr>
        <w:jc w:val="both"/>
        <w:rPr>
          <w:sz w:val="22"/>
          <w:szCs w:val="22"/>
        </w:rPr>
      </w:pPr>
    </w:p>
    <w:p w14:paraId="55C56539" w14:textId="77777777" w:rsidR="00986E96" w:rsidRPr="000C6F8B" w:rsidRDefault="00986E96" w:rsidP="00986E96">
      <w:pPr>
        <w:jc w:val="both"/>
        <w:rPr>
          <w:sz w:val="22"/>
          <w:szCs w:val="22"/>
        </w:rPr>
      </w:pPr>
      <w:r w:rsidRPr="000C6F8B">
        <w:rPr>
          <w:sz w:val="22"/>
          <w:szCs w:val="22"/>
        </w:rPr>
        <w:t xml:space="preserve">Data reflect an RNAseq experiment, n = 3-5 mice, or Seahorse experiment, n = 2 mice. * p &lt; 0.05, ** p &lt; 0.01, *** p &lt; 0.001 by one-way ANOVA and post-hoc Dunnett test. Specific </w:t>
      </w:r>
      <w:r w:rsidRPr="000C6F8B">
        <w:rPr>
          <w:i/>
          <w:iCs/>
          <w:sz w:val="22"/>
          <w:szCs w:val="22"/>
        </w:rPr>
        <w:t>p</w:t>
      </w:r>
      <w:r w:rsidRPr="000C6F8B">
        <w:rPr>
          <w:sz w:val="22"/>
          <w:szCs w:val="22"/>
        </w:rPr>
        <w:t xml:space="preserve"> values (left to right) are as </w:t>
      </w:r>
      <w:r w:rsidRPr="000C6F8B">
        <w:rPr>
          <w:sz w:val="22"/>
          <w:szCs w:val="22"/>
        </w:rPr>
        <w:lastRenderedPageBreak/>
        <w:t xml:space="preserve">follows. (C) </w:t>
      </w:r>
      <w:r w:rsidRPr="000C6F8B">
        <w:rPr>
          <w:i/>
          <w:iCs/>
          <w:sz w:val="22"/>
          <w:szCs w:val="22"/>
        </w:rPr>
        <w:t>CD8</w:t>
      </w:r>
      <w:r w:rsidRPr="000C6F8B">
        <w:rPr>
          <w:i/>
          <w:iCs/>
          <w:sz w:val="22"/>
          <w:szCs w:val="22"/>
          <w:vertAlign w:val="superscript"/>
        </w:rPr>
        <w:t>+</w:t>
      </w:r>
      <w:r w:rsidRPr="000C6F8B">
        <w:rPr>
          <w:sz w:val="22"/>
          <w:szCs w:val="22"/>
        </w:rPr>
        <w:t>, F(3,39) = 77.81, p &lt; 2x10-16, Dunnett p = 3.3x10</w:t>
      </w:r>
      <w:r w:rsidRPr="000C6F8B">
        <w:rPr>
          <w:sz w:val="22"/>
          <w:szCs w:val="22"/>
          <w:vertAlign w:val="superscript"/>
        </w:rPr>
        <w:t>-8</w:t>
      </w:r>
      <w:r w:rsidRPr="000C6F8B">
        <w:rPr>
          <w:sz w:val="22"/>
          <w:szCs w:val="22"/>
        </w:rPr>
        <w:t>, p &lt; 2x10</w:t>
      </w:r>
      <w:r w:rsidRPr="000C6F8B">
        <w:rPr>
          <w:sz w:val="22"/>
          <w:szCs w:val="22"/>
          <w:vertAlign w:val="superscript"/>
        </w:rPr>
        <w:t>-16</w:t>
      </w:r>
      <w:r w:rsidRPr="000C6F8B">
        <w:rPr>
          <w:sz w:val="22"/>
          <w:szCs w:val="22"/>
        </w:rPr>
        <w:t>, p &lt; 2x10</w:t>
      </w:r>
      <w:r w:rsidRPr="000C6F8B">
        <w:rPr>
          <w:sz w:val="22"/>
          <w:szCs w:val="22"/>
          <w:vertAlign w:val="superscript"/>
        </w:rPr>
        <w:t>-16</w:t>
      </w:r>
      <w:r w:rsidRPr="000C6F8B">
        <w:rPr>
          <w:sz w:val="22"/>
          <w:szCs w:val="22"/>
        </w:rPr>
        <w:t>,  F(3,39) = 37.9, p = 1.22x10</w:t>
      </w:r>
      <w:r w:rsidRPr="000C6F8B">
        <w:rPr>
          <w:sz w:val="22"/>
          <w:szCs w:val="22"/>
          <w:vertAlign w:val="superscript"/>
        </w:rPr>
        <w:t>-11</w:t>
      </w:r>
      <w:r w:rsidRPr="000C6F8B">
        <w:rPr>
          <w:sz w:val="22"/>
          <w:szCs w:val="22"/>
        </w:rPr>
        <w:t>, Dunnett p = 3.1x10</w:t>
      </w:r>
      <w:r w:rsidRPr="000C6F8B">
        <w:rPr>
          <w:sz w:val="22"/>
          <w:szCs w:val="22"/>
          <w:vertAlign w:val="superscript"/>
        </w:rPr>
        <w:t>-10</w:t>
      </w:r>
      <w:r w:rsidRPr="000C6F8B">
        <w:rPr>
          <w:sz w:val="22"/>
          <w:szCs w:val="22"/>
        </w:rPr>
        <w:t>, F(3,39) = 21.54, p = 2.16x10</w:t>
      </w:r>
      <w:r w:rsidRPr="000C6F8B">
        <w:rPr>
          <w:sz w:val="22"/>
          <w:szCs w:val="22"/>
          <w:vertAlign w:val="superscript"/>
        </w:rPr>
        <w:t>-8</w:t>
      </w:r>
      <w:r w:rsidRPr="000C6F8B">
        <w:rPr>
          <w:sz w:val="22"/>
          <w:szCs w:val="22"/>
        </w:rPr>
        <w:t>, Dunnett p = 8.2x10</w:t>
      </w:r>
      <w:r w:rsidRPr="000C6F8B">
        <w:rPr>
          <w:sz w:val="22"/>
          <w:szCs w:val="22"/>
          <w:vertAlign w:val="superscript"/>
        </w:rPr>
        <w:t>-8</w:t>
      </w:r>
      <w:r w:rsidRPr="000C6F8B">
        <w:rPr>
          <w:sz w:val="22"/>
          <w:szCs w:val="22"/>
        </w:rPr>
        <w:t xml:space="preserve">, p = 0.00053; </w:t>
      </w:r>
      <w:r w:rsidRPr="000C6F8B">
        <w:rPr>
          <w:i/>
          <w:iCs/>
          <w:sz w:val="22"/>
          <w:szCs w:val="22"/>
        </w:rPr>
        <w:t>CD4</w:t>
      </w:r>
      <w:r w:rsidRPr="000C6F8B">
        <w:rPr>
          <w:i/>
          <w:iCs/>
          <w:sz w:val="22"/>
          <w:szCs w:val="22"/>
          <w:vertAlign w:val="superscript"/>
        </w:rPr>
        <w:t>+</w:t>
      </w:r>
      <w:r w:rsidRPr="000C6F8B">
        <w:rPr>
          <w:i/>
          <w:iCs/>
          <w:sz w:val="22"/>
          <w:szCs w:val="22"/>
        </w:rPr>
        <w:t xml:space="preserve">, </w:t>
      </w:r>
      <w:r w:rsidRPr="000C6F8B">
        <w:rPr>
          <w:sz w:val="22"/>
          <w:szCs w:val="22"/>
        </w:rPr>
        <w:t>F(3,42) = 79.68, p &lt; 2x10</w:t>
      </w:r>
      <w:r w:rsidRPr="000C6F8B">
        <w:rPr>
          <w:sz w:val="22"/>
          <w:szCs w:val="22"/>
          <w:vertAlign w:val="superscript"/>
        </w:rPr>
        <w:t>-16</w:t>
      </w:r>
      <w:r w:rsidRPr="000C6F8B">
        <w:rPr>
          <w:sz w:val="22"/>
          <w:szCs w:val="22"/>
        </w:rPr>
        <w:t>, Dunnett p &lt; 2x10</w:t>
      </w:r>
      <w:r w:rsidRPr="000C6F8B">
        <w:rPr>
          <w:sz w:val="22"/>
          <w:szCs w:val="22"/>
          <w:vertAlign w:val="superscript"/>
        </w:rPr>
        <w:t>-16</w:t>
      </w:r>
      <w:r w:rsidRPr="000C6F8B">
        <w:rPr>
          <w:sz w:val="22"/>
          <w:szCs w:val="22"/>
        </w:rPr>
        <w:t>, p &lt; 2x10</w:t>
      </w:r>
      <w:r w:rsidRPr="000C6F8B">
        <w:rPr>
          <w:sz w:val="22"/>
          <w:szCs w:val="22"/>
          <w:vertAlign w:val="superscript"/>
        </w:rPr>
        <w:t>-16</w:t>
      </w:r>
      <w:r w:rsidRPr="000C6F8B">
        <w:rPr>
          <w:sz w:val="22"/>
          <w:szCs w:val="22"/>
        </w:rPr>
        <w:t>, p &lt; 2x10</w:t>
      </w:r>
      <w:r w:rsidRPr="000C6F8B">
        <w:rPr>
          <w:sz w:val="22"/>
          <w:szCs w:val="22"/>
          <w:vertAlign w:val="superscript"/>
        </w:rPr>
        <w:t>-16</w:t>
      </w:r>
      <w:r w:rsidRPr="000C6F8B">
        <w:rPr>
          <w:sz w:val="22"/>
          <w:szCs w:val="22"/>
        </w:rPr>
        <w:t>, F(3,42) = 92.47, p &lt; 2x10</w:t>
      </w:r>
      <w:r w:rsidRPr="000C6F8B">
        <w:rPr>
          <w:sz w:val="22"/>
          <w:szCs w:val="22"/>
          <w:vertAlign w:val="superscript"/>
        </w:rPr>
        <w:t>-16</w:t>
      </w:r>
      <w:r w:rsidRPr="000C6F8B">
        <w:rPr>
          <w:sz w:val="22"/>
          <w:szCs w:val="22"/>
        </w:rPr>
        <w:t>, Dunnett p &lt; 2x10</w:t>
      </w:r>
      <w:r w:rsidRPr="000C6F8B">
        <w:rPr>
          <w:sz w:val="22"/>
          <w:szCs w:val="22"/>
          <w:vertAlign w:val="superscript"/>
        </w:rPr>
        <w:t>-16</w:t>
      </w:r>
      <w:r w:rsidRPr="000C6F8B">
        <w:rPr>
          <w:sz w:val="22"/>
          <w:szCs w:val="22"/>
        </w:rPr>
        <w:t>, F(3,42) = 13.72, p = 2.24x10</w:t>
      </w:r>
      <w:r w:rsidRPr="000C6F8B">
        <w:rPr>
          <w:sz w:val="22"/>
          <w:szCs w:val="22"/>
          <w:vertAlign w:val="superscript"/>
        </w:rPr>
        <w:t>-6</w:t>
      </w:r>
      <w:r w:rsidRPr="000C6F8B">
        <w:rPr>
          <w:sz w:val="22"/>
          <w:szCs w:val="22"/>
        </w:rPr>
        <w:t>, Dunnett p = 0.0395, p = 2.2x10</w:t>
      </w:r>
      <w:r w:rsidRPr="000C6F8B">
        <w:rPr>
          <w:sz w:val="22"/>
          <w:szCs w:val="22"/>
          <w:vertAlign w:val="superscript"/>
        </w:rPr>
        <w:t>-6</w:t>
      </w:r>
      <w:r w:rsidRPr="000C6F8B">
        <w:rPr>
          <w:sz w:val="22"/>
          <w:szCs w:val="22"/>
        </w:rPr>
        <w:t xml:space="preserve">. </w:t>
      </w:r>
    </w:p>
    <w:p w14:paraId="10C91C98" w14:textId="77777777" w:rsidR="00986E96" w:rsidRPr="000C6F8B" w:rsidRDefault="00986E96" w:rsidP="00986E96">
      <w:pPr>
        <w:jc w:val="both"/>
        <w:rPr>
          <w:b/>
          <w:bCs/>
          <w:sz w:val="22"/>
          <w:szCs w:val="22"/>
        </w:rPr>
      </w:pPr>
    </w:p>
    <w:p w14:paraId="0E5AA161" w14:textId="77777777" w:rsidR="00986E96" w:rsidRPr="000C6F8B" w:rsidRDefault="00986E96" w:rsidP="00986E96">
      <w:pPr>
        <w:jc w:val="both"/>
        <w:rPr>
          <w:sz w:val="22"/>
          <w:szCs w:val="22"/>
        </w:rPr>
      </w:pPr>
      <w:r>
        <w:rPr>
          <w:b/>
          <w:bCs/>
          <w:noProof/>
          <w:sz w:val="22"/>
          <w:szCs w:val="22"/>
          <w14:ligatures w14:val="standardContextual"/>
        </w:rPr>
        <w:drawing>
          <wp:inline distT="0" distB="0" distL="0" distR="0" wp14:anchorId="34D9B38D" wp14:editId="33610451">
            <wp:extent cx="5943600" cy="6561455"/>
            <wp:effectExtent l="0" t="0" r="0" b="0"/>
            <wp:docPr id="1687850553"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850553" name="Picture 8" descr="A screenshot of a compute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6561455"/>
                    </a:xfrm>
                    <a:prstGeom prst="rect">
                      <a:avLst/>
                    </a:prstGeom>
                  </pic:spPr>
                </pic:pic>
              </a:graphicData>
            </a:graphic>
          </wp:inline>
        </w:drawing>
      </w:r>
      <w:r w:rsidRPr="000C6F8B">
        <w:rPr>
          <w:b/>
          <w:bCs/>
          <w:sz w:val="22"/>
          <w:szCs w:val="22"/>
        </w:rPr>
        <w:t xml:space="preserve">Extended Data Fig 3. Aberrant apoptosis in </w:t>
      </w:r>
      <w:r w:rsidRPr="000C6F8B">
        <w:rPr>
          <w:b/>
          <w:bCs/>
          <w:i/>
          <w:iCs/>
          <w:sz w:val="22"/>
          <w:szCs w:val="22"/>
        </w:rPr>
        <w:t>TCox10-/-</w:t>
      </w:r>
      <w:r w:rsidRPr="000C6F8B">
        <w:rPr>
          <w:b/>
          <w:bCs/>
          <w:sz w:val="22"/>
          <w:szCs w:val="22"/>
        </w:rPr>
        <w:t xml:space="preserve"> T cells is abrogated by </w:t>
      </w:r>
      <w:r w:rsidRPr="000C6F8B">
        <w:rPr>
          <w:b/>
          <w:bCs/>
          <w:i/>
          <w:iCs/>
          <w:sz w:val="22"/>
          <w:szCs w:val="22"/>
        </w:rPr>
        <w:t>Aox</w:t>
      </w:r>
      <w:r w:rsidRPr="000C6F8B">
        <w:rPr>
          <w:b/>
          <w:bCs/>
          <w:sz w:val="22"/>
          <w:szCs w:val="22"/>
        </w:rPr>
        <w:t xml:space="preserve"> expression and anti-FasL treatment. </w:t>
      </w:r>
      <w:r w:rsidRPr="000C6F8B">
        <w:rPr>
          <w:sz w:val="22"/>
          <w:szCs w:val="22"/>
        </w:rPr>
        <w:t>(A) KEGG apoptosis pathway with relative expression (</w:t>
      </w:r>
      <w:r>
        <w:rPr>
          <w:sz w:val="22"/>
          <w:szCs w:val="22"/>
        </w:rPr>
        <w:t>L2FC</w:t>
      </w:r>
      <w:r w:rsidRPr="000C6F8B">
        <w:rPr>
          <w:sz w:val="22"/>
          <w:szCs w:val="22"/>
        </w:rPr>
        <w:t>) from TCox10</w:t>
      </w:r>
      <w:r w:rsidRPr="000C6F8B">
        <w:rPr>
          <w:sz w:val="22"/>
          <w:szCs w:val="22"/>
          <w:vertAlign w:val="superscript"/>
        </w:rPr>
        <w:t>-/-</w:t>
      </w:r>
      <w:r w:rsidRPr="000C6F8B">
        <w:rPr>
          <w:sz w:val="22"/>
          <w:szCs w:val="22"/>
        </w:rPr>
        <w:t>/Aox and TCox10</w:t>
      </w:r>
      <w:r w:rsidRPr="000C6F8B">
        <w:rPr>
          <w:sz w:val="22"/>
          <w:szCs w:val="22"/>
          <w:vertAlign w:val="superscript"/>
        </w:rPr>
        <w:t>-/-</w:t>
      </w:r>
      <w:r w:rsidRPr="000C6F8B">
        <w:rPr>
          <w:sz w:val="22"/>
          <w:szCs w:val="22"/>
        </w:rPr>
        <w:t xml:space="preserve"> visualized. (B) Viability analysis in CD4</w:t>
      </w:r>
      <w:r w:rsidRPr="000C6F8B">
        <w:rPr>
          <w:sz w:val="22"/>
          <w:szCs w:val="22"/>
          <w:vertAlign w:val="superscript"/>
        </w:rPr>
        <w:t>+</w:t>
      </w:r>
      <w:r w:rsidRPr="000C6F8B">
        <w:rPr>
          <w:sz w:val="22"/>
          <w:szCs w:val="22"/>
        </w:rPr>
        <w:t xml:space="preserve"> and CD8</w:t>
      </w:r>
      <w:r w:rsidRPr="000C6F8B">
        <w:rPr>
          <w:sz w:val="22"/>
          <w:szCs w:val="22"/>
          <w:vertAlign w:val="superscript"/>
        </w:rPr>
        <w:t>+</w:t>
      </w:r>
      <w:r w:rsidRPr="000C6F8B">
        <w:rPr>
          <w:sz w:val="22"/>
          <w:szCs w:val="22"/>
        </w:rPr>
        <w:t xml:space="preserve"> WT and </w:t>
      </w:r>
      <w:r w:rsidRPr="000C6F8B">
        <w:rPr>
          <w:i/>
          <w:iCs/>
          <w:sz w:val="22"/>
          <w:szCs w:val="22"/>
        </w:rPr>
        <w:t>TCox10</w:t>
      </w:r>
      <w:r w:rsidRPr="000C6F8B">
        <w:rPr>
          <w:i/>
          <w:iCs/>
          <w:sz w:val="22"/>
          <w:szCs w:val="22"/>
          <w:vertAlign w:val="superscript"/>
        </w:rPr>
        <w:t>-/-</w:t>
      </w:r>
      <w:r w:rsidRPr="000C6F8B">
        <w:rPr>
          <w:sz w:val="22"/>
          <w:szCs w:val="22"/>
        </w:rPr>
        <w:t xml:space="preserve"> T cells using Live/Dead and Annexin V stains, following treatment with anti-FasL (CD178) blocking antibodies. Left, contour plot; right, quantification of percent viable cells. (C) Proliferation analysis of CD4</w:t>
      </w:r>
      <w:r w:rsidRPr="000C6F8B">
        <w:rPr>
          <w:sz w:val="22"/>
          <w:szCs w:val="22"/>
          <w:vertAlign w:val="superscript"/>
        </w:rPr>
        <w:t>+</w:t>
      </w:r>
      <w:r w:rsidRPr="000C6F8B">
        <w:rPr>
          <w:sz w:val="22"/>
          <w:szCs w:val="22"/>
        </w:rPr>
        <w:t xml:space="preserve"> and CD8</w:t>
      </w:r>
      <w:r w:rsidRPr="000C6F8B">
        <w:rPr>
          <w:sz w:val="22"/>
          <w:szCs w:val="22"/>
          <w:vertAlign w:val="superscript"/>
        </w:rPr>
        <w:t>+</w:t>
      </w:r>
      <w:r w:rsidRPr="000C6F8B">
        <w:rPr>
          <w:sz w:val="22"/>
          <w:szCs w:val="22"/>
        </w:rPr>
        <w:t xml:space="preserve"> WT </w:t>
      </w:r>
      <w:r w:rsidRPr="000C6F8B">
        <w:rPr>
          <w:sz w:val="22"/>
          <w:szCs w:val="22"/>
        </w:rPr>
        <w:lastRenderedPageBreak/>
        <w:t xml:space="preserve">and T cells using Cell Trace Violet. Left, representative density plot. Right, quantification of normalized mean fluorescence intensity (MFI). </w:t>
      </w:r>
    </w:p>
    <w:p w14:paraId="45EDB585" w14:textId="77777777" w:rsidR="00986E96" w:rsidRPr="000C6F8B" w:rsidRDefault="00986E96" w:rsidP="00986E96">
      <w:pPr>
        <w:jc w:val="both"/>
        <w:rPr>
          <w:sz w:val="22"/>
          <w:szCs w:val="22"/>
        </w:rPr>
      </w:pPr>
    </w:p>
    <w:p w14:paraId="4B597A65" w14:textId="77777777" w:rsidR="00986E96" w:rsidRPr="000C6F8B" w:rsidRDefault="00986E96" w:rsidP="00986E96">
      <w:pPr>
        <w:jc w:val="both"/>
        <w:rPr>
          <w:sz w:val="22"/>
          <w:szCs w:val="22"/>
        </w:rPr>
      </w:pPr>
      <w:r w:rsidRPr="000C6F8B">
        <w:rPr>
          <w:sz w:val="22"/>
          <w:szCs w:val="22"/>
        </w:rPr>
        <w:t xml:space="preserve">Data are representative of two independent experiments and an RNAseq experiment and indicate mean and standard deviation. (A) n = 3-5, (B-C) n = 6. * p &lt; 0.05, ** p &lt; 0.01, *** p &lt; 0.001 by one-way ANOVA and post-hoc Tukey HSD test. Negative controls are not included in statistical calculations. Specific </w:t>
      </w:r>
      <w:r w:rsidRPr="000C6F8B">
        <w:rPr>
          <w:i/>
          <w:iCs/>
          <w:sz w:val="22"/>
          <w:szCs w:val="22"/>
        </w:rPr>
        <w:t>p</w:t>
      </w:r>
      <w:r w:rsidRPr="000C6F8B">
        <w:rPr>
          <w:sz w:val="22"/>
          <w:szCs w:val="22"/>
        </w:rPr>
        <w:t xml:space="preserve"> values (left to right) are as follows. (B) </w:t>
      </w:r>
      <w:r w:rsidRPr="000C6F8B">
        <w:rPr>
          <w:i/>
          <w:iCs/>
          <w:sz w:val="22"/>
          <w:szCs w:val="22"/>
        </w:rPr>
        <w:t>CD8</w:t>
      </w:r>
      <w:r w:rsidRPr="000C6F8B">
        <w:rPr>
          <w:i/>
          <w:iCs/>
          <w:sz w:val="22"/>
          <w:szCs w:val="22"/>
          <w:vertAlign w:val="superscript"/>
        </w:rPr>
        <w:t>+</w:t>
      </w:r>
      <w:r w:rsidRPr="000C6F8B">
        <w:rPr>
          <w:i/>
          <w:iCs/>
          <w:sz w:val="22"/>
          <w:szCs w:val="22"/>
        </w:rPr>
        <w:t xml:space="preserve">, </w:t>
      </w:r>
      <w:r w:rsidRPr="000C6F8B">
        <w:rPr>
          <w:sz w:val="22"/>
          <w:szCs w:val="22"/>
        </w:rPr>
        <w:t>F(3,20) = 35.12, p = 3.66x10</w:t>
      </w:r>
      <w:r w:rsidRPr="000C6F8B">
        <w:rPr>
          <w:sz w:val="22"/>
          <w:szCs w:val="22"/>
          <w:vertAlign w:val="superscript"/>
        </w:rPr>
        <w:t>-8</w:t>
      </w:r>
      <w:r w:rsidRPr="000C6F8B">
        <w:rPr>
          <w:sz w:val="22"/>
          <w:szCs w:val="22"/>
        </w:rPr>
        <w:t>, Tukey p = 3.2x10</w:t>
      </w:r>
      <w:r w:rsidRPr="000C6F8B">
        <w:rPr>
          <w:sz w:val="22"/>
          <w:szCs w:val="22"/>
          <w:vertAlign w:val="superscript"/>
        </w:rPr>
        <w:t>-6</w:t>
      </w:r>
      <w:r w:rsidRPr="000C6F8B">
        <w:rPr>
          <w:sz w:val="22"/>
          <w:szCs w:val="22"/>
        </w:rPr>
        <w:t>, p = 5.61x10</w:t>
      </w:r>
      <w:r w:rsidRPr="000C6F8B">
        <w:rPr>
          <w:sz w:val="22"/>
          <w:szCs w:val="22"/>
          <w:vertAlign w:val="superscript"/>
        </w:rPr>
        <w:t>-5</w:t>
      </w:r>
      <w:r w:rsidRPr="000C6F8B">
        <w:rPr>
          <w:sz w:val="22"/>
          <w:szCs w:val="22"/>
        </w:rPr>
        <w:t xml:space="preserve">, p = 0.00296; </w:t>
      </w:r>
      <w:r w:rsidRPr="000C6F8B">
        <w:rPr>
          <w:i/>
          <w:iCs/>
          <w:sz w:val="22"/>
          <w:szCs w:val="22"/>
        </w:rPr>
        <w:t>CD4</w:t>
      </w:r>
      <w:r w:rsidRPr="000C6F8B">
        <w:rPr>
          <w:i/>
          <w:iCs/>
          <w:sz w:val="22"/>
          <w:szCs w:val="22"/>
          <w:vertAlign w:val="superscript"/>
        </w:rPr>
        <w:t>+</w:t>
      </w:r>
      <w:r w:rsidRPr="000C6F8B">
        <w:rPr>
          <w:i/>
          <w:iCs/>
          <w:sz w:val="22"/>
          <w:szCs w:val="22"/>
        </w:rPr>
        <w:t>,</w:t>
      </w:r>
      <w:r w:rsidRPr="000C6F8B">
        <w:rPr>
          <w:sz w:val="22"/>
          <w:szCs w:val="22"/>
        </w:rPr>
        <w:t xml:space="preserve"> F(3,20) = 83.85, p = 1.68x10</w:t>
      </w:r>
      <w:r w:rsidRPr="000C6F8B">
        <w:rPr>
          <w:sz w:val="22"/>
          <w:szCs w:val="22"/>
          <w:vertAlign w:val="superscript"/>
        </w:rPr>
        <w:t>-11</w:t>
      </w:r>
      <w:r w:rsidRPr="000C6F8B">
        <w:rPr>
          <w:sz w:val="22"/>
          <w:szCs w:val="22"/>
        </w:rPr>
        <w:t>, Tukey p &lt; 0.0001, p &lt; 0.0001, p = 4.32x10</w:t>
      </w:r>
      <w:r w:rsidRPr="000C6F8B">
        <w:rPr>
          <w:sz w:val="22"/>
          <w:szCs w:val="22"/>
          <w:vertAlign w:val="superscript"/>
        </w:rPr>
        <w:t>-5</w:t>
      </w:r>
      <w:r w:rsidRPr="000C6F8B">
        <w:rPr>
          <w:sz w:val="22"/>
          <w:szCs w:val="22"/>
        </w:rPr>
        <w:t>, (C) CD8</w:t>
      </w:r>
      <w:r w:rsidRPr="000C6F8B">
        <w:rPr>
          <w:sz w:val="22"/>
          <w:szCs w:val="22"/>
          <w:vertAlign w:val="superscript"/>
        </w:rPr>
        <w:t>+</w:t>
      </w:r>
      <w:r w:rsidRPr="000C6F8B">
        <w:rPr>
          <w:sz w:val="22"/>
          <w:szCs w:val="22"/>
        </w:rPr>
        <w:t>, F(3,20) = 10.92, p = 0.000183, Tukey p = 0.0022, 0.005; CD4</w:t>
      </w:r>
      <w:r w:rsidRPr="000C6F8B">
        <w:rPr>
          <w:sz w:val="22"/>
          <w:szCs w:val="22"/>
          <w:vertAlign w:val="superscript"/>
        </w:rPr>
        <w:t>+</w:t>
      </w:r>
      <w:r w:rsidRPr="000C6F8B">
        <w:rPr>
          <w:sz w:val="22"/>
          <w:szCs w:val="22"/>
        </w:rPr>
        <w:t>, F(3,20) = 42.51, p = 7.27x10</w:t>
      </w:r>
      <w:r w:rsidRPr="000C6F8B">
        <w:rPr>
          <w:sz w:val="22"/>
          <w:szCs w:val="22"/>
          <w:vertAlign w:val="superscript"/>
        </w:rPr>
        <w:t>-9</w:t>
      </w:r>
      <w:r w:rsidRPr="000C6F8B">
        <w:rPr>
          <w:sz w:val="22"/>
          <w:szCs w:val="22"/>
        </w:rPr>
        <w:t>, Tukey p = 3.8x10</w:t>
      </w:r>
      <w:r w:rsidRPr="000C6F8B">
        <w:rPr>
          <w:sz w:val="22"/>
          <w:szCs w:val="22"/>
          <w:vertAlign w:val="superscript"/>
        </w:rPr>
        <w:t>-6</w:t>
      </w:r>
      <w:r w:rsidRPr="000C6F8B">
        <w:rPr>
          <w:sz w:val="22"/>
          <w:szCs w:val="22"/>
        </w:rPr>
        <w:t>, 9.0x10</w:t>
      </w:r>
      <w:r w:rsidRPr="000C6F8B">
        <w:rPr>
          <w:sz w:val="22"/>
          <w:szCs w:val="22"/>
          <w:vertAlign w:val="superscript"/>
        </w:rPr>
        <w:t>-7</w:t>
      </w:r>
      <w:r w:rsidRPr="000C6F8B">
        <w:rPr>
          <w:sz w:val="22"/>
          <w:szCs w:val="22"/>
        </w:rPr>
        <w:t xml:space="preserve">. </w:t>
      </w:r>
    </w:p>
    <w:p w14:paraId="42B94EAE" w14:textId="77777777" w:rsidR="00986E96" w:rsidRPr="000C6F8B" w:rsidRDefault="00986E96" w:rsidP="00986E96">
      <w:pPr>
        <w:jc w:val="both"/>
        <w:rPr>
          <w:b/>
          <w:bCs/>
          <w:sz w:val="22"/>
          <w:szCs w:val="22"/>
        </w:rPr>
      </w:pPr>
    </w:p>
    <w:p w14:paraId="5A0C48D1" w14:textId="77777777" w:rsidR="00986E96" w:rsidRPr="00453691" w:rsidRDefault="00986E96" w:rsidP="00986E96">
      <w:pPr>
        <w:jc w:val="both"/>
        <w:rPr>
          <w:sz w:val="22"/>
          <w:szCs w:val="22"/>
        </w:rPr>
      </w:pPr>
      <w:r>
        <w:rPr>
          <w:b/>
          <w:bCs/>
          <w:noProof/>
          <w:sz w:val="22"/>
          <w:szCs w:val="22"/>
          <w14:ligatures w14:val="standardContextual"/>
        </w:rPr>
        <w:drawing>
          <wp:inline distT="0" distB="0" distL="0" distR="0" wp14:anchorId="47564AA1" wp14:editId="2BEF77DC">
            <wp:extent cx="5943600" cy="4778375"/>
            <wp:effectExtent l="0" t="0" r="0" b="0"/>
            <wp:docPr id="1729965753" name="Picture 9" descr="A group of images of a clou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965753" name="Picture 9" descr="A group of images of a cloud&#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943600" cy="4778375"/>
                    </a:xfrm>
                    <a:prstGeom prst="rect">
                      <a:avLst/>
                    </a:prstGeom>
                  </pic:spPr>
                </pic:pic>
              </a:graphicData>
            </a:graphic>
          </wp:inline>
        </w:drawing>
      </w:r>
      <w:r w:rsidRPr="000C6F8B">
        <w:rPr>
          <w:b/>
          <w:bCs/>
          <w:sz w:val="22"/>
          <w:szCs w:val="22"/>
        </w:rPr>
        <w:t>Extended Data Fig. 4. Sample handling strategies.</w:t>
      </w:r>
      <w:r w:rsidRPr="000C6F8B">
        <w:rPr>
          <w:sz w:val="22"/>
          <w:szCs w:val="22"/>
        </w:rPr>
        <w:t xml:space="preserve"> (A) Hierarchical clustering revealed RNAseq sample </w:t>
      </w:r>
      <w:r w:rsidRPr="000C6F8B">
        <w:rPr>
          <w:i/>
          <w:iCs/>
          <w:sz w:val="22"/>
          <w:szCs w:val="22"/>
        </w:rPr>
        <w:t>TCox10</w:t>
      </w:r>
      <w:r w:rsidRPr="000C6F8B">
        <w:rPr>
          <w:i/>
          <w:iCs/>
          <w:sz w:val="22"/>
          <w:szCs w:val="22"/>
          <w:vertAlign w:val="superscript"/>
        </w:rPr>
        <w:t>-/-</w:t>
      </w:r>
      <w:r w:rsidRPr="000C6F8B">
        <w:rPr>
          <w:i/>
          <w:iCs/>
          <w:sz w:val="22"/>
          <w:szCs w:val="22"/>
        </w:rPr>
        <w:t>/Aox 5</w:t>
      </w:r>
      <w:r w:rsidRPr="000C6F8B">
        <w:rPr>
          <w:sz w:val="22"/>
          <w:szCs w:val="22"/>
        </w:rPr>
        <w:t xml:space="preserve"> partitioned separately from others; this sample was excluded from our analysis. (B) Representative gating strategy for CD8</w:t>
      </w:r>
      <w:r w:rsidRPr="000C6F8B">
        <w:rPr>
          <w:sz w:val="22"/>
          <w:szCs w:val="22"/>
          <w:vertAlign w:val="superscript"/>
        </w:rPr>
        <w:t>+</w:t>
      </w:r>
      <w:r w:rsidRPr="000C6F8B">
        <w:rPr>
          <w:sz w:val="22"/>
          <w:szCs w:val="22"/>
        </w:rPr>
        <w:t xml:space="preserve"> and CD4</w:t>
      </w:r>
      <w:r w:rsidRPr="000C6F8B">
        <w:rPr>
          <w:sz w:val="22"/>
          <w:szCs w:val="22"/>
          <w:vertAlign w:val="superscript"/>
        </w:rPr>
        <w:t>+</w:t>
      </w:r>
      <w:r w:rsidRPr="000C6F8B">
        <w:rPr>
          <w:sz w:val="22"/>
          <w:szCs w:val="22"/>
        </w:rPr>
        <w:t xml:space="preserve"> T cells in this manuscript.</w:t>
      </w:r>
      <w:r>
        <w:rPr>
          <w:sz w:val="22"/>
          <w:szCs w:val="22"/>
        </w:rPr>
        <w:t xml:space="preserve"> </w:t>
      </w:r>
    </w:p>
    <w:p w14:paraId="24527170" w14:textId="77777777" w:rsidR="00986E96" w:rsidRDefault="00986E96" w:rsidP="00986E96">
      <w:pPr>
        <w:jc w:val="both"/>
      </w:pPr>
    </w:p>
    <w:p w14:paraId="09D6A4AA" w14:textId="77777777" w:rsidR="00986E96" w:rsidRPr="00075864" w:rsidRDefault="00986E96" w:rsidP="00986E96">
      <w:pPr>
        <w:jc w:val="both"/>
        <w:rPr>
          <w:bCs/>
          <w:sz w:val="24"/>
          <w:szCs w:val="24"/>
        </w:rPr>
      </w:pPr>
    </w:p>
    <w:p w14:paraId="4C40AAD5" w14:textId="77777777" w:rsidR="00755780" w:rsidRDefault="00755780"/>
    <w:sectPr w:rsidR="00755780" w:rsidSect="00986E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E96"/>
    <w:rsid w:val="00331A6B"/>
    <w:rsid w:val="00755780"/>
    <w:rsid w:val="007C7B7C"/>
    <w:rsid w:val="00857596"/>
    <w:rsid w:val="00986E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12962"/>
  <w15:chartTrackingRefBased/>
  <w15:docId w15:val="{8A3FE8B6-A408-45F2-951F-B1723B370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96"/>
    <w:pPr>
      <w:spacing w:after="0" w:line="240" w:lineRule="auto"/>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986E96"/>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86E96"/>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86E96"/>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86E96"/>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986E96"/>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986E96"/>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986E96"/>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986E96"/>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986E96"/>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6E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6E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6E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6E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6E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6E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6E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6E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6E96"/>
    <w:rPr>
      <w:rFonts w:eastAsiaTheme="majorEastAsia" w:cstheme="majorBidi"/>
      <w:color w:val="272727" w:themeColor="text1" w:themeTint="D8"/>
    </w:rPr>
  </w:style>
  <w:style w:type="paragraph" w:styleId="Title">
    <w:name w:val="Title"/>
    <w:basedOn w:val="Normal"/>
    <w:next w:val="Normal"/>
    <w:link w:val="TitleChar"/>
    <w:uiPriority w:val="10"/>
    <w:qFormat/>
    <w:rsid w:val="00986E9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86E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6E96"/>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86E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6E96"/>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986E96"/>
    <w:rPr>
      <w:i/>
      <w:iCs/>
      <w:color w:val="404040" w:themeColor="text1" w:themeTint="BF"/>
    </w:rPr>
  </w:style>
  <w:style w:type="paragraph" w:styleId="ListParagraph">
    <w:name w:val="List Paragraph"/>
    <w:basedOn w:val="Normal"/>
    <w:uiPriority w:val="34"/>
    <w:qFormat/>
    <w:rsid w:val="00986E96"/>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986E96"/>
    <w:rPr>
      <w:i/>
      <w:iCs/>
      <w:color w:val="0F4761" w:themeColor="accent1" w:themeShade="BF"/>
    </w:rPr>
  </w:style>
  <w:style w:type="paragraph" w:styleId="IntenseQuote">
    <w:name w:val="Intense Quote"/>
    <w:basedOn w:val="Normal"/>
    <w:next w:val="Normal"/>
    <w:link w:val="IntenseQuoteChar"/>
    <w:uiPriority w:val="30"/>
    <w:qFormat/>
    <w:rsid w:val="00986E96"/>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986E96"/>
    <w:rPr>
      <w:i/>
      <w:iCs/>
      <w:color w:val="0F4761" w:themeColor="accent1" w:themeShade="BF"/>
    </w:rPr>
  </w:style>
  <w:style w:type="character" w:styleId="IntenseReference">
    <w:name w:val="Intense Reference"/>
    <w:basedOn w:val="DefaultParagraphFont"/>
    <w:uiPriority w:val="32"/>
    <w:qFormat/>
    <w:rsid w:val="00986E9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555</Words>
  <Characters>3167</Characters>
  <Application>Microsoft Office Word</Application>
  <DocSecurity>0</DocSecurity>
  <Lines>26</Lines>
  <Paragraphs>7</Paragraphs>
  <ScaleCrop>false</ScaleCrop>
  <Company>Springer Nature</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2024-09-10T10:23:00Z</dcterms:created>
  <dcterms:modified xsi:type="dcterms:W3CDTF">2024-09-10T10:23:00Z</dcterms:modified>
</cp:coreProperties>
</file>