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CBD5E9" w14:textId="77777777" w:rsidR="0020792C" w:rsidRPr="0020792C" w:rsidRDefault="0020792C" w:rsidP="0020792C"/>
    <w:p w14:paraId="1F617AAF" w14:textId="77777777" w:rsidR="0088036E" w:rsidRDefault="0088036E" w:rsidP="0088036E">
      <w:pPr>
        <w:pStyle w:val="Heading4"/>
        <w:spacing w:line="480" w:lineRule="auto"/>
        <w:rPr>
          <w:i w:val="0"/>
          <w:iCs w:val="0"/>
        </w:rPr>
      </w:pPr>
      <w:bookmarkStart w:id="0" w:name="_Table_4:_Distribution"/>
      <w:bookmarkEnd w:id="0"/>
      <w:r w:rsidRPr="0088036E">
        <w:rPr>
          <w:i w:val="0"/>
          <w:iCs w:val="0"/>
        </w:rPr>
        <w:t xml:space="preserve">Table 4: Distribution of included studies by mental illness reported </w:t>
      </w:r>
    </w:p>
    <w:tbl>
      <w:tblPr>
        <w:tblpPr w:leftFromText="187" w:rightFromText="187" w:vertAnchor="text" w:tblpY="1"/>
        <w:tblOverlap w:val="never"/>
        <w:tblW w:w="5000" w:type="pct"/>
        <w:tblLayout w:type="fixed"/>
        <w:tblLook w:val="04A0" w:firstRow="1" w:lastRow="0" w:firstColumn="1" w:lastColumn="0" w:noHBand="0" w:noVBand="1"/>
      </w:tblPr>
      <w:tblGrid>
        <w:gridCol w:w="1530"/>
        <w:gridCol w:w="873"/>
        <w:gridCol w:w="837"/>
        <w:gridCol w:w="990"/>
        <w:gridCol w:w="1170"/>
        <w:gridCol w:w="775"/>
        <w:gridCol w:w="1041"/>
        <w:gridCol w:w="1234"/>
        <w:gridCol w:w="910"/>
      </w:tblGrid>
      <w:tr w:rsidR="0020792C" w:rsidRPr="004834AC" w14:paraId="7D537706" w14:textId="77777777" w:rsidTr="006353F6">
        <w:trPr>
          <w:trHeight w:val="360"/>
        </w:trPr>
        <w:tc>
          <w:tcPr>
            <w:tcW w:w="817" w:type="pct"/>
            <w:tcBorders>
              <w:top w:val="single" w:sz="4" w:space="0" w:color="auto"/>
              <w:left w:val="nil"/>
              <w:bottom w:val="single" w:sz="4" w:space="0" w:color="auto"/>
              <w:right w:val="nil"/>
            </w:tcBorders>
            <w:shd w:val="clear" w:color="auto" w:fill="auto"/>
            <w:noWrap/>
            <w:vAlign w:val="center"/>
            <w:hideMark/>
          </w:tcPr>
          <w:p w14:paraId="4E6CD1BB"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 xml:space="preserve">Article </w:t>
            </w:r>
          </w:p>
        </w:tc>
        <w:tc>
          <w:tcPr>
            <w:tcW w:w="466" w:type="pct"/>
            <w:tcBorders>
              <w:top w:val="single" w:sz="4" w:space="0" w:color="auto"/>
              <w:left w:val="nil"/>
              <w:bottom w:val="single" w:sz="4" w:space="0" w:color="auto"/>
              <w:right w:val="nil"/>
            </w:tcBorders>
            <w:shd w:val="clear" w:color="auto" w:fill="auto"/>
            <w:noWrap/>
            <w:vAlign w:val="center"/>
            <w:hideMark/>
          </w:tcPr>
          <w:p w14:paraId="3FB6D7DD"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Stress Disorders</w:t>
            </w:r>
          </w:p>
        </w:tc>
        <w:tc>
          <w:tcPr>
            <w:tcW w:w="447" w:type="pct"/>
            <w:tcBorders>
              <w:top w:val="single" w:sz="4" w:space="0" w:color="auto"/>
              <w:left w:val="nil"/>
              <w:bottom w:val="single" w:sz="4" w:space="0" w:color="auto"/>
              <w:right w:val="nil"/>
            </w:tcBorders>
            <w:shd w:val="clear" w:color="auto" w:fill="auto"/>
            <w:noWrap/>
            <w:vAlign w:val="center"/>
            <w:hideMark/>
          </w:tcPr>
          <w:p w14:paraId="64840676"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Anxiety Disorders</w:t>
            </w:r>
          </w:p>
        </w:tc>
        <w:tc>
          <w:tcPr>
            <w:tcW w:w="529" w:type="pct"/>
            <w:tcBorders>
              <w:top w:val="single" w:sz="4" w:space="0" w:color="auto"/>
              <w:left w:val="nil"/>
              <w:bottom w:val="single" w:sz="4" w:space="0" w:color="auto"/>
              <w:right w:val="nil"/>
            </w:tcBorders>
            <w:shd w:val="clear" w:color="auto" w:fill="auto"/>
            <w:noWrap/>
            <w:vAlign w:val="center"/>
            <w:hideMark/>
          </w:tcPr>
          <w:p w14:paraId="37F8BA27"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Depression</w:t>
            </w:r>
          </w:p>
        </w:tc>
        <w:tc>
          <w:tcPr>
            <w:tcW w:w="625" w:type="pct"/>
            <w:tcBorders>
              <w:top w:val="single" w:sz="4" w:space="0" w:color="auto"/>
              <w:left w:val="nil"/>
              <w:bottom w:val="single" w:sz="4" w:space="0" w:color="auto"/>
              <w:right w:val="nil"/>
            </w:tcBorders>
            <w:shd w:val="clear" w:color="auto" w:fill="auto"/>
            <w:noWrap/>
            <w:vAlign w:val="center"/>
            <w:hideMark/>
          </w:tcPr>
          <w:p w14:paraId="5C0A497A"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Schizophrenia</w:t>
            </w:r>
          </w:p>
        </w:tc>
        <w:tc>
          <w:tcPr>
            <w:tcW w:w="414" w:type="pct"/>
            <w:tcBorders>
              <w:top w:val="single" w:sz="4" w:space="0" w:color="auto"/>
              <w:left w:val="nil"/>
              <w:bottom w:val="single" w:sz="4" w:space="0" w:color="auto"/>
              <w:right w:val="nil"/>
            </w:tcBorders>
            <w:shd w:val="clear" w:color="auto" w:fill="auto"/>
            <w:noWrap/>
            <w:vAlign w:val="center"/>
            <w:hideMark/>
          </w:tcPr>
          <w:p w14:paraId="11B1A8F6"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Bipolar Disorder</w:t>
            </w:r>
          </w:p>
        </w:tc>
        <w:tc>
          <w:tcPr>
            <w:tcW w:w="556" w:type="pct"/>
            <w:tcBorders>
              <w:top w:val="single" w:sz="4" w:space="0" w:color="auto"/>
              <w:left w:val="nil"/>
              <w:bottom w:val="single" w:sz="4" w:space="0" w:color="auto"/>
              <w:right w:val="nil"/>
            </w:tcBorders>
            <w:shd w:val="clear" w:color="auto" w:fill="auto"/>
            <w:vAlign w:val="center"/>
            <w:hideMark/>
          </w:tcPr>
          <w:p w14:paraId="67AB9E76"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Substance Use Disorder</w:t>
            </w:r>
          </w:p>
        </w:tc>
        <w:tc>
          <w:tcPr>
            <w:tcW w:w="659" w:type="pct"/>
            <w:tcBorders>
              <w:top w:val="single" w:sz="4" w:space="0" w:color="auto"/>
              <w:left w:val="nil"/>
              <w:bottom w:val="single" w:sz="4" w:space="0" w:color="auto"/>
              <w:right w:val="nil"/>
            </w:tcBorders>
            <w:shd w:val="clear" w:color="auto" w:fill="auto"/>
            <w:vAlign w:val="center"/>
            <w:hideMark/>
          </w:tcPr>
          <w:p w14:paraId="3DEAFE71"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Mental Illnesses in General</w:t>
            </w:r>
          </w:p>
        </w:tc>
        <w:tc>
          <w:tcPr>
            <w:tcW w:w="486" w:type="pct"/>
            <w:tcBorders>
              <w:top w:val="single" w:sz="4" w:space="0" w:color="auto"/>
              <w:left w:val="nil"/>
              <w:bottom w:val="single" w:sz="4" w:space="0" w:color="auto"/>
              <w:right w:val="nil"/>
            </w:tcBorders>
            <w:shd w:val="clear" w:color="auto" w:fill="auto"/>
            <w:vAlign w:val="center"/>
            <w:hideMark/>
          </w:tcPr>
          <w:p w14:paraId="7B300C44"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Other Mental Illnesses</w:t>
            </w:r>
          </w:p>
        </w:tc>
      </w:tr>
      <w:tr w:rsidR="0020792C" w:rsidRPr="004834AC" w14:paraId="1A0F7A7A" w14:textId="77777777" w:rsidTr="006353F6">
        <w:trPr>
          <w:trHeight w:val="360"/>
        </w:trPr>
        <w:tc>
          <w:tcPr>
            <w:tcW w:w="817" w:type="pct"/>
            <w:tcBorders>
              <w:top w:val="nil"/>
              <w:left w:val="nil"/>
              <w:bottom w:val="nil"/>
              <w:right w:val="nil"/>
            </w:tcBorders>
            <w:shd w:val="clear" w:color="auto" w:fill="auto"/>
            <w:noWrap/>
            <w:vAlign w:val="center"/>
            <w:hideMark/>
          </w:tcPr>
          <w:p w14:paraId="060A17CC"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 xml:space="preserve">Adeosun </w:t>
            </w:r>
            <w:r w:rsidRPr="004834AC">
              <w:rPr>
                <w:rFonts w:ascii="Calibri" w:eastAsia="Times New Roman" w:hAnsi="Calibri" w:cs="Calibri"/>
                <w:i/>
                <w:iCs/>
                <w:color w:val="000000"/>
                <w:kern w:val="0"/>
                <w:sz w:val="16"/>
                <w:szCs w:val="16"/>
                <w14:ligatures w14:val="none"/>
              </w:rPr>
              <w:t>et al.</w:t>
            </w:r>
            <w:r w:rsidRPr="004834AC">
              <w:rPr>
                <w:rFonts w:ascii="Calibri" w:eastAsia="Times New Roman" w:hAnsi="Calibri" w:cs="Calibri"/>
                <w:i/>
                <w:iCs/>
                <w:color w:val="000000"/>
                <w:kern w:val="0"/>
                <w:sz w:val="16"/>
                <w:szCs w:val="16"/>
                <w14:ligatures w14:val="none"/>
              </w:rPr>
              <w:fldChar w:fldCharType="begin"/>
            </w:r>
            <w:r>
              <w:rPr>
                <w:rFonts w:ascii="Calibri" w:eastAsia="Times New Roman" w:hAnsi="Calibri" w:cs="Calibri"/>
                <w:i/>
                <w:iCs/>
                <w:color w:val="000000"/>
                <w:kern w:val="0"/>
                <w:sz w:val="16"/>
                <w:szCs w:val="16"/>
                <w14:ligatures w14:val="none"/>
              </w:rPr>
              <w:instrText xml:space="preserve"> ADDIN ZOTERO_ITEM CSL_CITATION {"citationID":"APoZqQyH","properties":{"formattedCitation":"(24)","plainCitation":"(24)","noteIndex":0},"citationItems":[{"id":4580,"uris":["http://zotero.org/users/11021484/items/WL44YHUV"],"itemData":{"id":4580,"type":"article-journal","abstract":"There is increasing evidence that delay in the commencement of treatment, following the onset of schizophrenia, may be related to the pathways patients navigate before accessing mental health care. Therefore, insight into the pattern and correlates of pathways to mental care of patients with schizophrenia may inform interventions that could fast track their contact with mental health professionals and reduce the duration of untreated psychosis. This study assessed the pathways to mental health care among patients with schizophrenia (\n              \n                n\n                =\n                138\n              \n              ), at their first contact with mental health services at the Federal Neuro-Psychiatric Hospital Yaba Lagos, Nigeria. Traditional and religious healers were the first contact for the majority (69%) of the patients. Service users who first contacted nonorthodox healers made a greater number of contacts in the course of seeking help, eventuating in a longer duration of untreated psychosis (\n              \n                P\n                &lt;\n                0.001\n              \n              ). However, the delay between the onset of psychosis and contact with the first point of care was shorter in patients who patronized nonorthodox practitioners. The findings suggest that collaboration between orthodox and nonorthodox health services could facilitate the contact of patients with schizophrenia with appropriate treatment, thereby reducing the duration of untreated psychosis. The need for public mental health education is also indicated.","container-title":"Schizophrenia Research and Treatment","DOI":"10.1155/2013/769161","ISSN":"2090-2085, 2090-2093","journalAbbreviation":"Schizophrenia Research and Treatment","language":"en","page":"1-8","source":"DOI.org (Crossref)","title":"The Pathways to the First Contact with Mental Health Services among Patients with Schizophrenia in Lagos, Nigeria","volume":"2013","author":[{"family":"Adeosun","given":"Increase Ibukun"},{"family":"Adegbohun","given":"Abosede Adekeji"},{"family":"Adewumi","given":"Tomilola Adejoke"},{"family":"Jeje","given":"Oyetayo O."}],"issued":{"date-parts":[["2013"]]}}}],"schema":"https://github.com/citation-style-language/schema/raw/master/csl-citation.json"} </w:instrText>
            </w:r>
            <w:r w:rsidRPr="004834AC">
              <w:rPr>
                <w:rFonts w:ascii="Calibri" w:eastAsia="Times New Roman" w:hAnsi="Calibri" w:cs="Calibri"/>
                <w:i/>
                <w:iCs/>
                <w:color w:val="000000"/>
                <w:kern w:val="0"/>
                <w:sz w:val="16"/>
                <w:szCs w:val="16"/>
                <w14:ligatures w14:val="none"/>
              </w:rPr>
              <w:fldChar w:fldCharType="separate"/>
            </w:r>
            <w:r w:rsidRPr="00910430">
              <w:rPr>
                <w:rFonts w:ascii="Calibri" w:hAnsi="Calibri" w:cs="Calibri"/>
                <w:sz w:val="16"/>
              </w:rPr>
              <w:t>(24)</w:t>
            </w:r>
            <w:r w:rsidRPr="004834AC">
              <w:rPr>
                <w:rFonts w:ascii="Calibri" w:eastAsia="Times New Roman" w:hAnsi="Calibri" w:cs="Calibri"/>
                <w:i/>
                <w:iCs/>
                <w:color w:val="000000"/>
                <w:kern w:val="0"/>
                <w:sz w:val="16"/>
                <w:szCs w:val="16"/>
                <w14:ligatures w14:val="none"/>
              </w:rPr>
              <w:fldChar w:fldCharType="end"/>
            </w:r>
            <w:r w:rsidRPr="004834AC">
              <w:rPr>
                <w:rFonts w:ascii="Calibri" w:eastAsia="Times New Roman" w:hAnsi="Calibri" w:cs="Calibri"/>
                <w:color w:val="000000"/>
                <w:kern w:val="0"/>
                <w:sz w:val="16"/>
                <w:szCs w:val="16"/>
                <w14:ligatures w14:val="none"/>
              </w:rPr>
              <w:t xml:space="preserve"> </w:t>
            </w:r>
          </w:p>
        </w:tc>
        <w:tc>
          <w:tcPr>
            <w:tcW w:w="466" w:type="pct"/>
            <w:tcBorders>
              <w:top w:val="nil"/>
              <w:left w:val="nil"/>
              <w:bottom w:val="nil"/>
              <w:right w:val="nil"/>
            </w:tcBorders>
            <w:shd w:val="clear" w:color="auto" w:fill="auto"/>
            <w:noWrap/>
            <w:vAlign w:val="center"/>
            <w:hideMark/>
          </w:tcPr>
          <w:p w14:paraId="4C3F8EE7"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p>
        </w:tc>
        <w:tc>
          <w:tcPr>
            <w:tcW w:w="447" w:type="pct"/>
            <w:tcBorders>
              <w:top w:val="nil"/>
              <w:left w:val="nil"/>
              <w:bottom w:val="nil"/>
              <w:right w:val="nil"/>
            </w:tcBorders>
            <w:shd w:val="clear" w:color="auto" w:fill="auto"/>
            <w:noWrap/>
            <w:vAlign w:val="center"/>
            <w:hideMark/>
          </w:tcPr>
          <w:p w14:paraId="3D5A0AAF"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29" w:type="pct"/>
            <w:tcBorders>
              <w:top w:val="nil"/>
              <w:left w:val="nil"/>
              <w:bottom w:val="nil"/>
              <w:right w:val="nil"/>
            </w:tcBorders>
            <w:shd w:val="clear" w:color="auto" w:fill="auto"/>
            <w:noWrap/>
            <w:vAlign w:val="center"/>
            <w:hideMark/>
          </w:tcPr>
          <w:p w14:paraId="4258C273"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25" w:type="pct"/>
            <w:tcBorders>
              <w:top w:val="nil"/>
              <w:left w:val="nil"/>
              <w:bottom w:val="nil"/>
              <w:right w:val="nil"/>
            </w:tcBorders>
            <w:shd w:val="clear" w:color="auto" w:fill="auto"/>
            <w:noWrap/>
            <w:vAlign w:val="center"/>
            <w:hideMark/>
          </w:tcPr>
          <w:p w14:paraId="62289EAD"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414" w:type="pct"/>
            <w:tcBorders>
              <w:top w:val="nil"/>
              <w:left w:val="nil"/>
              <w:bottom w:val="nil"/>
              <w:right w:val="nil"/>
            </w:tcBorders>
            <w:shd w:val="clear" w:color="auto" w:fill="auto"/>
            <w:noWrap/>
            <w:vAlign w:val="center"/>
            <w:hideMark/>
          </w:tcPr>
          <w:p w14:paraId="4B5C3813"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p>
        </w:tc>
        <w:tc>
          <w:tcPr>
            <w:tcW w:w="556" w:type="pct"/>
            <w:tcBorders>
              <w:top w:val="nil"/>
              <w:left w:val="nil"/>
              <w:bottom w:val="nil"/>
              <w:right w:val="nil"/>
            </w:tcBorders>
            <w:shd w:val="clear" w:color="auto" w:fill="auto"/>
            <w:vAlign w:val="center"/>
            <w:hideMark/>
          </w:tcPr>
          <w:p w14:paraId="2BE019F4"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59" w:type="pct"/>
            <w:tcBorders>
              <w:top w:val="nil"/>
              <w:left w:val="nil"/>
              <w:bottom w:val="nil"/>
              <w:right w:val="nil"/>
            </w:tcBorders>
            <w:shd w:val="clear" w:color="auto" w:fill="auto"/>
            <w:noWrap/>
            <w:vAlign w:val="center"/>
            <w:hideMark/>
          </w:tcPr>
          <w:p w14:paraId="4F507271"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486" w:type="pct"/>
            <w:tcBorders>
              <w:top w:val="nil"/>
              <w:left w:val="nil"/>
              <w:bottom w:val="nil"/>
              <w:right w:val="nil"/>
            </w:tcBorders>
            <w:shd w:val="clear" w:color="auto" w:fill="auto"/>
            <w:noWrap/>
            <w:vAlign w:val="center"/>
            <w:hideMark/>
          </w:tcPr>
          <w:p w14:paraId="5C4339DB"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r>
      <w:tr w:rsidR="0020792C" w:rsidRPr="004834AC" w14:paraId="15CFA4D0" w14:textId="77777777" w:rsidTr="006353F6">
        <w:trPr>
          <w:trHeight w:val="360"/>
        </w:trPr>
        <w:tc>
          <w:tcPr>
            <w:tcW w:w="817" w:type="pct"/>
            <w:tcBorders>
              <w:top w:val="nil"/>
              <w:left w:val="nil"/>
              <w:bottom w:val="nil"/>
              <w:right w:val="nil"/>
            </w:tcBorders>
            <w:shd w:val="clear" w:color="auto" w:fill="auto"/>
            <w:noWrap/>
            <w:vAlign w:val="center"/>
            <w:hideMark/>
          </w:tcPr>
          <w:p w14:paraId="5EDA4DB8"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Adjorlolo and Aziato</w:t>
            </w:r>
            <w:r w:rsidRPr="004834AC">
              <w:rPr>
                <w:rFonts w:ascii="Calibri" w:eastAsia="Times New Roman" w:hAnsi="Calibri" w:cs="Calibri"/>
                <w:color w:val="000000"/>
                <w:kern w:val="0"/>
                <w:sz w:val="16"/>
                <w:szCs w:val="16"/>
                <w14:ligatures w14:val="none"/>
              </w:rPr>
              <w:fldChar w:fldCharType="begin"/>
            </w:r>
            <w:r>
              <w:rPr>
                <w:rFonts w:ascii="Calibri" w:eastAsia="Times New Roman" w:hAnsi="Calibri" w:cs="Calibri"/>
                <w:color w:val="000000"/>
                <w:kern w:val="0"/>
                <w:sz w:val="16"/>
                <w:szCs w:val="16"/>
                <w14:ligatures w14:val="none"/>
              </w:rPr>
              <w:instrText xml:space="preserve"> ADDIN ZOTERO_ITEM CSL_CITATION {"citationID":"H6UBZrKS","properties":{"formattedCitation":"(25)","plainCitation":"(25)","noteIndex":0},"citationItems":[{"id":4530,"uris":["http://zotero.org/users/11021484/items/42M2QP6G"],"itemData":{"id":4530,"type":"article-journal","abstract":"Methods: Data collected from 309 nurses and midwives were analysed using descriptive and inferential statistic, namely chi-square and analysis of variance (ANOVA).\nResults: The barriers reported by the participants include unavailability of mental health services (77%), lack of knowledge of mental health in women from different tribes (75.7%), lack of a clear mental healthcare pathway (75.1%), heavy workload (74.1%) and lack of knowledge of mental health issue (74.1%). These barriers are less likely to be reported by participants who are males, old and who have practiced for a long time.\nConclusions: Systematic effort to restructure the healthcare delivery system, including equipping healthcare professionals with requisite knowledge, skills and competencies in maternal mental health, is highly recommended.","container-title":"Nursing Open","DOI":"10.1002/nop2.564","ISSN":"2054-1058, 2054-1058","issue":"6","journalAbbreviation":"Nursing Open","language":"en","page":"1779-1786","source":"DOI.org (Crossref)","title":"Barriers to addressing mental health issues in childbearing women in Ghana","volume":"7","author":[{"family":"Adjorlolo","given":"Samuel"},{"family":"Aziato","given":"Lydia"}],"issued":{"date-parts":[["2020",11]]}}}],"schema":"https://github.com/citation-style-language/schema/raw/master/csl-citation.json"} </w:instrText>
            </w:r>
            <w:r w:rsidRPr="004834AC">
              <w:rPr>
                <w:rFonts w:ascii="Calibri" w:eastAsia="Times New Roman" w:hAnsi="Calibri" w:cs="Calibri"/>
                <w:color w:val="000000"/>
                <w:kern w:val="0"/>
                <w:sz w:val="16"/>
                <w:szCs w:val="16"/>
                <w14:ligatures w14:val="none"/>
              </w:rPr>
              <w:fldChar w:fldCharType="separate"/>
            </w:r>
            <w:r w:rsidRPr="00910430">
              <w:rPr>
                <w:rFonts w:ascii="Calibri" w:hAnsi="Calibri" w:cs="Calibri"/>
                <w:sz w:val="16"/>
              </w:rPr>
              <w:t>(25)</w:t>
            </w:r>
            <w:r w:rsidRPr="004834AC">
              <w:rPr>
                <w:rFonts w:ascii="Calibri" w:eastAsia="Times New Roman" w:hAnsi="Calibri" w:cs="Calibri"/>
                <w:color w:val="000000"/>
                <w:kern w:val="0"/>
                <w:sz w:val="16"/>
                <w:szCs w:val="16"/>
                <w14:ligatures w14:val="none"/>
              </w:rPr>
              <w:fldChar w:fldCharType="end"/>
            </w:r>
          </w:p>
        </w:tc>
        <w:tc>
          <w:tcPr>
            <w:tcW w:w="466" w:type="pct"/>
            <w:tcBorders>
              <w:top w:val="nil"/>
              <w:left w:val="nil"/>
              <w:bottom w:val="nil"/>
              <w:right w:val="nil"/>
            </w:tcBorders>
            <w:shd w:val="clear" w:color="auto" w:fill="auto"/>
            <w:noWrap/>
            <w:vAlign w:val="center"/>
            <w:hideMark/>
          </w:tcPr>
          <w:p w14:paraId="77E47CE8"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p>
        </w:tc>
        <w:tc>
          <w:tcPr>
            <w:tcW w:w="447" w:type="pct"/>
            <w:tcBorders>
              <w:top w:val="nil"/>
              <w:left w:val="nil"/>
              <w:bottom w:val="nil"/>
              <w:right w:val="nil"/>
            </w:tcBorders>
            <w:shd w:val="clear" w:color="auto" w:fill="auto"/>
            <w:noWrap/>
            <w:vAlign w:val="center"/>
            <w:hideMark/>
          </w:tcPr>
          <w:p w14:paraId="1398D428"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29" w:type="pct"/>
            <w:tcBorders>
              <w:top w:val="nil"/>
              <w:left w:val="nil"/>
              <w:bottom w:val="nil"/>
              <w:right w:val="nil"/>
            </w:tcBorders>
            <w:shd w:val="clear" w:color="auto" w:fill="auto"/>
            <w:noWrap/>
            <w:vAlign w:val="center"/>
            <w:hideMark/>
          </w:tcPr>
          <w:p w14:paraId="690FD061"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25" w:type="pct"/>
            <w:tcBorders>
              <w:top w:val="nil"/>
              <w:left w:val="nil"/>
              <w:bottom w:val="nil"/>
              <w:right w:val="nil"/>
            </w:tcBorders>
            <w:shd w:val="clear" w:color="auto" w:fill="auto"/>
            <w:noWrap/>
            <w:vAlign w:val="center"/>
            <w:hideMark/>
          </w:tcPr>
          <w:p w14:paraId="1EBA0EE1"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414" w:type="pct"/>
            <w:tcBorders>
              <w:top w:val="nil"/>
              <w:left w:val="nil"/>
              <w:bottom w:val="nil"/>
              <w:right w:val="nil"/>
            </w:tcBorders>
            <w:shd w:val="clear" w:color="auto" w:fill="auto"/>
            <w:noWrap/>
            <w:vAlign w:val="center"/>
            <w:hideMark/>
          </w:tcPr>
          <w:p w14:paraId="62D987F5"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56" w:type="pct"/>
            <w:tcBorders>
              <w:top w:val="nil"/>
              <w:left w:val="nil"/>
              <w:bottom w:val="nil"/>
              <w:right w:val="nil"/>
            </w:tcBorders>
            <w:shd w:val="clear" w:color="auto" w:fill="auto"/>
            <w:vAlign w:val="center"/>
            <w:hideMark/>
          </w:tcPr>
          <w:p w14:paraId="4E41A103"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59" w:type="pct"/>
            <w:tcBorders>
              <w:top w:val="nil"/>
              <w:left w:val="nil"/>
              <w:bottom w:val="nil"/>
              <w:right w:val="nil"/>
            </w:tcBorders>
            <w:shd w:val="clear" w:color="auto" w:fill="auto"/>
            <w:noWrap/>
            <w:vAlign w:val="center"/>
            <w:hideMark/>
          </w:tcPr>
          <w:p w14:paraId="46CAD638"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486" w:type="pct"/>
            <w:tcBorders>
              <w:top w:val="nil"/>
              <w:left w:val="nil"/>
              <w:bottom w:val="nil"/>
              <w:right w:val="nil"/>
            </w:tcBorders>
            <w:shd w:val="clear" w:color="auto" w:fill="auto"/>
            <w:noWrap/>
            <w:vAlign w:val="center"/>
            <w:hideMark/>
          </w:tcPr>
          <w:p w14:paraId="6E88EBEC"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p>
        </w:tc>
      </w:tr>
      <w:tr w:rsidR="0020792C" w:rsidRPr="004834AC" w14:paraId="013BDBAB" w14:textId="77777777" w:rsidTr="006353F6">
        <w:trPr>
          <w:trHeight w:val="360"/>
        </w:trPr>
        <w:tc>
          <w:tcPr>
            <w:tcW w:w="817" w:type="pct"/>
            <w:tcBorders>
              <w:top w:val="nil"/>
              <w:left w:val="nil"/>
              <w:bottom w:val="nil"/>
              <w:right w:val="nil"/>
            </w:tcBorders>
            <w:shd w:val="clear" w:color="auto" w:fill="auto"/>
            <w:noWrap/>
            <w:vAlign w:val="center"/>
            <w:hideMark/>
          </w:tcPr>
          <w:p w14:paraId="59F27E93"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 xml:space="preserve">Agyapong </w:t>
            </w:r>
            <w:r w:rsidRPr="004834AC">
              <w:rPr>
                <w:rFonts w:ascii="Calibri" w:eastAsia="Times New Roman" w:hAnsi="Calibri" w:cs="Calibri"/>
                <w:i/>
                <w:iCs/>
                <w:color w:val="000000"/>
                <w:kern w:val="0"/>
                <w:sz w:val="16"/>
                <w:szCs w:val="16"/>
                <w14:ligatures w14:val="none"/>
              </w:rPr>
              <w:t>et al.</w:t>
            </w:r>
            <w:r w:rsidRPr="004834AC">
              <w:rPr>
                <w:rFonts w:ascii="Calibri" w:eastAsia="Times New Roman" w:hAnsi="Calibri" w:cs="Calibri"/>
                <w:i/>
                <w:iCs/>
                <w:color w:val="000000"/>
                <w:kern w:val="0"/>
                <w:sz w:val="16"/>
                <w:szCs w:val="16"/>
                <w14:ligatures w14:val="none"/>
              </w:rPr>
              <w:fldChar w:fldCharType="begin"/>
            </w:r>
            <w:r>
              <w:rPr>
                <w:rFonts w:ascii="Calibri" w:eastAsia="Times New Roman" w:hAnsi="Calibri" w:cs="Calibri"/>
                <w:i/>
                <w:iCs/>
                <w:color w:val="000000"/>
                <w:kern w:val="0"/>
                <w:sz w:val="16"/>
                <w:szCs w:val="16"/>
                <w14:ligatures w14:val="none"/>
              </w:rPr>
              <w:instrText xml:space="preserve"> ADDIN ZOTERO_ITEM CSL_CITATION {"citationID":"7XZn0xPD","properties":{"formattedCitation":"(13)","plainCitation":"(13)","noteIndex":0},"citationItems":[{"id":1999,"uris":["http://zotero.org/users/11021484/items/ESXFHLG9"],"itemData":{"id":1999,"type":"article-journal","abstract":"The scarcity of mental health professionals places specialist psychiatric care out of the reach of most people in low and middle income countries. There is growing interest in the effectiveness of task shifting as a strategy for targeting expanding health care demands in settings with shortages of qualified health personnel.","container-title":"Globalization and Health","DOI":"10.1186/s12992-016-0199-z","ISSN":"1744-8603","issue":"1","journalAbbreviation":"Global Health","language":"en","page":"57","source":"Springer Link","title":"Improving Ghana’s mental healthcare through task-shifting- psychiatrists and health policy directors perceptions about government’s commitment and the role of community mental health workers","volume":"12","author":[{"family":"Agyapong","given":"Vincent Israel Opoku"},{"family":"Farren","given":"Conor"},{"family":"McAuliffe","given":"Eilish"}],"issued":{"date-parts":[["2016",10,1]]}}}],"schema":"https://github.com/citation-style-language/schema/raw/master/csl-citation.json"} </w:instrText>
            </w:r>
            <w:r w:rsidRPr="004834AC">
              <w:rPr>
                <w:rFonts w:ascii="Calibri" w:eastAsia="Times New Roman" w:hAnsi="Calibri" w:cs="Calibri"/>
                <w:i/>
                <w:iCs/>
                <w:color w:val="000000"/>
                <w:kern w:val="0"/>
                <w:sz w:val="16"/>
                <w:szCs w:val="16"/>
                <w14:ligatures w14:val="none"/>
              </w:rPr>
              <w:fldChar w:fldCharType="separate"/>
            </w:r>
            <w:r w:rsidRPr="00910430">
              <w:rPr>
                <w:rFonts w:ascii="Calibri" w:hAnsi="Calibri" w:cs="Calibri"/>
                <w:sz w:val="16"/>
              </w:rPr>
              <w:t>(13)</w:t>
            </w:r>
            <w:r w:rsidRPr="004834AC">
              <w:rPr>
                <w:rFonts w:ascii="Calibri" w:eastAsia="Times New Roman" w:hAnsi="Calibri" w:cs="Calibri"/>
                <w:i/>
                <w:iCs/>
                <w:color w:val="000000"/>
                <w:kern w:val="0"/>
                <w:sz w:val="16"/>
                <w:szCs w:val="16"/>
                <w14:ligatures w14:val="none"/>
              </w:rPr>
              <w:fldChar w:fldCharType="end"/>
            </w:r>
          </w:p>
        </w:tc>
        <w:tc>
          <w:tcPr>
            <w:tcW w:w="466" w:type="pct"/>
            <w:tcBorders>
              <w:top w:val="nil"/>
              <w:left w:val="nil"/>
              <w:bottom w:val="nil"/>
              <w:right w:val="nil"/>
            </w:tcBorders>
            <w:shd w:val="clear" w:color="auto" w:fill="auto"/>
            <w:noWrap/>
            <w:vAlign w:val="center"/>
            <w:hideMark/>
          </w:tcPr>
          <w:p w14:paraId="46EEC463"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p>
        </w:tc>
        <w:tc>
          <w:tcPr>
            <w:tcW w:w="447" w:type="pct"/>
            <w:tcBorders>
              <w:top w:val="nil"/>
              <w:left w:val="nil"/>
              <w:bottom w:val="nil"/>
              <w:right w:val="nil"/>
            </w:tcBorders>
            <w:shd w:val="clear" w:color="auto" w:fill="auto"/>
            <w:noWrap/>
            <w:vAlign w:val="center"/>
            <w:hideMark/>
          </w:tcPr>
          <w:p w14:paraId="50F0F4E3"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29" w:type="pct"/>
            <w:tcBorders>
              <w:top w:val="nil"/>
              <w:left w:val="nil"/>
              <w:bottom w:val="nil"/>
              <w:right w:val="nil"/>
            </w:tcBorders>
            <w:shd w:val="clear" w:color="auto" w:fill="auto"/>
            <w:noWrap/>
            <w:vAlign w:val="center"/>
            <w:hideMark/>
          </w:tcPr>
          <w:p w14:paraId="46EF8A05"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25" w:type="pct"/>
            <w:tcBorders>
              <w:top w:val="nil"/>
              <w:left w:val="nil"/>
              <w:bottom w:val="nil"/>
              <w:right w:val="nil"/>
            </w:tcBorders>
            <w:shd w:val="clear" w:color="auto" w:fill="auto"/>
            <w:noWrap/>
            <w:vAlign w:val="center"/>
            <w:hideMark/>
          </w:tcPr>
          <w:p w14:paraId="6E8ECEAF"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414" w:type="pct"/>
            <w:tcBorders>
              <w:top w:val="nil"/>
              <w:left w:val="nil"/>
              <w:bottom w:val="nil"/>
              <w:right w:val="nil"/>
            </w:tcBorders>
            <w:shd w:val="clear" w:color="auto" w:fill="auto"/>
            <w:noWrap/>
            <w:vAlign w:val="center"/>
            <w:hideMark/>
          </w:tcPr>
          <w:p w14:paraId="779C0CDA"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p>
        </w:tc>
        <w:tc>
          <w:tcPr>
            <w:tcW w:w="556" w:type="pct"/>
            <w:tcBorders>
              <w:top w:val="nil"/>
              <w:left w:val="nil"/>
              <w:bottom w:val="nil"/>
              <w:right w:val="nil"/>
            </w:tcBorders>
            <w:shd w:val="clear" w:color="auto" w:fill="auto"/>
            <w:vAlign w:val="center"/>
            <w:hideMark/>
          </w:tcPr>
          <w:p w14:paraId="38A5FC02"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59" w:type="pct"/>
            <w:tcBorders>
              <w:top w:val="nil"/>
              <w:left w:val="nil"/>
              <w:bottom w:val="nil"/>
              <w:right w:val="nil"/>
            </w:tcBorders>
            <w:shd w:val="clear" w:color="auto" w:fill="auto"/>
            <w:noWrap/>
            <w:vAlign w:val="center"/>
            <w:hideMark/>
          </w:tcPr>
          <w:p w14:paraId="52C1B975"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486" w:type="pct"/>
            <w:tcBorders>
              <w:top w:val="nil"/>
              <w:left w:val="nil"/>
              <w:bottom w:val="nil"/>
              <w:right w:val="nil"/>
            </w:tcBorders>
            <w:shd w:val="clear" w:color="auto" w:fill="auto"/>
            <w:noWrap/>
            <w:vAlign w:val="center"/>
            <w:hideMark/>
          </w:tcPr>
          <w:p w14:paraId="6CF4AA72"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r>
      <w:tr w:rsidR="0020792C" w:rsidRPr="004834AC" w14:paraId="33C84D9B" w14:textId="77777777" w:rsidTr="006353F6">
        <w:trPr>
          <w:trHeight w:val="360"/>
        </w:trPr>
        <w:tc>
          <w:tcPr>
            <w:tcW w:w="817" w:type="pct"/>
            <w:tcBorders>
              <w:top w:val="nil"/>
              <w:left w:val="nil"/>
              <w:bottom w:val="nil"/>
              <w:right w:val="nil"/>
            </w:tcBorders>
            <w:shd w:val="clear" w:color="auto" w:fill="auto"/>
            <w:noWrap/>
            <w:vAlign w:val="center"/>
            <w:hideMark/>
          </w:tcPr>
          <w:p w14:paraId="7066D329"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 xml:space="preserve">Anyebe </w:t>
            </w:r>
            <w:r w:rsidRPr="004834AC">
              <w:rPr>
                <w:rFonts w:ascii="Calibri" w:eastAsia="Times New Roman" w:hAnsi="Calibri" w:cs="Calibri"/>
                <w:i/>
                <w:iCs/>
                <w:color w:val="000000"/>
                <w:kern w:val="0"/>
                <w:sz w:val="16"/>
                <w:szCs w:val="16"/>
                <w14:ligatures w14:val="none"/>
              </w:rPr>
              <w:t>et al.</w:t>
            </w:r>
            <w:r w:rsidRPr="004834AC">
              <w:rPr>
                <w:rFonts w:ascii="Calibri" w:eastAsia="Times New Roman" w:hAnsi="Calibri" w:cs="Calibri"/>
                <w:i/>
                <w:iCs/>
                <w:color w:val="000000"/>
                <w:kern w:val="0"/>
                <w:sz w:val="16"/>
                <w:szCs w:val="16"/>
                <w14:ligatures w14:val="none"/>
              </w:rPr>
              <w:fldChar w:fldCharType="begin"/>
            </w:r>
            <w:r>
              <w:rPr>
                <w:rFonts w:ascii="Calibri" w:eastAsia="Times New Roman" w:hAnsi="Calibri" w:cs="Calibri"/>
                <w:i/>
                <w:iCs/>
                <w:color w:val="000000"/>
                <w:kern w:val="0"/>
                <w:sz w:val="16"/>
                <w:szCs w:val="16"/>
                <w14:ligatures w14:val="none"/>
              </w:rPr>
              <w:instrText xml:space="preserve"> ADDIN ZOTERO_ITEM CSL_CITATION {"citationID":"3qBUph1f","properties":{"formattedCitation":"(26)","plainCitation":"(26)","noteIndex":0},"citationItems":[{"id":4532,"uris":["http://zotero.org/users/11021484/items/GQCPR3AY"],"itemData":{"id":4532,"type":"article-journal","abstract":"This study examined the barriers associated with the level of community-based mental health services in three selected States in northern Nigeria. Both quantitative and qualitative data were collected from a convenient sample of 191 primary healthcare (PHC) service providers and a purposive sample of 13 primary healthcare system administrators and managers at both State and Local government levels through a WHO/WFMH 10-factor questionnaire and literature-derived guide for in-depth interviews (IDIs). Quantitative data analysis was undertaken using simple descriptive measures (with the use of IBM Statistical Product and Service Solutions (SPSS) 23.0) while the qualitative data was thematically analysed to complement the quantitative data. Results show that in all the study States, poor funding, lack of skilled mental health human resource and inadequate training of available personnel were identified as the major barriers to provision of mental health services at the community level. Socio-cultural factors such as community rejection of the services, stigma and misconceptions were reported as second-grade barriers. It is concluded that PHC administrators, coordinators and service providers agree that fallouts of policy failure and lack of political will at Federal, State and Local government levels and socio-cultural dynamics constitute barriers to community based mental health services. Efforts towards improving the provision of these services need to focus more on healthcare policy issues and political machinery of the governments while motivating available service providers to increase community psycho-education in their respective centres and host communities. This should be done as short-, medium- and long-term measures.","container-title":"International Journal of Africa Nursing Sciences","DOI":"10.1016/j.ijans.2021.100376","ISSN":"22141391","journalAbbreviation":"International Journal of Africa Nursing Sciences","language":"en","page":"100376","source":"DOI.org (Crossref)","title":"Barriers to the provision of community-based mental health services at primary healthcare level in northern Nigeria – A mixed methods study","volume":"15","author":[{"family":"Anyebe","given":"Emmanuel Ejembi"},{"family":"Olisah","given":"V.O."},{"family":"Garba","given":"S.N."},{"family":"Murtala","given":"H.H."},{"family":"Danjuma","given":"A."}],"issued":{"date-parts":[["2021"]]}}}],"schema":"https://github.com/citation-style-language/schema/raw/master/csl-citation.json"} </w:instrText>
            </w:r>
            <w:r w:rsidRPr="004834AC">
              <w:rPr>
                <w:rFonts w:ascii="Calibri" w:eastAsia="Times New Roman" w:hAnsi="Calibri" w:cs="Calibri"/>
                <w:i/>
                <w:iCs/>
                <w:color w:val="000000"/>
                <w:kern w:val="0"/>
                <w:sz w:val="16"/>
                <w:szCs w:val="16"/>
                <w14:ligatures w14:val="none"/>
              </w:rPr>
              <w:fldChar w:fldCharType="separate"/>
            </w:r>
            <w:r w:rsidRPr="00910430">
              <w:rPr>
                <w:rFonts w:ascii="Calibri" w:hAnsi="Calibri" w:cs="Calibri"/>
                <w:sz w:val="16"/>
              </w:rPr>
              <w:t>(26)</w:t>
            </w:r>
            <w:r w:rsidRPr="004834AC">
              <w:rPr>
                <w:rFonts w:ascii="Calibri" w:eastAsia="Times New Roman" w:hAnsi="Calibri" w:cs="Calibri"/>
                <w:i/>
                <w:iCs/>
                <w:color w:val="000000"/>
                <w:kern w:val="0"/>
                <w:sz w:val="16"/>
                <w:szCs w:val="16"/>
                <w14:ligatures w14:val="none"/>
              </w:rPr>
              <w:fldChar w:fldCharType="end"/>
            </w:r>
          </w:p>
        </w:tc>
        <w:tc>
          <w:tcPr>
            <w:tcW w:w="466" w:type="pct"/>
            <w:tcBorders>
              <w:top w:val="nil"/>
              <w:left w:val="nil"/>
              <w:bottom w:val="nil"/>
              <w:right w:val="nil"/>
            </w:tcBorders>
            <w:shd w:val="clear" w:color="auto" w:fill="auto"/>
            <w:noWrap/>
            <w:vAlign w:val="center"/>
            <w:hideMark/>
          </w:tcPr>
          <w:p w14:paraId="33BFB3E6"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p>
        </w:tc>
        <w:tc>
          <w:tcPr>
            <w:tcW w:w="447" w:type="pct"/>
            <w:tcBorders>
              <w:top w:val="nil"/>
              <w:left w:val="nil"/>
              <w:bottom w:val="nil"/>
              <w:right w:val="nil"/>
            </w:tcBorders>
            <w:shd w:val="clear" w:color="auto" w:fill="auto"/>
            <w:noWrap/>
            <w:vAlign w:val="center"/>
            <w:hideMark/>
          </w:tcPr>
          <w:p w14:paraId="5C654210"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29" w:type="pct"/>
            <w:tcBorders>
              <w:top w:val="nil"/>
              <w:left w:val="nil"/>
              <w:bottom w:val="nil"/>
              <w:right w:val="nil"/>
            </w:tcBorders>
            <w:shd w:val="clear" w:color="auto" w:fill="auto"/>
            <w:noWrap/>
            <w:vAlign w:val="center"/>
            <w:hideMark/>
          </w:tcPr>
          <w:p w14:paraId="33A452E7"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25" w:type="pct"/>
            <w:tcBorders>
              <w:top w:val="nil"/>
              <w:left w:val="nil"/>
              <w:bottom w:val="nil"/>
              <w:right w:val="nil"/>
            </w:tcBorders>
            <w:shd w:val="clear" w:color="auto" w:fill="auto"/>
            <w:noWrap/>
            <w:vAlign w:val="center"/>
            <w:hideMark/>
          </w:tcPr>
          <w:p w14:paraId="420D41C2"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414" w:type="pct"/>
            <w:tcBorders>
              <w:top w:val="nil"/>
              <w:left w:val="nil"/>
              <w:bottom w:val="nil"/>
              <w:right w:val="nil"/>
            </w:tcBorders>
            <w:shd w:val="clear" w:color="auto" w:fill="auto"/>
            <w:noWrap/>
            <w:vAlign w:val="center"/>
            <w:hideMark/>
          </w:tcPr>
          <w:p w14:paraId="11A08127"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56" w:type="pct"/>
            <w:tcBorders>
              <w:top w:val="nil"/>
              <w:left w:val="nil"/>
              <w:bottom w:val="nil"/>
              <w:right w:val="nil"/>
            </w:tcBorders>
            <w:shd w:val="clear" w:color="auto" w:fill="auto"/>
            <w:vAlign w:val="center"/>
            <w:hideMark/>
          </w:tcPr>
          <w:p w14:paraId="55876831"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59" w:type="pct"/>
            <w:tcBorders>
              <w:top w:val="nil"/>
              <w:left w:val="nil"/>
              <w:bottom w:val="nil"/>
              <w:right w:val="nil"/>
            </w:tcBorders>
            <w:shd w:val="clear" w:color="auto" w:fill="auto"/>
            <w:noWrap/>
            <w:vAlign w:val="center"/>
            <w:hideMark/>
          </w:tcPr>
          <w:p w14:paraId="46B51464"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486" w:type="pct"/>
            <w:tcBorders>
              <w:top w:val="nil"/>
              <w:left w:val="nil"/>
              <w:bottom w:val="nil"/>
              <w:right w:val="nil"/>
            </w:tcBorders>
            <w:shd w:val="clear" w:color="auto" w:fill="auto"/>
            <w:noWrap/>
            <w:vAlign w:val="center"/>
            <w:hideMark/>
          </w:tcPr>
          <w:p w14:paraId="2BDC0C15"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p>
        </w:tc>
      </w:tr>
      <w:tr w:rsidR="0020792C" w:rsidRPr="004834AC" w14:paraId="7EAAAB32" w14:textId="77777777" w:rsidTr="006353F6">
        <w:trPr>
          <w:trHeight w:val="360"/>
        </w:trPr>
        <w:tc>
          <w:tcPr>
            <w:tcW w:w="817" w:type="pct"/>
            <w:tcBorders>
              <w:top w:val="nil"/>
              <w:left w:val="nil"/>
              <w:bottom w:val="nil"/>
              <w:right w:val="nil"/>
            </w:tcBorders>
            <w:shd w:val="clear" w:color="auto" w:fill="auto"/>
            <w:noWrap/>
            <w:vAlign w:val="center"/>
            <w:hideMark/>
          </w:tcPr>
          <w:p w14:paraId="26561431"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 xml:space="preserve">Badu </w:t>
            </w:r>
            <w:r w:rsidRPr="004834AC">
              <w:rPr>
                <w:rFonts w:ascii="Calibri" w:eastAsia="Times New Roman" w:hAnsi="Calibri" w:cs="Calibri"/>
                <w:i/>
                <w:iCs/>
                <w:color w:val="000000"/>
                <w:kern w:val="0"/>
                <w:sz w:val="16"/>
                <w:szCs w:val="16"/>
                <w14:ligatures w14:val="none"/>
              </w:rPr>
              <w:t>et al.</w:t>
            </w:r>
            <w:r w:rsidRPr="004834AC">
              <w:rPr>
                <w:rFonts w:ascii="Calibri" w:eastAsia="Times New Roman" w:hAnsi="Calibri" w:cs="Calibri"/>
                <w:i/>
                <w:iCs/>
                <w:color w:val="000000"/>
                <w:kern w:val="0"/>
                <w:sz w:val="16"/>
                <w:szCs w:val="16"/>
                <w14:ligatures w14:val="none"/>
              </w:rPr>
              <w:fldChar w:fldCharType="begin"/>
            </w:r>
            <w:r>
              <w:rPr>
                <w:rFonts w:ascii="Calibri" w:eastAsia="Times New Roman" w:hAnsi="Calibri" w:cs="Calibri"/>
                <w:i/>
                <w:iCs/>
                <w:color w:val="000000"/>
                <w:kern w:val="0"/>
                <w:sz w:val="16"/>
                <w:szCs w:val="16"/>
                <w14:ligatures w14:val="none"/>
              </w:rPr>
              <w:instrText xml:space="preserve"> ADDIN ZOTERO_ITEM CSL_CITATION {"citationID":"YD9CjKKG","properties":{"formattedCitation":"(8)","plainCitation":"(8)","noteIndex":0},"citationItems":[{"id":4534,"uris":["http://zotero.org/users/11021484/items/39YHA77K"],"itemData":{"id":4534,"type":"article-journal","abstract":"Background: Evidence-based clinical practice is an inherent component of mental health professional practice in developed countries. However, little is known about professional perspectives of evidence-based practice in mental in developing countries such as Ghana. This paper describes the processes involved in the delivery of best practice in Ghana. The paper reports on a realistic evaluation of mental health nurses and allied health professionals’ views on the evidence-based therapeutic process in Ghana.\nMethods: A purposive sample of 30 mental health professionals (MHPs) was recruited to participate in semistructured, in-depth interviews. Thematic analysis was used to analyse the data. A program theory of Context + Mechanism = Outcome (CMO) configuration was developed from the analysis.\nResults: The thematic analysis identified two contexts, mechanism and outcome configurations (themes): 1) technical competency stimulates evidence-based mental health services, and 2) therapeutic relationship building ensures effective interaction. The study demonstrates that contextual factors (technical competencies and therapeutic relationship building) together with mechanisms (intentional and unintentional) help to promote quality in mental health service provision. However, contextual factors such as a lack of sign language interpreters yielded unintended outcomes including barriers to communication with providers for consumers with hearing impairment and those from linguistic minority backgrounds.\nConclusion: Government stakeholders and policymakers should prioritise policies, periodic monitoring and adequate financial incentives to support the mechanisms that promote technical competence in MHPs and the building of therapeutic relationship.","container-title":"BMC Health Services Research","DOI":"10.1186/s12913-021-06993-1","ISSN":"1472-6963","issue":"1","journalAbbreviation":"BMC Health Serv Res","language":"en","page":"1013","source":"DOI.org (Crossref)","title":"A qualitative study of evidence-based therapeutic process in mental health services in Ghana– context-mechanisms-outcomes","volume":"21","author":[{"family":"Badu","given":"Eric"},{"family":"O’Brien","given":"Anthony Paul"},{"family":"Mitchell","given":"Rebecca"},{"family":"Osei","given":"Akwasi"}],"issued":{"date-parts":[["2021",12]]}}}],"schema":"https://github.com/citation-style-language/schema/raw/master/csl-citation.json"} </w:instrText>
            </w:r>
            <w:r w:rsidRPr="004834AC">
              <w:rPr>
                <w:rFonts w:ascii="Calibri" w:eastAsia="Times New Roman" w:hAnsi="Calibri" w:cs="Calibri"/>
                <w:i/>
                <w:iCs/>
                <w:color w:val="000000"/>
                <w:kern w:val="0"/>
                <w:sz w:val="16"/>
                <w:szCs w:val="16"/>
                <w14:ligatures w14:val="none"/>
              </w:rPr>
              <w:fldChar w:fldCharType="separate"/>
            </w:r>
            <w:r w:rsidRPr="00910430">
              <w:rPr>
                <w:rFonts w:ascii="Calibri" w:hAnsi="Calibri" w:cs="Calibri"/>
                <w:sz w:val="16"/>
              </w:rPr>
              <w:t>(8)</w:t>
            </w:r>
            <w:r w:rsidRPr="004834AC">
              <w:rPr>
                <w:rFonts w:ascii="Calibri" w:eastAsia="Times New Roman" w:hAnsi="Calibri" w:cs="Calibri"/>
                <w:i/>
                <w:iCs/>
                <w:color w:val="000000"/>
                <w:kern w:val="0"/>
                <w:sz w:val="16"/>
                <w:szCs w:val="16"/>
                <w14:ligatures w14:val="none"/>
              </w:rPr>
              <w:fldChar w:fldCharType="end"/>
            </w:r>
          </w:p>
        </w:tc>
        <w:tc>
          <w:tcPr>
            <w:tcW w:w="466" w:type="pct"/>
            <w:tcBorders>
              <w:top w:val="nil"/>
              <w:left w:val="nil"/>
              <w:bottom w:val="nil"/>
              <w:right w:val="nil"/>
            </w:tcBorders>
            <w:shd w:val="clear" w:color="auto" w:fill="auto"/>
            <w:noWrap/>
            <w:vAlign w:val="center"/>
            <w:hideMark/>
          </w:tcPr>
          <w:p w14:paraId="4F517052"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p>
        </w:tc>
        <w:tc>
          <w:tcPr>
            <w:tcW w:w="447" w:type="pct"/>
            <w:tcBorders>
              <w:top w:val="nil"/>
              <w:left w:val="nil"/>
              <w:bottom w:val="nil"/>
              <w:right w:val="nil"/>
            </w:tcBorders>
            <w:shd w:val="clear" w:color="auto" w:fill="auto"/>
            <w:noWrap/>
            <w:vAlign w:val="center"/>
            <w:hideMark/>
          </w:tcPr>
          <w:p w14:paraId="024ECF70"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29" w:type="pct"/>
            <w:tcBorders>
              <w:top w:val="nil"/>
              <w:left w:val="nil"/>
              <w:bottom w:val="nil"/>
              <w:right w:val="nil"/>
            </w:tcBorders>
            <w:shd w:val="clear" w:color="auto" w:fill="auto"/>
            <w:noWrap/>
            <w:vAlign w:val="center"/>
            <w:hideMark/>
          </w:tcPr>
          <w:p w14:paraId="2478A068"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25" w:type="pct"/>
            <w:tcBorders>
              <w:top w:val="nil"/>
              <w:left w:val="nil"/>
              <w:bottom w:val="nil"/>
              <w:right w:val="nil"/>
            </w:tcBorders>
            <w:shd w:val="clear" w:color="auto" w:fill="auto"/>
            <w:noWrap/>
            <w:vAlign w:val="center"/>
            <w:hideMark/>
          </w:tcPr>
          <w:p w14:paraId="42AE6969"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414" w:type="pct"/>
            <w:tcBorders>
              <w:top w:val="nil"/>
              <w:left w:val="nil"/>
              <w:bottom w:val="nil"/>
              <w:right w:val="nil"/>
            </w:tcBorders>
            <w:shd w:val="clear" w:color="auto" w:fill="auto"/>
            <w:noWrap/>
            <w:vAlign w:val="center"/>
            <w:hideMark/>
          </w:tcPr>
          <w:p w14:paraId="380EB165"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56" w:type="pct"/>
            <w:tcBorders>
              <w:top w:val="nil"/>
              <w:left w:val="nil"/>
              <w:bottom w:val="nil"/>
              <w:right w:val="nil"/>
            </w:tcBorders>
            <w:shd w:val="clear" w:color="auto" w:fill="auto"/>
            <w:vAlign w:val="center"/>
            <w:hideMark/>
          </w:tcPr>
          <w:p w14:paraId="26B837C6"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59" w:type="pct"/>
            <w:tcBorders>
              <w:top w:val="nil"/>
              <w:left w:val="nil"/>
              <w:bottom w:val="nil"/>
              <w:right w:val="nil"/>
            </w:tcBorders>
            <w:shd w:val="clear" w:color="auto" w:fill="auto"/>
            <w:noWrap/>
            <w:vAlign w:val="center"/>
            <w:hideMark/>
          </w:tcPr>
          <w:p w14:paraId="044076BB"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486" w:type="pct"/>
            <w:tcBorders>
              <w:top w:val="nil"/>
              <w:left w:val="nil"/>
              <w:bottom w:val="nil"/>
              <w:right w:val="nil"/>
            </w:tcBorders>
            <w:shd w:val="clear" w:color="auto" w:fill="auto"/>
            <w:noWrap/>
            <w:vAlign w:val="center"/>
            <w:hideMark/>
          </w:tcPr>
          <w:p w14:paraId="3817A892"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p>
        </w:tc>
      </w:tr>
      <w:tr w:rsidR="0020792C" w:rsidRPr="004834AC" w14:paraId="7AEED096" w14:textId="77777777" w:rsidTr="006353F6">
        <w:trPr>
          <w:trHeight w:val="360"/>
        </w:trPr>
        <w:tc>
          <w:tcPr>
            <w:tcW w:w="817" w:type="pct"/>
            <w:tcBorders>
              <w:top w:val="nil"/>
              <w:left w:val="nil"/>
              <w:bottom w:val="nil"/>
              <w:right w:val="nil"/>
            </w:tcBorders>
            <w:shd w:val="clear" w:color="auto" w:fill="auto"/>
            <w:noWrap/>
            <w:vAlign w:val="center"/>
            <w:hideMark/>
          </w:tcPr>
          <w:p w14:paraId="7476AC46"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Barrow and Faerden</w:t>
            </w:r>
            <w:r w:rsidRPr="004834AC">
              <w:rPr>
                <w:rFonts w:ascii="Calibri" w:eastAsia="Times New Roman" w:hAnsi="Calibri" w:cs="Calibri"/>
                <w:color w:val="000000"/>
                <w:kern w:val="0"/>
                <w:sz w:val="16"/>
                <w:szCs w:val="16"/>
                <w14:ligatures w14:val="none"/>
              </w:rPr>
              <w:fldChar w:fldCharType="begin"/>
            </w:r>
            <w:r>
              <w:rPr>
                <w:rFonts w:ascii="Calibri" w:eastAsia="Times New Roman" w:hAnsi="Calibri" w:cs="Calibri"/>
                <w:color w:val="000000"/>
                <w:kern w:val="0"/>
                <w:sz w:val="16"/>
                <w:szCs w:val="16"/>
                <w14:ligatures w14:val="none"/>
              </w:rPr>
              <w:instrText xml:space="preserve"> ADDIN ZOTERO_ITEM CSL_CITATION {"citationID":"eNS1qGL7","properties":{"formattedCitation":"(17)","plainCitation":"(17)","noteIndex":0},"citationItems":[{"id":4529,"uris":["http://zotero.org/users/11021484/items/E3944ALT"],"itemData":{"id":4529,"type":"article-journal","abstract":"This paper concerns mental health services in The Gambia. It describes local concepts, experiences and knowledge about mental illness and the implications of such beliefs and attitudes for access to mental health services. A pretested questionnaire and interview guide were administered to a sample of patients/family members. Barriers to accessing mental health services were identified. These included beliefs about the causes of mental illness; family decision-making; the scarcity and high cost of services. Obtaining access to mental health services in The Gambia is currently challenging. Importantly, increased community and family education about the causes and treatment of mental illnesses will be required to address these issues.","container-title":"BJPsych International","DOI":"10.1192/bji.2021.26","ISSN":"2056-4740, 2058-6264","issue":"2","journalAbbreviation":"BJPsych Int.","language":"en","page":"38-41","source":"DOI.org (Crossref)","title":"Barriers to accessing mental health services in The Gambia: patients’/family members’ perspectives","title-short":"Barriers to accessing mental health services in The Gambia","volume":"19","author":[{"family":"Barrow","given":"Lamin F. M."},{"family":"Faerden","given":"Ann"}],"issued":{"date-parts":[["2022",5]]}}}],"schema":"https://github.com/citation-style-language/schema/raw/master/csl-citation.json"} </w:instrText>
            </w:r>
            <w:r w:rsidRPr="004834AC">
              <w:rPr>
                <w:rFonts w:ascii="Calibri" w:eastAsia="Times New Roman" w:hAnsi="Calibri" w:cs="Calibri"/>
                <w:color w:val="000000"/>
                <w:kern w:val="0"/>
                <w:sz w:val="16"/>
                <w:szCs w:val="16"/>
                <w14:ligatures w14:val="none"/>
              </w:rPr>
              <w:fldChar w:fldCharType="separate"/>
            </w:r>
            <w:r w:rsidRPr="00910430">
              <w:rPr>
                <w:rFonts w:ascii="Calibri" w:hAnsi="Calibri" w:cs="Calibri"/>
                <w:sz w:val="16"/>
              </w:rPr>
              <w:t>(17)</w:t>
            </w:r>
            <w:r w:rsidRPr="004834AC">
              <w:rPr>
                <w:rFonts w:ascii="Calibri" w:eastAsia="Times New Roman" w:hAnsi="Calibri" w:cs="Calibri"/>
                <w:color w:val="000000"/>
                <w:kern w:val="0"/>
                <w:sz w:val="16"/>
                <w:szCs w:val="16"/>
                <w14:ligatures w14:val="none"/>
              </w:rPr>
              <w:fldChar w:fldCharType="end"/>
            </w:r>
          </w:p>
        </w:tc>
        <w:tc>
          <w:tcPr>
            <w:tcW w:w="466" w:type="pct"/>
            <w:tcBorders>
              <w:top w:val="nil"/>
              <w:left w:val="nil"/>
              <w:bottom w:val="nil"/>
              <w:right w:val="nil"/>
            </w:tcBorders>
            <w:shd w:val="clear" w:color="auto" w:fill="auto"/>
            <w:noWrap/>
            <w:vAlign w:val="center"/>
            <w:hideMark/>
          </w:tcPr>
          <w:p w14:paraId="07BBF73D"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p>
        </w:tc>
        <w:tc>
          <w:tcPr>
            <w:tcW w:w="447" w:type="pct"/>
            <w:tcBorders>
              <w:top w:val="nil"/>
              <w:left w:val="nil"/>
              <w:bottom w:val="nil"/>
              <w:right w:val="nil"/>
            </w:tcBorders>
            <w:shd w:val="clear" w:color="auto" w:fill="auto"/>
            <w:noWrap/>
            <w:vAlign w:val="center"/>
            <w:hideMark/>
          </w:tcPr>
          <w:p w14:paraId="510891BC"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29" w:type="pct"/>
            <w:tcBorders>
              <w:top w:val="nil"/>
              <w:left w:val="nil"/>
              <w:bottom w:val="nil"/>
              <w:right w:val="nil"/>
            </w:tcBorders>
            <w:shd w:val="clear" w:color="auto" w:fill="auto"/>
            <w:noWrap/>
            <w:vAlign w:val="center"/>
            <w:hideMark/>
          </w:tcPr>
          <w:p w14:paraId="50CBCA70"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25" w:type="pct"/>
            <w:tcBorders>
              <w:top w:val="nil"/>
              <w:left w:val="nil"/>
              <w:bottom w:val="nil"/>
              <w:right w:val="nil"/>
            </w:tcBorders>
            <w:shd w:val="clear" w:color="auto" w:fill="auto"/>
            <w:noWrap/>
            <w:vAlign w:val="center"/>
            <w:hideMark/>
          </w:tcPr>
          <w:p w14:paraId="35220F2B"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414" w:type="pct"/>
            <w:tcBorders>
              <w:top w:val="nil"/>
              <w:left w:val="nil"/>
              <w:bottom w:val="nil"/>
              <w:right w:val="nil"/>
            </w:tcBorders>
            <w:shd w:val="clear" w:color="auto" w:fill="auto"/>
            <w:noWrap/>
            <w:vAlign w:val="center"/>
            <w:hideMark/>
          </w:tcPr>
          <w:p w14:paraId="76ACAE59"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56" w:type="pct"/>
            <w:tcBorders>
              <w:top w:val="nil"/>
              <w:left w:val="nil"/>
              <w:bottom w:val="nil"/>
              <w:right w:val="nil"/>
            </w:tcBorders>
            <w:shd w:val="clear" w:color="auto" w:fill="auto"/>
            <w:vAlign w:val="center"/>
            <w:hideMark/>
          </w:tcPr>
          <w:p w14:paraId="59A98258"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59" w:type="pct"/>
            <w:tcBorders>
              <w:top w:val="nil"/>
              <w:left w:val="nil"/>
              <w:bottom w:val="nil"/>
              <w:right w:val="nil"/>
            </w:tcBorders>
            <w:shd w:val="clear" w:color="auto" w:fill="auto"/>
            <w:noWrap/>
            <w:vAlign w:val="center"/>
            <w:hideMark/>
          </w:tcPr>
          <w:p w14:paraId="56FA471B"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486" w:type="pct"/>
            <w:tcBorders>
              <w:top w:val="nil"/>
              <w:left w:val="nil"/>
              <w:bottom w:val="nil"/>
              <w:right w:val="nil"/>
            </w:tcBorders>
            <w:shd w:val="clear" w:color="auto" w:fill="auto"/>
            <w:noWrap/>
            <w:vAlign w:val="center"/>
            <w:hideMark/>
          </w:tcPr>
          <w:p w14:paraId="5A86A82E"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p>
        </w:tc>
      </w:tr>
      <w:tr w:rsidR="0020792C" w:rsidRPr="004834AC" w14:paraId="22A3287E" w14:textId="77777777" w:rsidTr="006353F6">
        <w:trPr>
          <w:trHeight w:val="360"/>
        </w:trPr>
        <w:tc>
          <w:tcPr>
            <w:tcW w:w="817" w:type="pct"/>
            <w:tcBorders>
              <w:top w:val="nil"/>
              <w:left w:val="nil"/>
              <w:bottom w:val="nil"/>
              <w:right w:val="nil"/>
            </w:tcBorders>
            <w:shd w:val="clear" w:color="auto" w:fill="auto"/>
            <w:noWrap/>
            <w:vAlign w:val="center"/>
            <w:hideMark/>
          </w:tcPr>
          <w:p w14:paraId="36C50F91"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 xml:space="preserve">Cohen </w:t>
            </w:r>
            <w:r w:rsidRPr="004834AC">
              <w:rPr>
                <w:rFonts w:ascii="Calibri" w:eastAsia="Times New Roman" w:hAnsi="Calibri" w:cs="Calibri"/>
                <w:i/>
                <w:iCs/>
                <w:color w:val="000000"/>
                <w:kern w:val="0"/>
                <w:sz w:val="16"/>
                <w:szCs w:val="16"/>
                <w14:ligatures w14:val="none"/>
              </w:rPr>
              <w:t>et al.</w:t>
            </w:r>
            <w:r w:rsidRPr="004834AC">
              <w:rPr>
                <w:rFonts w:ascii="Calibri" w:eastAsia="Times New Roman" w:hAnsi="Calibri" w:cs="Calibri"/>
                <w:i/>
                <w:iCs/>
                <w:color w:val="000000"/>
                <w:kern w:val="0"/>
                <w:sz w:val="16"/>
                <w:szCs w:val="16"/>
                <w14:ligatures w14:val="none"/>
              </w:rPr>
              <w:fldChar w:fldCharType="begin"/>
            </w:r>
            <w:r>
              <w:rPr>
                <w:rFonts w:ascii="Calibri" w:eastAsia="Times New Roman" w:hAnsi="Calibri" w:cs="Calibri"/>
                <w:i/>
                <w:iCs/>
                <w:color w:val="000000"/>
                <w:kern w:val="0"/>
                <w:sz w:val="16"/>
                <w:szCs w:val="16"/>
                <w14:ligatures w14:val="none"/>
              </w:rPr>
              <w:instrText xml:space="preserve"> ADDIN ZOTERO_ITEM CSL_CITATION {"citationID":"aiZ2rDVK","properties":{"formattedCitation":"(11)","plainCitation":"(11)","noteIndex":0},"citationItems":[{"id":2041,"uris":["http://zotero.org/users/11021484/items/MKUDNXSE"],"itemData":{"id":2041,"type":"article-journal","abstract":"Over the past four decades, there has been increasing interest in Self-Help Groups, by mental health services users and caregivers, alike. Research in high-income countries suggests that participation in SHGs is associated with decreased use of inpatient facilities, improved social functioning among service users, and decreased caregiver burden. The formation of SHGs has become an important component of mental health programmes operated by non-governmental organisations (NGOs) in low-income countries. However, there has been relatively little research examining the benefits of SHGs in this context.","container-title":"International Journal of Mental Health Systems","DOI":"10.1186/1752-4458-6-1","ISSN":"1752-4458","issue":"1","journalAbbreviation":"Int J Ment Health Syst","language":"en","page":"1","source":"Springer Link","title":"Sitting with others: mental health self-help groups in northern Ghana","title-short":"Sitting with others","volume":"6","author":[{"family":"Cohen","given":"Alex"},{"family":"Raja","given":"Shoba"},{"family":"Underhill","given":"Chris"},{"family":"Yaro","given":"Badimak Peter"},{"family":"Dokurugu","given":"Adam Yahaya"},{"family":"De Silva","given":"Mary"},{"family":"Patel","given":"Vikram"}],"issued":{"date-parts":[["2012",3,21]]}}}],"schema":"https://github.com/citation-style-language/schema/raw/master/csl-citation.json"} </w:instrText>
            </w:r>
            <w:r w:rsidRPr="004834AC">
              <w:rPr>
                <w:rFonts w:ascii="Calibri" w:eastAsia="Times New Roman" w:hAnsi="Calibri" w:cs="Calibri"/>
                <w:i/>
                <w:iCs/>
                <w:color w:val="000000"/>
                <w:kern w:val="0"/>
                <w:sz w:val="16"/>
                <w:szCs w:val="16"/>
                <w14:ligatures w14:val="none"/>
              </w:rPr>
              <w:fldChar w:fldCharType="separate"/>
            </w:r>
            <w:r w:rsidRPr="00910430">
              <w:rPr>
                <w:rFonts w:ascii="Calibri" w:hAnsi="Calibri" w:cs="Calibri"/>
                <w:sz w:val="16"/>
              </w:rPr>
              <w:t>(11)</w:t>
            </w:r>
            <w:r w:rsidRPr="004834AC">
              <w:rPr>
                <w:rFonts w:ascii="Calibri" w:eastAsia="Times New Roman" w:hAnsi="Calibri" w:cs="Calibri"/>
                <w:i/>
                <w:iCs/>
                <w:color w:val="000000"/>
                <w:kern w:val="0"/>
                <w:sz w:val="16"/>
                <w:szCs w:val="16"/>
                <w14:ligatures w14:val="none"/>
              </w:rPr>
              <w:fldChar w:fldCharType="end"/>
            </w:r>
          </w:p>
        </w:tc>
        <w:tc>
          <w:tcPr>
            <w:tcW w:w="466" w:type="pct"/>
            <w:tcBorders>
              <w:top w:val="nil"/>
              <w:left w:val="nil"/>
              <w:bottom w:val="nil"/>
              <w:right w:val="nil"/>
            </w:tcBorders>
            <w:shd w:val="clear" w:color="auto" w:fill="auto"/>
            <w:noWrap/>
            <w:vAlign w:val="center"/>
            <w:hideMark/>
          </w:tcPr>
          <w:p w14:paraId="40F2F7EE"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p>
        </w:tc>
        <w:tc>
          <w:tcPr>
            <w:tcW w:w="447" w:type="pct"/>
            <w:tcBorders>
              <w:top w:val="nil"/>
              <w:left w:val="nil"/>
              <w:bottom w:val="nil"/>
              <w:right w:val="nil"/>
            </w:tcBorders>
            <w:shd w:val="clear" w:color="auto" w:fill="auto"/>
            <w:noWrap/>
            <w:vAlign w:val="center"/>
            <w:hideMark/>
          </w:tcPr>
          <w:p w14:paraId="441E3F86"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529" w:type="pct"/>
            <w:tcBorders>
              <w:top w:val="nil"/>
              <w:left w:val="nil"/>
              <w:bottom w:val="nil"/>
              <w:right w:val="nil"/>
            </w:tcBorders>
            <w:shd w:val="clear" w:color="auto" w:fill="auto"/>
            <w:noWrap/>
            <w:vAlign w:val="center"/>
            <w:hideMark/>
          </w:tcPr>
          <w:p w14:paraId="5777DE41"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625" w:type="pct"/>
            <w:tcBorders>
              <w:top w:val="nil"/>
              <w:left w:val="nil"/>
              <w:bottom w:val="nil"/>
              <w:right w:val="nil"/>
            </w:tcBorders>
            <w:shd w:val="clear" w:color="auto" w:fill="auto"/>
            <w:noWrap/>
            <w:vAlign w:val="center"/>
            <w:hideMark/>
          </w:tcPr>
          <w:p w14:paraId="2C965701"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414" w:type="pct"/>
            <w:tcBorders>
              <w:top w:val="nil"/>
              <w:left w:val="nil"/>
              <w:bottom w:val="nil"/>
              <w:right w:val="nil"/>
            </w:tcBorders>
            <w:shd w:val="clear" w:color="auto" w:fill="auto"/>
            <w:noWrap/>
            <w:vAlign w:val="center"/>
            <w:hideMark/>
          </w:tcPr>
          <w:p w14:paraId="1E9490B7"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556" w:type="pct"/>
            <w:tcBorders>
              <w:top w:val="nil"/>
              <w:left w:val="nil"/>
              <w:bottom w:val="nil"/>
              <w:right w:val="nil"/>
            </w:tcBorders>
            <w:shd w:val="clear" w:color="auto" w:fill="auto"/>
            <w:vAlign w:val="center"/>
            <w:hideMark/>
          </w:tcPr>
          <w:p w14:paraId="44807DAB"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p>
        </w:tc>
        <w:tc>
          <w:tcPr>
            <w:tcW w:w="659" w:type="pct"/>
            <w:tcBorders>
              <w:top w:val="nil"/>
              <w:left w:val="nil"/>
              <w:bottom w:val="nil"/>
              <w:right w:val="nil"/>
            </w:tcBorders>
            <w:shd w:val="clear" w:color="auto" w:fill="auto"/>
            <w:noWrap/>
            <w:vAlign w:val="center"/>
            <w:hideMark/>
          </w:tcPr>
          <w:p w14:paraId="1061E403"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486" w:type="pct"/>
            <w:tcBorders>
              <w:top w:val="nil"/>
              <w:left w:val="nil"/>
              <w:bottom w:val="nil"/>
              <w:right w:val="nil"/>
            </w:tcBorders>
            <w:shd w:val="clear" w:color="auto" w:fill="auto"/>
            <w:noWrap/>
            <w:vAlign w:val="center"/>
            <w:hideMark/>
          </w:tcPr>
          <w:p w14:paraId="1675073B"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r>
      <w:tr w:rsidR="0020792C" w:rsidRPr="004834AC" w14:paraId="77AB71AA" w14:textId="77777777" w:rsidTr="006353F6">
        <w:trPr>
          <w:trHeight w:val="360"/>
        </w:trPr>
        <w:tc>
          <w:tcPr>
            <w:tcW w:w="817" w:type="pct"/>
            <w:tcBorders>
              <w:top w:val="nil"/>
              <w:left w:val="nil"/>
              <w:bottom w:val="nil"/>
              <w:right w:val="nil"/>
            </w:tcBorders>
            <w:shd w:val="clear" w:color="auto" w:fill="auto"/>
            <w:noWrap/>
            <w:vAlign w:val="center"/>
            <w:hideMark/>
          </w:tcPr>
          <w:p w14:paraId="68553D3E"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 xml:space="preserve">Elugbadebo </w:t>
            </w:r>
            <w:r w:rsidRPr="004834AC">
              <w:rPr>
                <w:rFonts w:ascii="Calibri" w:eastAsia="Times New Roman" w:hAnsi="Calibri" w:cs="Calibri"/>
                <w:i/>
                <w:iCs/>
                <w:color w:val="000000"/>
                <w:kern w:val="0"/>
                <w:sz w:val="16"/>
                <w:szCs w:val="16"/>
                <w14:ligatures w14:val="none"/>
              </w:rPr>
              <w:t>et al.</w:t>
            </w:r>
            <w:r w:rsidRPr="004834AC">
              <w:rPr>
                <w:rFonts w:ascii="Calibri" w:eastAsia="Times New Roman" w:hAnsi="Calibri" w:cs="Calibri"/>
                <w:i/>
                <w:iCs/>
                <w:color w:val="000000"/>
                <w:kern w:val="0"/>
                <w:sz w:val="16"/>
                <w:szCs w:val="16"/>
                <w14:ligatures w14:val="none"/>
              </w:rPr>
              <w:fldChar w:fldCharType="begin"/>
            </w:r>
            <w:r>
              <w:rPr>
                <w:rFonts w:ascii="Calibri" w:eastAsia="Times New Roman" w:hAnsi="Calibri" w:cs="Calibri"/>
                <w:i/>
                <w:iCs/>
                <w:color w:val="000000"/>
                <w:kern w:val="0"/>
                <w:sz w:val="16"/>
                <w:szCs w:val="16"/>
                <w14:ligatures w14:val="none"/>
              </w:rPr>
              <w:instrText xml:space="preserve"> ADDIN ZOTERO_ITEM CSL_CITATION {"citationID":"hl5ukGIy","properties":{"formattedCitation":"(27)","plainCitation":"(27)","noteIndex":0},"citationItems":[{"id":4524,"uris":["http://zotero.org/users/11021484/items/BB53IDRN"],"itemData":{"id":4524,"type":"article-journal","abstract":"We examined frequency and reasons for dropout from follow-up care at an outpatient mental health service for older people in South-Western Nigeria. This was a cross-sectional study. Administrative reviews of 201 case records of clinic attendees who received a psychiatric diagnosis that required follow-up consultations were conducted. Records were those of patients seen between January 2015 and December 2017. Chart extraction was followed by Key Informant Interview (KII) to explore the reasons for drop out and partial non-attendance. We identified 37(18.4%) regular clinic attendees, as well as 147(73.1%) and 17(8.5%) dropout and partially attending patients, respectively. Approximately 45.6% of the dropouts occurred after the first consultation. In KII, distance from the hospital, long waiting times and financial constraints were the common reasons for dropout. The findings of this study should inform the development of strategies to improve access to mental health services in Nigeria and other low- and middle-income countries.","container-title":"Community Mental Health Journal","DOI":"10.1007/s10597-020-00768-4","ISSN":"0010-3853, 1573-2789","issue":"8","journalAbbreviation":"Community Ment Health J","language":"en","page":"1518-1524","source":"DOI.org (Crossref)","title":"Access and Discontinuity of Care at an Outpatient Mental Health Service for Older People in South Western Nigeria","volume":"57","author":[{"family":"Elugbadebo","given":"O."},{"family":"Ojagbemi","given":"A."},{"family":"Adefolarin","given":"A."},{"family":"Gureje","given":"O."}],"issued":{"date-parts":[["2021",11]]}}}],"schema":"https://github.com/citation-style-language/schema/raw/master/csl-citation.json"} </w:instrText>
            </w:r>
            <w:r w:rsidRPr="004834AC">
              <w:rPr>
                <w:rFonts w:ascii="Calibri" w:eastAsia="Times New Roman" w:hAnsi="Calibri" w:cs="Calibri"/>
                <w:i/>
                <w:iCs/>
                <w:color w:val="000000"/>
                <w:kern w:val="0"/>
                <w:sz w:val="16"/>
                <w:szCs w:val="16"/>
                <w14:ligatures w14:val="none"/>
              </w:rPr>
              <w:fldChar w:fldCharType="separate"/>
            </w:r>
            <w:r w:rsidRPr="00910430">
              <w:rPr>
                <w:rFonts w:ascii="Calibri" w:hAnsi="Calibri" w:cs="Calibri"/>
                <w:sz w:val="16"/>
              </w:rPr>
              <w:t>(27)</w:t>
            </w:r>
            <w:r w:rsidRPr="004834AC">
              <w:rPr>
                <w:rFonts w:ascii="Calibri" w:eastAsia="Times New Roman" w:hAnsi="Calibri" w:cs="Calibri"/>
                <w:i/>
                <w:iCs/>
                <w:color w:val="000000"/>
                <w:kern w:val="0"/>
                <w:sz w:val="16"/>
                <w:szCs w:val="16"/>
                <w14:ligatures w14:val="none"/>
              </w:rPr>
              <w:fldChar w:fldCharType="end"/>
            </w:r>
            <w:r w:rsidRPr="004834AC">
              <w:rPr>
                <w:rFonts w:ascii="Calibri" w:eastAsia="Times New Roman" w:hAnsi="Calibri" w:cs="Calibri"/>
                <w:color w:val="000000"/>
                <w:kern w:val="0"/>
                <w:sz w:val="16"/>
                <w:szCs w:val="16"/>
                <w14:ligatures w14:val="none"/>
              </w:rPr>
              <w:t xml:space="preserve"> </w:t>
            </w:r>
          </w:p>
        </w:tc>
        <w:tc>
          <w:tcPr>
            <w:tcW w:w="466" w:type="pct"/>
            <w:tcBorders>
              <w:top w:val="nil"/>
              <w:left w:val="nil"/>
              <w:bottom w:val="nil"/>
              <w:right w:val="nil"/>
            </w:tcBorders>
            <w:shd w:val="clear" w:color="auto" w:fill="auto"/>
            <w:noWrap/>
            <w:vAlign w:val="center"/>
            <w:hideMark/>
          </w:tcPr>
          <w:p w14:paraId="291B5AB4"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p>
        </w:tc>
        <w:tc>
          <w:tcPr>
            <w:tcW w:w="447" w:type="pct"/>
            <w:tcBorders>
              <w:top w:val="nil"/>
              <w:left w:val="nil"/>
              <w:bottom w:val="nil"/>
              <w:right w:val="nil"/>
            </w:tcBorders>
            <w:shd w:val="clear" w:color="auto" w:fill="auto"/>
            <w:noWrap/>
            <w:vAlign w:val="center"/>
            <w:hideMark/>
          </w:tcPr>
          <w:p w14:paraId="19736371"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29" w:type="pct"/>
            <w:tcBorders>
              <w:top w:val="nil"/>
              <w:left w:val="nil"/>
              <w:bottom w:val="nil"/>
              <w:right w:val="nil"/>
            </w:tcBorders>
            <w:shd w:val="clear" w:color="auto" w:fill="auto"/>
            <w:noWrap/>
            <w:vAlign w:val="center"/>
            <w:hideMark/>
          </w:tcPr>
          <w:p w14:paraId="7ABA946E"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25" w:type="pct"/>
            <w:tcBorders>
              <w:top w:val="nil"/>
              <w:left w:val="nil"/>
              <w:bottom w:val="nil"/>
              <w:right w:val="nil"/>
            </w:tcBorders>
            <w:shd w:val="clear" w:color="auto" w:fill="auto"/>
            <w:noWrap/>
            <w:vAlign w:val="center"/>
            <w:hideMark/>
          </w:tcPr>
          <w:p w14:paraId="62DD2A82"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414" w:type="pct"/>
            <w:tcBorders>
              <w:top w:val="nil"/>
              <w:left w:val="nil"/>
              <w:bottom w:val="nil"/>
              <w:right w:val="nil"/>
            </w:tcBorders>
            <w:shd w:val="clear" w:color="auto" w:fill="auto"/>
            <w:noWrap/>
            <w:vAlign w:val="center"/>
            <w:hideMark/>
          </w:tcPr>
          <w:p w14:paraId="59B4A274"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56" w:type="pct"/>
            <w:tcBorders>
              <w:top w:val="nil"/>
              <w:left w:val="nil"/>
              <w:bottom w:val="nil"/>
              <w:right w:val="nil"/>
            </w:tcBorders>
            <w:shd w:val="clear" w:color="auto" w:fill="auto"/>
            <w:vAlign w:val="center"/>
            <w:hideMark/>
          </w:tcPr>
          <w:p w14:paraId="01C92532"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59" w:type="pct"/>
            <w:tcBorders>
              <w:top w:val="nil"/>
              <w:left w:val="nil"/>
              <w:bottom w:val="nil"/>
              <w:right w:val="nil"/>
            </w:tcBorders>
            <w:shd w:val="clear" w:color="auto" w:fill="auto"/>
            <w:noWrap/>
            <w:vAlign w:val="center"/>
            <w:hideMark/>
          </w:tcPr>
          <w:p w14:paraId="1CA4959B"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486" w:type="pct"/>
            <w:tcBorders>
              <w:top w:val="nil"/>
              <w:left w:val="nil"/>
              <w:bottom w:val="nil"/>
              <w:right w:val="nil"/>
            </w:tcBorders>
            <w:shd w:val="clear" w:color="auto" w:fill="auto"/>
            <w:noWrap/>
            <w:vAlign w:val="center"/>
            <w:hideMark/>
          </w:tcPr>
          <w:p w14:paraId="710C15C1"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p>
        </w:tc>
      </w:tr>
      <w:tr w:rsidR="0020792C" w:rsidRPr="004834AC" w14:paraId="7A99A7BE" w14:textId="77777777" w:rsidTr="006353F6">
        <w:trPr>
          <w:trHeight w:val="360"/>
        </w:trPr>
        <w:tc>
          <w:tcPr>
            <w:tcW w:w="817" w:type="pct"/>
            <w:tcBorders>
              <w:top w:val="nil"/>
              <w:left w:val="nil"/>
              <w:bottom w:val="nil"/>
              <w:right w:val="nil"/>
            </w:tcBorders>
            <w:shd w:val="clear" w:color="auto" w:fill="auto"/>
            <w:noWrap/>
            <w:vAlign w:val="center"/>
            <w:hideMark/>
          </w:tcPr>
          <w:p w14:paraId="07347DF9"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 xml:space="preserve">Fitts </w:t>
            </w:r>
            <w:r w:rsidRPr="004834AC">
              <w:rPr>
                <w:rFonts w:ascii="Calibri" w:eastAsia="Times New Roman" w:hAnsi="Calibri" w:cs="Calibri"/>
                <w:i/>
                <w:iCs/>
                <w:color w:val="000000"/>
                <w:kern w:val="0"/>
                <w:sz w:val="16"/>
                <w:szCs w:val="16"/>
                <w14:ligatures w14:val="none"/>
              </w:rPr>
              <w:t>et al.</w:t>
            </w:r>
            <w:r w:rsidRPr="004834AC">
              <w:rPr>
                <w:rFonts w:ascii="Calibri" w:eastAsia="Times New Roman" w:hAnsi="Calibri" w:cs="Calibri"/>
                <w:i/>
                <w:iCs/>
                <w:color w:val="000000"/>
                <w:kern w:val="0"/>
                <w:sz w:val="16"/>
                <w:szCs w:val="16"/>
                <w14:ligatures w14:val="none"/>
              </w:rPr>
              <w:fldChar w:fldCharType="begin"/>
            </w:r>
            <w:r>
              <w:rPr>
                <w:rFonts w:ascii="Calibri" w:eastAsia="Times New Roman" w:hAnsi="Calibri" w:cs="Calibri"/>
                <w:i/>
                <w:iCs/>
                <w:color w:val="000000"/>
                <w:kern w:val="0"/>
                <w:sz w:val="16"/>
                <w:szCs w:val="16"/>
                <w14:ligatures w14:val="none"/>
              </w:rPr>
              <w:instrText xml:space="preserve"> ADDIN ZOTERO_ITEM CSL_CITATION {"citationID":"ZPZf7vwQ","properties":{"formattedCitation":"(20)","plainCitation":"(20)","noteIndex":0},"citationItems":[{"id":4578,"uris":["http://zotero.org/users/11021484/items/3XJFD88D"],"itemData":{"id":4578,"type":"article-journal","abstract":"Though mental and substance use disorders are a leading cause of disability worldwide, mental health systems are vastly under-resourced in most low- and middle-income countries and the majority of people with serious mental health needs receives no formal treatment. Despite international calls for the integration of mental health into routine care, availability of outpatient mental health services and integration of mental health into the broader healthcare system remain weak in many countries. Efforts to strengthen mental healthcare systems must be informed by the local context, with attention to key health system components. The current study is a qualitative analysis of stakeholder perspectives on mental health system strengthening in one low-income country, Sierra Leone. It utilizes locally grounded knowledge from frontline healthcare providers to identify constraints and opportunities for strengthening mental health care within each component of the health system. In-depth semi-structured interviews were conducted with 43 participants including doctors, nurses, community health workers, mental health advocates, mental health specialists, and traditional healers recruited from the Bo, Moyamba and Western Area Urban Districts. Interview transcripts were content-coded in NVivo using both a priori and emergent codes and aggregated into broader themes, utilizing the World Health Organization Health Systems Framework. Participants described an extremely limited system of mental health care, with constraints and obstacles within each health system component. Participants identiﬁed potential strategies to help overcome these constraints. Findings reinforce the importance of factors outside of the healthcare system that shape the implementation of mental health initiatives, including pervasive stigma towards mental illness, local conceptualizations of mental illness and an emphasis on traditional treatment approaches. Implications for mental health initiatives in Sierra Leone and other low-income countries include a need for investment in primary care clinics to support integrated mental health services and the importance of engaging communities to promote the utilization of mental health services.","container-title":"Health Policy and Planning","DOI":"10.1093/heapol/czaa029","ISSN":"0268-1080, 1460-2237","issue":"6","language":"en","page":"657-664","source":"DOI.org (Crossref)","title":"Strengthening mental health services in Sierra Leone: perspectives from within the health system","title-short":"Strengthening mental health services in Sierra Leone","volume":"35","author":[{"family":"Fitts","given":"Jessica J"},{"family":"Gegbe","given":"Fatmata"},{"family":"Aber","given":"Mark S"},{"family":"Kaitibi","given":"Daniel"},{"family":"Yokie","given":"Musa Aziz"}],"issued":{"date-parts":[["2020",7,1]]}}}],"schema":"https://github.com/citation-style-language/schema/raw/master/csl-citation.json"} </w:instrText>
            </w:r>
            <w:r w:rsidRPr="004834AC">
              <w:rPr>
                <w:rFonts w:ascii="Calibri" w:eastAsia="Times New Roman" w:hAnsi="Calibri" w:cs="Calibri"/>
                <w:i/>
                <w:iCs/>
                <w:color w:val="000000"/>
                <w:kern w:val="0"/>
                <w:sz w:val="16"/>
                <w:szCs w:val="16"/>
                <w14:ligatures w14:val="none"/>
              </w:rPr>
              <w:fldChar w:fldCharType="separate"/>
            </w:r>
            <w:r w:rsidRPr="00910430">
              <w:rPr>
                <w:rFonts w:ascii="Calibri" w:hAnsi="Calibri" w:cs="Calibri"/>
                <w:sz w:val="16"/>
              </w:rPr>
              <w:t>(20)</w:t>
            </w:r>
            <w:r w:rsidRPr="004834AC">
              <w:rPr>
                <w:rFonts w:ascii="Calibri" w:eastAsia="Times New Roman" w:hAnsi="Calibri" w:cs="Calibri"/>
                <w:i/>
                <w:iCs/>
                <w:color w:val="000000"/>
                <w:kern w:val="0"/>
                <w:sz w:val="16"/>
                <w:szCs w:val="16"/>
                <w14:ligatures w14:val="none"/>
              </w:rPr>
              <w:fldChar w:fldCharType="end"/>
            </w:r>
          </w:p>
        </w:tc>
        <w:tc>
          <w:tcPr>
            <w:tcW w:w="466" w:type="pct"/>
            <w:tcBorders>
              <w:top w:val="nil"/>
              <w:left w:val="nil"/>
              <w:bottom w:val="nil"/>
              <w:right w:val="nil"/>
            </w:tcBorders>
            <w:shd w:val="clear" w:color="auto" w:fill="auto"/>
            <w:noWrap/>
            <w:vAlign w:val="center"/>
            <w:hideMark/>
          </w:tcPr>
          <w:p w14:paraId="03D16CA3"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p>
        </w:tc>
        <w:tc>
          <w:tcPr>
            <w:tcW w:w="447" w:type="pct"/>
            <w:tcBorders>
              <w:top w:val="nil"/>
              <w:left w:val="nil"/>
              <w:bottom w:val="nil"/>
              <w:right w:val="nil"/>
            </w:tcBorders>
            <w:shd w:val="clear" w:color="auto" w:fill="auto"/>
            <w:noWrap/>
            <w:vAlign w:val="center"/>
            <w:hideMark/>
          </w:tcPr>
          <w:p w14:paraId="14415F04"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29" w:type="pct"/>
            <w:tcBorders>
              <w:top w:val="nil"/>
              <w:left w:val="nil"/>
              <w:bottom w:val="nil"/>
              <w:right w:val="nil"/>
            </w:tcBorders>
            <w:shd w:val="clear" w:color="auto" w:fill="auto"/>
            <w:noWrap/>
            <w:vAlign w:val="center"/>
            <w:hideMark/>
          </w:tcPr>
          <w:p w14:paraId="2AE6DFF7"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25" w:type="pct"/>
            <w:tcBorders>
              <w:top w:val="nil"/>
              <w:left w:val="nil"/>
              <w:bottom w:val="nil"/>
              <w:right w:val="nil"/>
            </w:tcBorders>
            <w:shd w:val="clear" w:color="auto" w:fill="auto"/>
            <w:noWrap/>
            <w:vAlign w:val="center"/>
            <w:hideMark/>
          </w:tcPr>
          <w:p w14:paraId="762AD374"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414" w:type="pct"/>
            <w:tcBorders>
              <w:top w:val="nil"/>
              <w:left w:val="nil"/>
              <w:bottom w:val="nil"/>
              <w:right w:val="nil"/>
            </w:tcBorders>
            <w:shd w:val="clear" w:color="auto" w:fill="auto"/>
            <w:noWrap/>
            <w:vAlign w:val="center"/>
            <w:hideMark/>
          </w:tcPr>
          <w:p w14:paraId="63FF0957"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56" w:type="pct"/>
            <w:tcBorders>
              <w:top w:val="nil"/>
              <w:left w:val="nil"/>
              <w:bottom w:val="nil"/>
              <w:right w:val="nil"/>
            </w:tcBorders>
            <w:shd w:val="clear" w:color="auto" w:fill="auto"/>
            <w:vAlign w:val="center"/>
            <w:hideMark/>
          </w:tcPr>
          <w:p w14:paraId="4A1646B7"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59" w:type="pct"/>
            <w:tcBorders>
              <w:top w:val="nil"/>
              <w:left w:val="nil"/>
              <w:bottom w:val="nil"/>
              <w:right w:val="nil"/>
            </w:tcBorders>
            <w:shd w:val="clear" w:color="auto" w:fill="auto"/>
            <w:noWrap/>
            <w:vAlign w:val="center"/>
            <w:hideMark/>
          </w:tcPr>
          <w:p w14:paraId="53A3BAD6"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486" w:type="pct"/>
            <w:tcBorders>
              <w:top w:val="nil"/>
              <w:left w:val="nil"/>
              <w:bottom w:val="nil"/>
              <w:right w:val="nil"/>
            </w:tcBorders>
            <w:shd w:val="clear" w:color="auto" w:fill="auto"/>
            <w:noWrap/>
            <w:vAlign w:val="center"/>
            <w:hideMark/>
          </w:tcPr>
          <w:p w14:paraId="4B439436"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p>
        </w:tc>
      </w:tr>
      <w:tr w:rsidR="0020792C" w:rsidRPr="004834AC" w14:paraId="0639C47C" w14:textId="77777777" w:rsidTr="006353F6">
        <w:trPr>
          <w:trHeight w:val="360"/>
        </w:trPr>
        <w:tc>
          <w:tcPr>
            <w:tcW w:w="817" w:type="pct"/>
            <w:tcBorders>
              <w:top w:val="nil"/>
              <w:left w:val="nil"/>
              <w:bottom w:val="nil"/>
              <w:right w:val="nil"/>
            </w:tcBorders>
            <w:shd w:val="clear" w:color="auto" w:fill="auto"/>
            <w:noWrap/>
            <w:vAlign w:val="center"/>
            <w:hideMark/>
          </w:tcPr>
          <w:p w14:paraId="73C512D7"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 xml:space="preserve">Gwaikolo </w:t>
            </w:r>
            <w:r w:rsidRPr="004834AC">
              <w:rPr>
                <w:rFonts w:ascii="Calibri" w:eastAsia="Times New Roman" w:hAnsi="Calibri" w:cs="Calibri"/>
                <w:i/>
                <w:iCs/>
                <w:color w:val="000000"/>
                <w:kern w:val="0"/>
                <w:sz w:val="16"/>
                <w:szCs w:val="16"/>
                <w14:ligatures w14:val="none"/>
              </w:rPr>
              <w:t>et al.</w:t>
            </w:r>
            <w:r w:rsidRPr="004834AC">
              <w:rPr>
                <w:rFonts w:ascii="Calibri" w:eastAsia="Times New Roman" w:hAnsi="Calibri" w:cs="Calibri"/>
                <w:i/>
                <w:iCs/>
                <w:color w:val="000000"/>
                <w:kern w:val="0"/>
                <w:sz w:val="16"/>
                <w:szCs w:val="16"/>
                <w14:ligatures w14:val="none"/>
              </w:rPr>
              <w:fldChar w:fldCharType="begin"/>
            </w:r>
            <w:r>
              <w:rPr>
                <w:rFonts w:ascii="Calibri" w:eastAsia="Times New Roman" w:hAnsi="Calibri" w:cs="Calibri"/>
                <w:i/>
                <w:iCs/>
                <w:color w:val="000000"/>
                <w:kern w:val="0"/>
                <w:sz w:val="16"/>
                <w:szCs w:val="16"/>
                <w14:ligatures w14:val="none"/>
              </w:rPr>
              <w:instrText xml:space="preserve"> ADDIN ZOTERO_ITEM CSL_CITATION {"citationID":"C3OWO0ua","properties":{"formattedCitation":"(28)","plainCitation":"(28)","noteIndex":0},"citationItems":[{"id":1974,"uris":["http://zotero.org/users/11021484/items/AYFL3X88"],"itemData":{"id":1974,"type":"article-journal","abstract":"BACKGROUND: There are increasing efforts and attention focused on the delivery of mental health services in primary care in low resource settings (e.g., mental health Gap Action Programme, mhGAP). However, less attention is devoted to systematic approaches that identify and address barriers to the development and uptake of mental health services within primary care in low-resource settings. Our objective was to prepare for optimal uptake by identifying barriers in rural Liberia. The country's need for mental health services is compounded by a 14-year history of political violence and the largest Ebola virus disease outbreak in history. Both events have immediate and lasting mental health effects.\nMETHODS: A mixed-methods approach was employed, consisting of qualitative interviews with 22 key informants and six focus group discussions. Additional qualitative data as well as quantitative data were collected through semi-structured assessments of 19 rural primary care health facilities. Data were collected from March 2013 to March 2014.\nRESULTS: Potential barriers to development and uptake of mental health services included lack of mental health knowledge among primary health care staff; high workload for primary health care workers precluding addition of mental health responsibilities; lack of mental health drugs; poor physical infrastructure of health facilities including lack of space for confidential consultation; poor communication support including lack of electricity and mobile phone networks that prevent referrals and phone consultation with supervisors; absence of transportation for patients to facilitate referrals; negative attitudes and stigma towards people with severe mental disorders and their family members; and stigma against mental health workers.\nCONCLUSIONS: To develop and facilitate effective primary care mental health services in a post-conflict, low resource setting will require (1) addressing the knowledge and clinical skills gap in the primary care workforce; (2) improving physical infrastructure of health facilities at care delivery points; and (3) implementing concurrent interventions designed to improve attitudes towards people with mental illness, their family members and mental health care providers.","container-title":"BMC health services research","DOI":"10.1186/s12913-017-2447-1","ISSN":"1472-6963","issue":"1","journalAbbreviation":"BMC Health Serv Res","language":"eng","note":"PMID: 28750617\nPMCID: PMC5531097","page":"508","source":"PubMed","title":"Health system preparedness for integration of mental health services in rural Liberia","volume":"17","author":[{"family":"Gwaikolo","given":"Wilfred S."},{"family":"Kohrt","given":"Brandon A."},{"family":"Cooper","given":"Janice L."}],"issued":{"date-parts":[["2017",7,27]]}}}],"schema":"https://github.com/citation-style-language/schema/raw/master/csl-citation.json"} </w:instrText>
            </w:r>
            <w:r w:rsidRPr="004834AC">
              <w:rPr>
                <w:rFonts w:ascii="Calibri" w:eastAsia="Times New Roman" w:hAnsi="Calibri" w:cs="Calibri"/>
                <w:i/>
                <w:iCs/>
                <w:color w:val="000000"/>
                <w:kern w:val="0"/>
                <w:sz w:val="16"/>
                <w:szCs w:val="16"/>
                <w14:ligatures w14:val="none"/>
              </w:rPr>
              <w:fldChar w:fldCharType="separate"/>
            </w:r>
            <w:r w:rsidRPr="00910430">
              <w:rPr>
                <w:rFonts w:ascii="Calibri" w:hAnsi="Calibri" w:cs="Calibri"/>
                <w:sz w:val="16"/>
              </w:rPr>
              <w:t>(28)</w:t>
            </w:r>
            <w:r w:rsidRPr="004834AC">
              <w:rPr>
                <w:rFonts w:ascii="Calibri" w:eastAsia="Times New Roman" w:hAnsi="Calibri" w:cs="Calibri"/>
                <w:i/>
                <w:iCs/>
                <w:color w:val="000000"/>
                <w:kern w:val="0"/>
                <w:sz w:val="16"/>
                <w:szCs w:val="16"/>
                <w14:ligatures w14:val="none"/>
              </w:rPr>
              <w:fldChar w:fldCharType="end"/>
            </w:r>
          </w:p>
        </w:tc>
        <w:tc>
          <w:tcPr>
            <w:tcW w:w="466" w:type="pct"/>
            <w:tcBorders>
              <w:top w:val="nil"/>
              <w:left w:val="nil"/>
              <w:bottom w:val="nil"/>
              <w:right w:val="nil"/>
            </w:tcBorders>
            <w:shd w:val="clear" w:color="auto" w:fill="auto"/>
            <w:noWrap/>
            <w:vAlign w:val="center"/>
            <w:hideMark/>
          </w:tcPr>
          <w:p w14:paraId="6A70B4D2"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p>
        </w:tc>
        <w:tc>
          <w:tcPr>
            <w:tcW w:w="447" w:type="pct"/>
            <w:tcBorders>
              <w:top w:val="nil"/>
              <w:left w:val="nil"/>
              <w:bottom w:val="nil"/>
              <w:right w:val="nil"/>
            </w:tcBorders>
            <w:shd w:val="clear" w:color="auto" w:fill="auto"/>
            <w:noWrap/>
            <w:vAlign w:val="center"/>
            <w:hideMark/>
          </w:tcPr>
          <w:p w14:paraId="00D5B9BB"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29" w:type="pct"/>
            <w:tcBorders>
              <w:top w:val="nil"/>
              <w:left w:val="nil"/>
              <w:bottom w:val="nil"/>
              <w:right w:val="nil"/>
            </w:tcBorders>
            <w:shd w:val="clear" w:color="auto" w:fill="auto"/>
            <w:noWrap/>
            <w:vAlign w:val="center"/>
            <w:hideMark/>
          </w:tcPr>
          <w:p w14:paraId="2242DB74"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25" w:type="pct"/>
            <w:tcBorders>
              <w:top w:val="nil"/>
              <w:left w:val="nil"/>
              <w:bottom w:val="nil"/>
              <w:right w:val="nil"/>
            </w:tcBorders>
            <w:shd w:val="clear" w:color="auto" w:fill="auto"/>
            <w:noWrap/>
            <w:vAlign w:val="center"/>
            <w:hideMark/>
          </w:tcPr>
          <w:p w14:paraId="79E9C489"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414" w:type="pct"/>
            <w:tcBorders>
              <w:top w:val="nil"/>
              <w:left w:val="nil"/>
              <w:bottom w:val="nil"/>
              <w:right w:val="nil"/>
            </w:tcBorders>
            <w:shd w:val="clear" w:color="auto" w:fill="auto"/>
            <w:noWrap/>
            <w:vAlign w:val="center"/>
            <w:hideMark/>
          </w:tcPr>
          <w:p w14:paraId="1825A77B"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56" w:type="pct"/>
            <w:tcBorders>
              <w:top w:val="nil"/>
              <w:left w:val="nil"/>
              <w:bottom w:val="nil"/>
              <w:right w:val="nil"/>
            </w:tcBorders>
            <w:shd w:val="clear" w:color="auto" w:fill="auto"/>
            <w:vAlign w:val="center"/>
            <w:hideMark/>
          </w:tcPr>
          <w:p w14:paraId="7796E489"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59" w:type="pct"/>
            <w:tcBorders>
              <w:top w:val="nil"/>
              <w:left w:val="nil"/>
              <w:bottom w:val="nil"/>
              <w:right w:val="nil"/>
            </w:tcBorders>
            <w:shd w:val="clear" w:color="auto" w:fill="auto"/>
            <w:noWrap/>
            <w:vAlign w:val="center"/>
            <w:hideMark/>
          </w:tcPr>
          <w:p w14:paraId="72CA4737"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486" w:type="pct"/>
            <w:tcBorders>
              <w:top w:val="nil"/>
              <w:left w:val="nil"/>
              <w:bottom w:val="nil"/>
              <w:right w:val="nil"/>
            </w:tcBorders>
            <w:shd w:val="clear" w:color="auto" w:fill="auto"/>
            <w:noWrap/>
            <w:vAlign w:val="center"/>
            <w:hideMark/>
          </w:tcPr>
          <w:p w14:paraId="551AF51A"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p>
        </w:tc>
      </w:tr>
      <w:tr w:rsidR="0020792C" w:rsidRPr="004834AC" w14:paraId="747B990B" w14:textId="77777777" w:rsidTr="006353F6">
        <w:trPr>
          <w:trHeight w:val="360"/>
        </w:trPr>
        <w:tc>
          <w:tcPr>
            <w:tcW w:w="817" w:type="pct"/>
            <w:tcBorders>
              <w:top w:val="nil"/>
              <w:left w:val="nil"/>
              <w:bottom w:val="nil"/>
              <w:right w:val="nil"/>
            </w:tcBorders>
            <w:shd w:val="clear" w:color="auto" w:fill="auto"/>
            <w:noWrap/>
            <w:vAlign w:val="center"/>
            <w:hideMark/>
          </w:tcPr>
          <w:p w14:paraId="71337AF2"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 xml:space="preserve">Hopwood </w:t>
            </w:r>
            <w:r w:rsidRPr="004834AC">
              <w:rPr>
                <w:rFonts w:ascii="Calibri" w:eastAsia="Times New Roman" w:hAnsi="Calibri" w:cs="Calibri"/>
                <w:i/>
                <w:iCs/>
                <w:color w:val="000000"/>
                <w:kern w:val="0"/>
                <w:sz w:val="16"/>
                <w:szCs w:val="16"/>
                <w14:ligatures w14:val="none"/>
              </w:rPr>
              <w:t>et al.</w:t>
            </w:r>
            <w:r w:rsidRPr="004834AC">
              <w:rPr>
                <w:rFonts w:ascii="Calibri" w:eastAsia="Times New Roman" w:hAnsi="Calibri" w:cs="Calibri"/>
                <w:i/>
                <w:iCs/>
                <w:color w:val="000000"/>
                <w:kern w:val="0"/>
                <w:sz w:val="16"/>
                <w:szCs w:val="16"/>
                <w14:ligatures w14:val="none"/>
              </w:rPr>
              <w:fldChar w:fldCharType="begin"/>
            </w:r>
            <w:r>
              <w:rPr>
                <w:rFonts w:ascii="Calibri" w:eastAsia="Times New Roman" w:hAnsi="Calibri" w:cs="Calibri"/>
                <w:i/>
                <w:iCs/>
                <w:color w:val="000000"/>
                <w:kern w:val="0"/>
                <w:sz w:val="16"/>
                <w:szCs w:val="16"/>
                <w14:ligatures w14:val="none"/>
              </w:rPr>
              <w:instrText xml:space="preserve"> ADDIN ZOTERO_ITEM CSL_CITATION {"citationID":"OKsItA0y","properties":{"formattedCitation":"(29)","plainCitation":"(29)","noteIndex":0},"citationItems":[{"id":4579,"uris":["http://zotero.org/users/11021484/items/KIFCTYN6"],"itemData":{"id":4579,"type":"article-journal","abstract":"In 2009, 98.0% of people with mental illness in Sierra Leone were not receiving treatment, partly due to the absence of public psychiatric facilities outside the capital. In response to this situation, the Ministry of Health and Sanitation rolled out nurse-led mental health units (MHUs) to every district. This study evaluates the barriers and facilitators to mental health service delivery in decentralised MHUs in Sierra Leone using key informant interviews and focus group discussions with 13 purposefully sampled clinical staff and senior management personnel. The interviews were audio-recorded, translated from Krio if necessary, transcribed, and analysed using manifest content analysis. The findings suggest that factors affecting nurse-led mental health service delivery include small workforce and high workload, culture and beliefs, risks, lack of safety measures and required resources, outdated policies, poor salaries, lack of funds for medication, distance, power, influence, and stigma. Factors that could facilitate nurse-led mental health services include: increasing motivation, increasing the workforce, knowledge sharing, mentorship, availability of medication, passion and modern psychiatry. The findings contribute towards understanding the challenges and opportunities faced by the recently established nurse-led decentralised mental health services across Sierra Leone, in order to address the large mental health treatment gap. We hope the findings will inform further policy and planning to improve the quality of decentralised mental healthcare.","container-title":"Community Mental Health Journal","DOI":"10.1007/s10597-023-01087-0","ISSN":"0010-3853, 1573-2789","issue":"6","journalAbbreviation":"Community Ment Health J","language":"en","page":"1071-1082","source":"DOI.org (Crossref)","title":"The Barriers and Facilitators to Decentralised Nurse-Led Mental Health Service Delivery in Sierra Leone","volume":"59","author":[{"family":"Hopwood","given":"Helen"},{"family":"Harris","given":"Dawn"},{"family":"Sevalie","given":"Stephen"},{"family":"Iyawa","given":"Gloria"},{"family":"Langan Martin","given":"Julie"}],"issued":{"date-parts":[["2023",8]]}}}],"schema":"https://github.com/citation-style-language/schema/raw/master/csl-citation.json"} </w:instrText>
            </w:r>
            <w:r w:rsidRPr="004834AC">
              <w:rPr>
                <w:rFonts w:ascii="Calibri" w:eastAsia="Times New Roman" w:hAnsi="Calibri" w:cs="Calibri"/>
                <w:i/>
                <w:iCs/>
                <w:color w:val="000000"/>
                <w:kern w:val="0"/>
                <w:sz w:val="16"/>
                <w:szCs w:val="16"/>
                <w14:ligatures w14:val="none"/>
              </w:rPr>
              <w:fldChar w:fldCharType="separate"/>
            </w:r>
            <w:r w:rsidRPr="00910430">
              <w:rPr>
                <w:rFonts w:ascii="Calibri" w:hAnsi="Calibri" w:cs="Calibri"/>
                <w:sz w:val="16"/>
              </w:rPr>
              <w:t>(29)</w:t>
            </w:r>
            <w:r w:rsidRPr="004834AC">
              <w:rPr>
                <w:rFonts w:ascii="Calibri" w:eastAsia="Times New Roman" w:hAnsi="Calibri" w:cs="Calibri"/>
                <w:i/>
                <w:iCs/>
                <w:color w:val="000000"/>
                <w:kern w:val="0"/>
                <w:sz w:val="16"/>
                <w:szCs w:val="16"/>
                <w14:ligatures w14:val="none"/>
              </w:rPr>
              <w:fldChar w:fldCharType="end"/>
            </w:r>
          </w:p>
        </w:tc>
        <w:tc>
          <w:tcPr>
            <w:tcW w:w="466" w:type="pct"/>
            <w:tcBorders>
              <w:top w:val="nil"/>
              <w:left w:val="nil"/>
              <w:bottom w:val="nil"/>
              <w:right w:val="nil"/>
            </w:tcBorders>
            <w:shd w:val="clear" w:color="auto" w:fill="auto"/>
            <w:noWrap/>
            <w:vAlign w:val="center"/>
            <w:hideMark/>
          </w:tcPr>
          <w:p w14:paraId="5F009511"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p>
        </w:tc>
        <w:tc>
          <w:tcPr>
            <w:tcW w:w="447" w:type="pct"/>
            <w:tcBorders>
              <w:top w:val="nil"/>
              <w:left w:val="nil"/>
              <w:bottom w:val="nil"/>
              <w:right w:val="nil"/>
            </w:tcBorders>
            <w:shd w:val="clear" w:color="auto" w:fill="auto"/>
            <w:noWrap/>
            <w:vAlign w:val="center"/>
            <w:hideMark/>
          </w:tcPr>
          <w:p w14:paraId="34639075"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29" w:type="pct"/>
            <w:tcBorders>
              <w:top w:val="nil"/>
              <w:left w:val="nil"/>
              <w:bottom w:val="nil"/>
              <w:right w:val="nil"/>
            </w:tcBorders>
            <w:shd w:val="clear" w:color="auto" w:fill="auto"/>
            <w:noWrap/>
            <w:vAlign w:val="center"/>
            <w:hideMark/>
          </w:tcPr>
          <w:p w14:paraId="6AA9A5D4"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25" w:type="pct"/>
            <w:tcBorders>
              <w:top w:val="nil"/>
              <w:left w:val="nil"/>
              <w:bottom w:val="nil"/>
              <w:right w:val="nil"/>
            </w:tcBorders>
            <w:shd w:val="clear" w:color="auto" w:fill="auto"/>
            <w:noWrap/>
            <w:vAlign w:val="center"/>
            <w:hideMark/>
          </w:tcPr>
          <w:p w14:paraId="094BA13E"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414" w:type="pct"/>
            <w:tcBorders>
              <w:top w:val="nil"/>
              <w:left w:val="nil"/>
              <w:bottom w:val="nil"/>
              <w:right w:val="nil"/>
            </w:tcBorders>
            <w:shd w:val="clear" w:color="auto" w:fill="auto"/>
            <w:noWrap/>
            <w:vAlign w:val="center"/>
            <w:hideMark/>
          </w:tcPr>
          <w:p w14:paraId="3575783A"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56" w:type="pct"/>
            <w:tcBorders>
              <w:top w:val="nil"/>
              <w:left w:val="nil"/>
              <w:bottom w:val="nil"/>
              <w:right w:val="nil"/>
            </w:tcBorders>
            <w:shd w:val="clear" w:color="auto" w:fill="auto"/>
            <w:vAlign w:val="center"/>
            <w:hideMark/>
          </w:tcPr>
          <w:p w14:paraId="76922574"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59" w:type="pct"/>
            <w:tcBorders>
              <w:top w:val="nil"/>
              <w:left w:val="nil"/>
              <w:bottom w:val="nil"/>
              <w:right w:val="nil"/>
            </w:tcBorders>
            <w:shd w:val="clear" w:color="auto" w:fill="auto"/>
            <w:noWrap/>
            <w:vAlign w:val="center"/>
            <w:hideMark/>
          </w:tcPr>
          <w:p w14:paraId="5FB3D1EB"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486" w:type="pct"/>
            <w:tcBorders>
              <w:top w:val="nil"/>
              <w:left w:val="nil"/>
              <w:bottom w:val="nil"/>
              <w:right w:val="nil"/>
            </w:tcBorders>
            <w:shd w:val="clear" w:color="auto" w:fill="auto"/>
            <w:noWrap/>
            <w:vAlign w:val="center"/>
            <w:hideMark/>
          </w:tcPr>
          <w:p w14:paraId="10890B1A"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p>
        </w:tc>
      </w:tr>
      <w:tr w:rsidR="0020792C" w:rsidRPr="004834AC" w14:paraId="410B9B65" w14:textId="77777777" w:rsidTr="006353F6">
        <w:trPr>
          <w:trHeight w:val="360"/>
        </w:trPr>
        <w:tc>
          <w:tcPr>
            <w:tcW w:w="817" w:type="pct"/>
            <w:tcBorders>
              <w:top w:val="nil"/>
              <w:left w:val="nil"/>
              <w:bottom w:val="nil"/>
              <w:right w:val="nil"/>
            </w:tcBorders>
            <w:shd w:val="clear" w:color="auto" w:fill="auto"/>
            <w:noWrap/>
            <w:vAlign w:val="center"/>
            <w:hideMark/>
          </w:tcPr>
          <w:p w14:paraId="44AB2877"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 xml:space="preserve">Ibrahim </w:t>
            </w:r>
            <w:r w:rsidRPr="004834AC">
              <w:rPr>
                <w:rFonts w:ascii="Calibri" w:eastAsia="Times New Roman" w:hAnsi="Calibri" w:cs="Calibri"/>
                <w:i/>
                <w:iCs/>
                <w:color w:val="000000"/>
                <w:kern w:val="0"/>
                <w:sz w:val="16"/>
                <w:szCs w:val="16"/>
                <w14:ligatures w14:val="none"/>
              </w:rPr>
              <w:t>et al.</w:t>
            </w:r>
            <w:r w:rsidRPr="004834AC">
              <w:rPr>
                <w:rFonts w:ascii="Calibri" w:eastAsia="Times New Roman" w:hAnsi="Calibri" w:cs="Calibri"/>
                <w:i/>
                <w:iCs/>
                <w:color w:val="000000"/>
                <w:kern w:val="0"/>
                <w:sz w:val="16"/>
                <w:szCs w:val="16"/>
                <w14:ligatures w14:val="none"/>
              </w:rPr>
              <w:fldChar w:fldCharType="begin"/>
            </w:r>
            <w:r>
              <w:rPr>
                <w:rFonts w:ascii="Calibri" w:eastAsia="Times New Roman" w:hAnsi="Calibri" w:cs="Calibri"/>
                <w:i/>
                <w:iCs/>
                <w:color w:val="000000"/>
                <w:kern w:val="0"/>
                <w:sz w:val="16"/>
                <w:szCs w:val="16"/>
                <w14:ligatures w14:val="none"/>
              </w:rPr>
              <w:instrText xml:space="preserve"> ADDIN ZOTERO_ITEM CSL_CITATION {"citationID":"NCoLQnBv","properties":{"formattedCitation":"(30)","plainCitation":"(30)","noteIndex":0},"citationItems":[{"id":2008,"uris":["http://zotero.org/users/11021484/items/AZHV3Y6G"],"itemData":{"id":2008,"type":"article-journal","abstract":"The process to seek for care by patients who experience episodes of mental disorders may determine how and where they receive the needed treatment. This study aimed to understand the pathways that people with mental disorders traversed for psychiatric services, particularly where these individuals will first seek treatment and the factors that influence such pathways to mental health care.","container-title":"International Journal of Mental Health Systems","DOI":"10.1186/s13033-016-0095-1","ISSN":"1752-4458","issue":"1","journalAbbreviation":"Int J Ment Health Syst","language":"en","page":"63","source":"Springer Link","title":"Pathways to psychiatric care for mental disorders: a retrospective study of patients seeking mental health services at a public psychiatric facility in Ghana","title-short":"Pathways to psychiatric care for mental disorders","volume":"10","author":[{"family":"Ibrahim","given":"Abdallah"},{"family":"Hor","given":"Sidua"},{"family":"Bahar","given":"Ozge S."},{"family":"Dwomoh","given":"Duah"},{"family":"McKay","given":"Mary M."},{"family":"Esena","given":"Reuben K."},{"family":"Agyepong","given":"Irene A."}],"issued":{"date-parts":[["2016",10,3]]}}}],"schema":"https://github.com/citation-style-language/schema/raw/master/csl-citation.json"} </w:instrText>
            </w:r>
            <w:r w:rsidRPr="004834AC">
              <w:rPr>
                <w:rFonts w:ascii="Calibri" w:eastAsia="Times New Roman" w:hAnsi="Calibri" w:cs="Calibri"/>
                <w:i/>
                <w:iCs/>
                <w:color w:val="000000"/>
                <w:kern w:val="0"/>
                <w:sz w:val="16"/>
                <w:szCs w:val="16"/>
                <w14:ligatures w14:val="none"/>
              </w:rPr>
              <w:fldChar w:fldCharType="separate"/>
            </w:r>
            <w:r w:rsidRPr="00910430">
              <w:rPr>
                <w:rFonts w:ascii="Calibri" w:hAnsi="Calibri" w:cs="Calibri"/>
                <w:sz w:val="16"/>
              </w:rPr>
              <w:t>(30)</w:t>
            </w:r>
            <w:r w:rsidRPr="004834AC">
              <w:rPr>
                <w:rFonts w:ascii="Calibri" w:eastAsia="Times New Roman" w:hAnsi="Calibri" w:cs="Calibri"/>
                <w:i/>
                <w:iCs/>
                <w:color w:val="000000"/>
                <w:kern w:val="0"/>
                <w:sz w:val="16"/>
                <w:szCs w:val="16"/>
                <w14:ligatures w14:val="none"/>
              </w:rPr>
              <w:fldChar w:fldCharType="end"/>
            </w:r>
          </w:p>
        </w:tc>
        <w:tc>
          <w:tcPr>
            <w:tcW w:w="466" w:type="pct"/>
            <w:tcBorders>
              <w:top w:val="nil"/>
              <w:left w:val="nil"/>
              <w:bottom w:val="nil"/>
              <w:right w:val="nil"/>
            </w:tcBorders>
            <w:shd w:val="clear" w:color="auto" w:fill="auto"/>
            <w:noWrap/>
            <w:vAlign w:val="center"/>
            <w:hideMark/>
          </w:tcPr>
          <w:p w14:paraId="753C459A"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p>
        </w:tc>
        <w:tc>
          <w:tcPr>
            <w:tcW w:w="447" w:type="pct"/>
            <w:tcBorders>
              <w:top w:val="nil"/>
              <w:left w:val="nil"/>
              <w:bottom w:val="nil"/>
              <w:right w:val="nil"/>
            </w:tcBorders>
            <w:shd w:val="clear" w:color="auto" w:fill="auto"/>
            <w:noWrap/>
            <w:vAlign w:val="center"/>
            <w:hideMark/>
          </w:tcPr>
          <w:p w14:paraId="24472620"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29" w:type="pct"/>
            <w:tcBorders>
              <w:top w:val="nil"/>
              <w:left w:val="nil"/>
              <w:bottom w:val="nil"/>
              <w:right w:val="nil"/>
            </w:tcBorders>
            <w:shd w:val="clear" w:color="auto" w:fill="auto"/>
            <w:noWrap/>
            <w:vAlign w:val="center"/>
            <w:hideMark/>
          </w:tcPr>
          <w:p w14:paraId="588E52CB"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625" w:type="pct"/>
            <w:tcBorders>
              <w:top w:val="nil"/>
              <w:left w:val="nil"/>
              <w:bottom w:val="nil"/>
              <w:right w:val="nil"/>
            </w:tcBorders>
            <w:shd w:val="clear" w:color="auto" w:fill="auto"/>
            <w:noWrap/>
            <w:vAlign w:val="center"/>
            <w:hideMark/>
          </w:tcPr>
          <w:p w14:paraId="670B2649"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414" w:type="pct"/>
            <w:tcBorders>
              <w:top w:val="nil"/>
              <w:left w:val="nil"/>
              <w:bottom w:val="nil"/>
              <w:right w:val="nil"/>
            </w:tcBorders>
            <w:shd w:val="clear" w:color="auto" w:fill="auto"/>
            <w:noWrap/>
            <w:vAlign w:val="center"/>
            <w:hideMark/>
          </w:tcPr>
          <w:p w14:paraId="31C8B7FB"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556" w:type="pct"/>
            <w:tcBorders>
              <w:top w:val="nil"/>
              <w:left w:val="nil"/>
              <w:bottom w:val="nil"/>
              <w:right w:val="nil"/>
            </w:tcBorders>
            <w:shd w:val="clear" w:color="auto" w:fill="auto"/>
            <w:noWrap/>
            <w:vAlign w:val="center"/>
            <w:hideMark/>
          </w:tcPr>
          <w:p w14:paraId="7C46DC84"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659" w:type="pct"/>
            <w:tcBorders>
              <w:top w:val="nil"/>
              <w:left w:val="nil"/>
              <w:bottom w:val="nil"/>
              <w:right w:val="nil"/>
            </w:tcBorders>
            <w:shd w:val="clear" w:color="auto" w:fill="auto"/>
            <w:noWrap/>
            <w:vAlign w:val="center"/>
            <w:hideMark/>
          </w:tcPr>
          <w:p w14:paraId="4586A6F8"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p>
        </w:tc>
        <w:tc>
          <w:tcPr>
            <w:tcW w:w="486" w:type="pct"/>
            <w:tcBorders>
              <w:top w:val="nil"/>
              <w:left w:val="nil"/>
              <w:bottom w:val="nil"/>
              <w:right w:val="nil"/>
            </w:tcBorders>
            <w:shd w:val="clear" w:color="auto" w:fill="auto"/>
            <w:noWrap/>
            <w:vAlign w:val="center"/>
            <w:hideMark/>
          </w:tcPr>
          <w:p w14:paraId="59C04B0A"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r>
      <w:tr w:rsidR="0020792C" w:rsidRPr="004834AC" w14:paraId="2FE81C32" w14:textId="77777777" w:rsidTr="006353F6">
        <w:trPr>
          <w:trHeight w:val="360"/>
        </w:trPr>
        <w:tc>
          <w:tcPr>
            <w:tcW w:w="817" w:type="pct"/>
            <w:tcBorders>
              <w:top w:val="nil"/>
              <w:left w:val="nil"/>
              <w:bottom w:val="nil"/>
              <w:right w:val="nil"/>
            </w:tcBorders>
            <w:shd w:val="clear" w:color="auto" w:fill="auto"/>
            <w:noWrap/>
            <w:vAlign w:val="center"/>
            <w:hideMark/>
          </w:tcPr>
          <w:p w14:paraId="75554695"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 xml:space="preserve">Ikwuka </w:t>
            </w:r>
            <w:r w:rsidRPr="004834AC">
              <w:rPr>
                <w:rFonts w:ascii="Calibri" w:eastAsia="Times New Roman" w:hAnsi="Calibri" w:cs="Calibri"/>
                <w:i/>
                <w:iCs/>
                <w:color w:val="000000"/>
                <w:kern w:val="0"/>
                <w:sz w:val="16"/>
                <w:szCs w:val="16"/>
                <w14:ligatures w14:val="none"/>
              </w:rPr>
              <w:t>et al.</w:t>
            </w:r>
            <w:r w:rsidRPr="004834AC">
              <w:rPr>
                <w:rFonts w:ascii="Calibri" w:eastAsia="Times New Roman" w:hAnsi="Calibri" w:cs="Calibri"/>
                <w:i/>
                <w:iCs/>
                <w:color w:val="000000"/>
                <w:kern w:val="0"/>
                <w:sz w:val="16"/>
                <w:szCs w:val="16"/>
                <w14:ligatures w14:val="none"/>
              </w:rPr>
              <w:fldChar w:fldCharType="begin"/>
            </w:r>
            <w:r>
              <w:rPr>
                <w:rFonts w:ascii="Calibri" w:eastAsia="Times New Roman" w:hAnsi="Calibri" w:cs="Calibri"/>
                <w:i/>
                <w:iCs/>
                <w:color w:val="000000"/>
                <w:kern w:val="0"/>
                <w:sz w:val="16"/>
                <w:szCs w:val="16"/>
                <w14:ligatures w14:val="none"/>
              </w:rPr>
              <w:instrText xml:space="preserve"> ADDIN ZOTERO_ITEM CSL_CITATION {"citationID":"mfzvLRlR","properties":{"formattedCitation":"(31)","plainCitation":"(31)","noteIndex":0},"citationItems":[{"id":4451,"uris":["http://zotero.org/users/11021484/items/J49965W5"],"itemData":{"id":4451,"type":"article-journal","abstract":"The striking gaps in formal mental health care in the developing world are largely traceable to Instrumental and Ideological Barriers. Focusing on south-eastern Nigeria, the study aimed to establish the relative weight, significance and determinants of these barriers for prioritised policy interventions. Multistage sampling method was used to select participants (n = 706) to whom questionnaires were administered. Ideological Barriers (cultural and mental health literacy constraints) were more significantly perceived (84.8%) than Instrumental Barriers (systemic and financial impediments) (56.6%). The study demonstrated the primacy of improved knowledge in plugging the gap in conventional mental health care in a region ironically defined more by systemic and material poverty. This is instructive for prioritised policy interventions with an indication that even if facilities and socio-economic status improve, services will likely be underused without greater improvement in people’s conceptualisation of mental illness. It equally underscored the need for cultural competence in mental health service provision.","container-title":"Journal of Health Care for the Poor and Underserved","ISSN":"1548-6869","issue":"1","note":"publisher: Johns Hopkins University Press","page":"157-175","source":"Project MUSE","title":"Ideological vs. Instrumental Barriers to Accessing Formal Mental Health care in the Developing World: Focus on South-eastern Nigeria","title-short":"Ideological vs. Instrumental Barriers to Accessing Formal Mental Health care in the Developing World","volume":"27","author":[{"family":"Ikwuka","given":"Ugo"},{"family":"Galbraith","given":"Niall"},{"family":"Manktelow","given":"Ken"},{"family":"Chen-Wilson","given":"Josephine"},{"family":"Oyebode","given":"Femi"},{"family":"Muomah","given":"Rosemary C."},{"family":"Igboaka","given":"Anuli"}],"issued":{"date-parts":[["2016"]]}}}],"schema":"https://github.com/citation-style-language/schema/raw/master/csl-citation.json"} </w:instrText>
            </w:r>
            <w:r w:rsidRPr="004834AC">
              <w:rPr>
                <w:rFonts w:ascii="Calibri" w:eastAsia="Times New Roman" w:hAnsi="Calibri" w:cs="Calibri"/>
                <w:i/>
                <w:iCs/>
                <w:color w:val="000000"/>
                <w:kern w:val="0"/>
                <w:sz w:val="16"/>
                <w:szCs w:val="16"/>
                <w14:ligatures w14:val="none"/>
              </w:rPr>
              <w:fldChar w:fldCharType="separate"/>
            </w:r>
            <w:r w:rsidRPr="00910430">
              <w:rPr>
                <w:rFonts w:ascii="Calibri" w:hAnsi="Calibri" w:cs="Calibri"/>
                <w:sz w:val="16"/>
              </w:rPr>
              <w:t>(31)</w:t>
            </w:r>
            <w:r w:rsidRPr="004834AC">
              <w:rPr>
                <w:rFonts w:ascii="Calibri" w:eastAsia="Times New Roman" w:hAnsi="Calibri" w:cs="Calibri"/>
                <w:i/>
                <w:iCs/>
                <w:color w:val="000000"/>
                <w:kern w:val="0"/>
                <w:sz w:val="16"/>
                <w:szCs w:val="16"/>
                <w14:ligatures w14:val="none"/>
              </w:rPr>
              <w:fldChar w:fldCharType="end"/>
            </w:r>
          </w:p>
        </w:tc>
        <w:tc>
          <w:tcPr>
            <w:tcW w:w="466" w:type="pct"/>
            <w:tcBorders>
              <w:top w:val="nil"/>
              <w:left w:val="nil"/>
              <w:bottom w:val="nil"/>
              <w:right w:val="nil"/>
            </w:tcBorders>
            <w:shd w:val="clear" w:color="auto" w:fill="auto"/>
            <w:noWrap/>
            <w:vAlign w:val="center"/>
            <w:hideMark/>
          </w:tcPr>
          <w:p w14:paraId="6381BA9D"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p>
        </w:tc>
        <w:tc>
          <w:tcPr>
            <w:tcW w:w="447" w:type="pct"/>
            <w:tcBorders>
              <w:top w:val="nil"/>
              <w:left w:val="nil"/>
              <w:bottom w:val="nil"/>
              <w:right w:val="nil"/>
            </w:tcBorders>
            <w:shd w:val="clear" w:color="auto" w:fill="auto"/>
            <w:noWrap/>
            <w:vAlign w:val="center"/>
            <w:hideMark/>
          </w:tcPr>
          <w:p w14:paraId="02E0F5E0"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29" w:type="pct"/>
            <w:tcBorders>
              <w:top w:val="nil"/>
              <w:left w:val="nil"/>
              <w:bottom w:val="nil"/>
              <w:right w:val="nil"/>
            </w:tcBorders>
            <w:shd w:val="clear" w:color="auto" w:fill="auto"/>
            <w:noWrap/>
            <w:vAlign w:val="center"/>
            <w:hideMark/>
          </w:tcPr>
          <w:p w14:paraId="0B4547E1"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25" w:type="pct"/>
            <w:tcBorders>
              <w:top w:val="nil"/>
              <w:left w:val="nil"/>
              <w:bottom w:val="nil"/>
              <w:right w:val="nil"/>
            </w:tcBorders>
            <w:shd w:val="clear" w:color="auto" w:fill="auto"/>
            <w:noWrap/>
            <w:vAlign w:val="center"/>
            <w:hideMark/>
          </w:tcPr>
          <w:p w14:paraId="7BE32A60"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414" w:type="pct"/>
            <w:tcBorders>
              <w:top w:val="nil"/>
              <w:left w:val="nil"/>
              <w:bottom w:val="nil"/>
              <w:right w:val="nil"/>
            </w:tcBorders>
            <w:shd w:val="clear" w:color="auto" w:fill="auto"/>
            <w:noWrap/>
            <w:vAlign w:val="center"/>
            <w:hideMark/>
          </w:tcPr>
          <w:p w14:paraId="54DD9914"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56" w:type="pct"/>
            <w:tcBorders>
              <w:top w:val="nil"/>
              <w:left w:val="nil"/>
              <w:bottom w:val="nil"/>
              <w:right w:val="nil"/>
            </w:tcBorders>
            <w:shd w:val="clear" w:color="auto" w:fill="auto"/>
            <w:vAlign w:val="center"/>
            <w:hideMark/>
          </w:tcPr>
          <w:p w14:paraId="54467AB1"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59" w:type="pct"/>
            <w:tcBorders>
              <w:top w:val="nil"/>
              <w:left w:val="nil"/>
              <w:bottom w:val="nil"/>
              <w:right w:val="nil"/>
            </w:tcBorders>
            <w:shd w:val="clear" w:color="auto" w:fill="auto"/>
            <w:noWrap/>
            <w:vAlign w:val="center"/>
            <w:hideMark/>
          </w:tcPr>
          <w:p w14:paraId="2EDDBDC1"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486" w:type="pct"/>
            <w:tcBorders>
              <w:top w:val="nil"/>
              <w:left w:val="nil"/>
              <w:bottom w:val="nil"/>
              <w:right w:val="nil"/>
            </w:tcBorders>
            <w:shd w:val="clear" w:color="auto" w:fill="auto"/>
            <w:noWrap/>
            <w:vAlign w:val="center"/>
            <w:hideMark/>
          </w:tcPr>
          <w:p w14:paraId="0BC56CB5"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p>
        </w:tc>
      </w:tr>
      <w:tr w:rsidR="0020792C" w:rsidRPr="004834AC" w14:paraId="15210AF3" w14:textId="77777777" w:rsidTr="006353F6">
        <w:trPr>
          <w:trHeight w:val="360"/>
        </w:trPr>
        <w:tc>
          <w:tcPr>
            <w:tcW w:w="817" w:type="pct"/>
            <w:tcBorders>
              <w:top w:val="nil"/>
              <w:left w:val="nil"/>
              <w:bottom w:val="nil"/>
              <w:right w:val="nil"/>
            </w:tcBorders>
            <w:shd w:val="clear" w:color="auto" w:fill="auto"/>
            <w:noWrap/>
            <w:vAlign w:val="center"/>
            <w:hideMark/>
          </w:tcPr>
          <w:p w14:paraId="768E65BB"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 xml:space="preserve">Ikwuka </w:t>
            </w:r>
            <w:r w:rsidRPr="004834AC">
              <w:rPr>
                <w:rFonts w:ascii="Calibri" w:eastAsia="Times New Roman" w:hAnsi="Calibri" w:cs="Calibri"/>
                <w:i/>
                <w:iCs/>
                <w:color w:val="000000"/>
                <w:kern w:val="0"/>
                <w:sz w:val="16"/>
                <w:szCs w:val="16"/>
                <w14:ligatures w14:val="none"/>
              </w:rPr>
              <w:t>et al.</w:t>
            </w:r>
            <w:r w:rsidRPr="004834AC">
              <w:rPr>
                <w:rFonts w:ascii="Calibri" w:eastAsia="Times New Roman" w:hAnsi="Calibri" w:cs="Calibri"/>
                <w:i/>
                <w:iCs/>
                <w:color w:val="000000"/>
                <w:kern w:val="0"/>
                <w:sz w:val="16"/>
                <w:szCs w:val="16"/>
                <w14:ligatures w14:val="none"/>
              </w:rPr>
              <w:fldChar w:fldCharType="begin"/>
            </w:r>
            <w:r>
              <w:rPr>
                <w:rFonts w:ascii="Calibri" w:eastAsia="Times New Roman" w:hAnsi="Calibri" w:cs="Calibri"/>
                <w:i/>
                <w:iCs/>
                <w:color w:val="000000"/>
                <w:kern w:val="0"/>
                <w:sz w:val="16"/>
                <w:szCs w:val="16"/>
                <w14:ligatures w14:val="none"/>
              </w:rPr>
              <w:instrText xml:space="preserve"> ADDIN ZOTERO_ITEM CSL_CITATION {"citationID":"LFLwavxm","properties":{"formattedCitation":"(32)","plainCitation":"(32)","noteIndex":0},"citationItems":[{"id":4572,"uris":["http://zotero.org/users/11021484/items/MMI4LJ83"],"itemData":{"id":4572,"type":"article-journal","abstract":"In sub-Saharan Africa, traditional and faith healers provide competing services alongside biomedical professionals. This may be associated with delays in reaching specialised mental health services, and hence with longer duration of untreated illness. As first line care constitutes a crucial stage in accessing of psychiatric care, investigating pathways to mental healthcare can highlight help-seeking choices. This study explored the pathways to care for mental illness preferred by a non-clinical sample of the population in south-eastern Nigeria. Multistage sampling was used to select participants (N ¼ 706) who completed questionnaires on help-seeking. Results showed a significant preference for biomedical (90.8%) compared to spiritual (57.8%) and traditional (33.2%) pathways. Higher education predicted preference for the biomedical model, while low education was associated with traditional and spiritual pathways. Protestants preferred the spiritual pathway more than did Catholics. The use of biomedical care is potentially undermined by poor mental health infrastructure, a lack of fit between the culture of biomedical care and the deep-seated cultural/religious worldviews of the people, stigma surrounding mental illness, and the likelihood of a social desirability bias in responses. A complementary model of care is proposed.","container-title":"Transcultural Psychiatry","DOI":"10.1177/1363461516660903","ISSN":"1363-4615, 1461-7471","issue":"5","journalAbbreviation":"Transcult Psychiatry","language":"en","page":"574-594","source":"DOI.org (Crossref)","title":"Pathways to mental healthcare in south-eastern Nigeria","volume":"53","author":[{"family":"Ikwuka","given":"Ugo"},{"family":"Galbraith","given":"Niall"},{"family":"Manktelow","given":"Ken"},{"family":"Chen-Wilson","given":"Josephine"},{"family":"Oyebode","given":"Femi"},{"family":"Muomah","given":"Rosemary Chizobam"},{"family":"Igboaka","given":"Anulika"}],"issued":{"date-parts":[["2016",10]]}}}],"schema":"https://github.com/citation-style-language/schema/raw/master/csl-citation.json"} </w:instrText>
            </w:r>
            <w:r w:rsidRPr="004834AC">
              <w:rPr>
                <w:rFonts w:ascii="Calibri" w:eastAsia="Times New Roman" w:hAnsi="Calibri" w:cs="Calibri"/>
                <w:i/>
                <w:iCs/>
                <w:color w:val="000000"/>
                <w:kern w:val="0"/>
                <w:sz w:val="16"/>
                <w:szCs w:val="16"/>
                <w14:ligatures w14:val="none"/>
              </w:rPr>
              <w:fldChar w:fldCharType="separate"/>
            </w:r>
            <w:r w:rsidRPr="00910430">
              <w:rPr>
                <w:rFonts w:ascii="Calibri" w:hAnsi="Calibri" w:cs="Calibri"/>
                <w:sz w:val="16"/>
              </w:rPr>
              <w:t>(32)</w:t>
            </w:r>
            <w:r w:rsidRPr="004834AC">
              <w:rPr>
                <w:rFonts w:ascii="Calibri" w:eastAsia="Times New Roman" w:hAnsi="Calibri" w:cs="Calibri"/>
                <w:i/>
                <w:iCs/>
                <w:color w:val="000000"/>
                <w:kern w:val="0"/>
                <w:sz w:val="16"/>
                <w:szCs w:val="16"/>
                <w14:ligatures w14:val="none"/>
              </w:rPr>
              <w:fldChar w:fldCharType="end"/>
            </w:r>
          </w:p>
        </w:tc>
        <w:tc>
          <w:tcPr>
            <w:tcW w:w="466" w:type="pct"/>
            <w:tcBorders>
              <w:top w:val="nil"/>
              <w:left w:val="nil"/>
              <w:bottom w:val="nil"/>
              <w:right w:val="nil"/>
            </w:tcBorders>
            <w:shd w:val="clear" w:color="auto" w:fill="auto"/>
            <w:noWrap/>
            <w:vAlign w:val="center"/>
            <w:hideMark/>
          </w:tcPr>
          <w:p w14:paraId="4FE1A048"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p>
        </w:tc>
        <w:tc>
          <w:tcPr>
            <w:tcW w:w="447" w:type="pct"/>
            <w:tcBorders>
              <w:top w:val="nil"/>
              <w:left w:val="nil"/>
              <w:bottom w:val="nil"/>
              <w:right w:val="nil"/>
            </w:tcBorders>
            <w:shd w:val="clear" w:color="auto" w:fill="auto"/>
            <w:noWrap/>
            <w:vAlign w:val="center"/>
            <w:hideMark/>
          </w:tcPr>
          <w:p w14:paraId="1DCED2FC"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29" w:type="pct"/>
            <w:tcBorders>
              <w:top w:val="nil"/>
              <w:left w:val="nil"/>
              <w:bottom w:val="nil"/>
              <w:right w:val="nil"/>
            </w:tcBorders>
            <w:shd w:val="clear" w:color="auto" w:fill="auto"/>
            <w:noWrap/>
            <w:vAlign w:val="center"/>
            <w:hideMark/>
          </w:tcPr>
          <w:p w14:paraId="2280C572"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25" w:type="pct"/>
            <w:tcBorders>
              <w:top w:val="nil"/>
              <w:left w:val="nil"/>
              <w:bottom w:val="nil"/>
              <w:right w:val="nil"/>
            </w:tcBorders>
            <w:shd w:val="clear" w:color="auto" w:fill="auto"/>
            <w:noWrap/>
            <w:vAlign w:val="center"/>
            <w:hideMark/>
          </w:tcPr>
          <w:p w14:paraId="41236D39"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414" w:type="pct"/>
            <w:tcBorders>
              <w:top w:val="nil"/>
              <w:left w:val="nil"/>
              <w:bottom w:val="nil"/>
              <w:right w:val="nil"/>
            </w:tcBorders>
            <w:shd w:val="clear" w:color="auto" w:fill="auto"/>
            <w:noWrap/>
            <w:vAlign w:val="center"/>
            <w:hideMark/>
          </w:tcPr>
          <w:p w14:paraId="0721F023"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56" w:type="pct"/>
            <w:tcBorders>
              <w:top w:val="nil"/>
              <w:left w:val="nil"/>
              <w:bottom w:val="nil"/>
              <w:right w:val="nil"/>
            </w:tcBorders>
            <w:shd w:val="clear" w:color="auto" w:fill="auto"/>
            <w:vAlign w:val="center"/>
            <w:hideMark/>
          </w:tcPr>
          <w:p w14:paraId="3C062CAE"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59" w:type="pct"/>
            <w:tcBorders>
              <w:top w:val="nil"/>
              <w:left w:val="nil"/>
              <w:bottom w:val="nil"/>
              <w:right w:val="nil"/>
            </w:tcBorders>
            <w:shd w:val="clear" w:color="auto" w:fill="auto"/>
            <w:noWrap/>
            <w:vAlign w:val="center"/>
            <w:hideMark/>
          </w:tcPr>
          <w:p w14:paraId="53ECF15E"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486" w:type="pct"/>
            <w:tcBorders>
              <w:top w:val="nil"/>
              <w:left w:val="nil"/>
              <w:bottom w:val="nil"/>
              <w:right w:val="nil"/>
            </w:tcBorders>
            <w:shd w:val="clear" w:color="auto" w:fill="auto"/>
            <w:noWrap/>
            <w:vAlign w:val="center"/>
            <w:hideMark/>
          </w:tcPr>
          <w:p w14:paraId="43F47B0A"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p>
        </w:tc>
      </w:tr>
      <w:tr w:rsidR="0020792C" w:rsidRPr="004834AC" w14:paraId="7D49B912" w14:textId="77777777" w:rsidTr="006353F6">
        <w:trPr>
          <w:trHeight w:val="360"/>
        </w:trPr>
        <w:tc>
          <w:tcPr>
            <w:tcW w:w="817" w:type="pct"/>
            <w:tcBorders>
              <w:top w:val="nil"/>
              <w:left w:val="nil"/>
              <w:bottom w:val="nil"/>
              <w:right w:val="nil"/>
            </w:tcBorders>
            <w:shd w:val="clear" w:color="auto" w:fill="auto"/>
            <w:noWrap/>
            <w:vAlign w:val="center"/>
            <w:hideMark/>
          </w:tcPr>
          <w:p w14:paraId="2FADB75D"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Jack-Ide and Uys</w:t>
            </w:r>
            <w:r w:rsidRPr="004834AC">
              <w:rPr>
                <w:rFonts w:ascii="Calibri" w:eastAsia="Times New Roman" w:hAnsi="Calibri" w:cs="Calibri"/>
                <w:color w:val="000000"/>
                <w:kern w:val="0"/>
                <w:sz w:val="16"/>
                <w:szCs w:val="16"/>
                <w14:ligatures w14:val="none"/>
              </w:rPr>
              <w:fldChar w:fldCharType="begin"/>
            </w:r>
            <w:r>
              <w:rPr>
                <w:rFonts w:ascii="Calibri" w:eastAsia="Times New Roman" w:hAnsi="Calibri" w:cs="Calibri"/>
                <w:color w:val="000000"/>
                <w:kern w:val="0"/>
                <w:sz w:val="16"/>
                <w:szCs w:val="16"/>
                <w14:ligatures w14:val="none"/>
              </w:rPr>
              <w:instrText xml:space="preserve"> ADDIN ZOTERO_ITEM CSL_CITATION {"citationID":"6jYMeTAF","properties":{"formattedCitation":"(33)","plainCitation":"(33)","noteIndex":0},"citationItems":[{"id":2019,"uris":["http://zotero.org/users/11021484/items/74P2B7SB"],"itemData":{"id":2019,"type":"article-journal","abstract":"INTRODUCTION: There is only one neuro-psychiatric hospital for over four million people in the Niger Delta region of Nigeria. Low-income groups in urban and rural areas who access care through public mental health clinics are at greater risk of not accessing the needed mental health care. This study aimed to explored barriers that prevent people from utilizing mental health services, and to identifies key factors to increase access and improved service delivery.\nMETHODS: A qualitative study was conducted among 20 service users attending the outpatient clinic of Rumuigbo neuropsychiatric hospital. Ten participants were caregivers and 10 were clients, both having accessed services for at least one year.\nRESULTS: The mean age was 37.7 years, 60% were males, 40% were unemployed and only 15% had a regular monthly income, while 65% live in rural areas. Barriers observed in mental health services use were physical, financial and cultural. These include absence of service in rural communities, poor knowledge of mental health services, stigma, transportation problems, waiting time at the facility and cost of service.\nCONCLUSION: Stigma remains a strong barrier to accessing mental health services, and extensive efforts need to be made to overcome ignorance and discrimination. Mental health services need to be provided throughout the health care system to enable people to access them locally and affordably, preventing the need to travel and promoting service uptake and treatment continuation.","container-title":"The Pan African Medical Journal","DOI":"10.11604/pamj.2013.14.159.1970","ISSN":"1937-8688","journalAbbreviation":"Pan Afr Med J","language":"eng","note":"PMID: 23785564\nPMCID: PMC3683509","page":"159","source":"PubMed","title":"Barriers to mental health services utilization in the Niger Delta region of Nigeria: service users' perspectives","title-short":"Barriers to mental health services utilization in the Niger Delta region of Nigeria","volume":"14","author":[{"family":"Jack-Ide","given":"Izibeloko Omi"},{"family":"Uys","given":"Leana"}],"issued":{"date-parts":[["2013"]]}}}],"schema":"https://github.com/citation-style-language/schema/raw/master/csl-citation.json"} </w:instrText>
            </w:r>
            <w:r w:rsidRPr="004834AC">
              <w:rPr>
                <w:rFonts w:ascii="Calibri" w:eastAsia="Times New Roman" w:hAnsi="Calibri" w:cs="Calibri"/>
                <w:color w:val="000000"/>
                <w:kern w:val="0"/>
                <w:sz w:val="16"/>
                <w:szCs w:val="16"/>
                <w14:ligatures w14:val="none"/>
              </w:rPr>
              <w:fldChar w:fldCharType="separate"/>
            </w:r>
            <w:r w:rsidRPr="00910430">
              <w:rPr>
                <w:rFonts w:ascii="Calibri" w:hAnsi="Calibri" w:cs="Calibri"/>
                <w:sz w:val="16"/>
              </w:rPr>
              <w:t>(33)</w:t>
            </w:r>
            <w:r w:rsidRPr="004834AC">
              <w:rPr>
                <w:rFonts w:ascii="Calibri" w:eastAsia="Times New Roman" w:hAnsi="Calibri" w:cs="Calibri"/>
                <w:color w:val="000000"/>
                <w:kern w:val="0"/>
                <w:sz w:val="16"/>
                <w:szCs w:val="16"/>
                <w14:ligatures w14:val="none"/>
              </w:rPr>
              <w:fldChar w:fldCharType="end"/>
            </w:r>
          </w:p>
        </w:tc>
        <w:tc>
          <w:tcPr>
            <w:tcW w:w="466" w:type="pct"/>
            <w:tcBorders>
              <w:top w:val="nil"/>
              <w:left w:val="nil"/>
              <w:bottom w:val="nil"/>
              <w:right w:val="nil"/>
            </w:tcBorders>
            <w:shd w:val="clear" w:color="auto" w:fill="auto"/>
            <w:noWrap/>
            <w:vAlign w:val="center"/>
            <w:hideMark/>
          </w:tcPr>
          <w:p w14:paraId="36602F45"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p>
        </w:tc>
        <w:tc>
          <w:tcPr>
            <w:tcW w:w="447" w:type="pct"/>
            <w:tcBorders>
              <w:top w:val="nil"/>
              <w:left w:val="nil"/>
              <w:bottom w:val="nil"/>
              <w:right w:val="nil"/>
            </w:tcBorders>
            <w:shd w:val="clear" w:color="auto" w:fill="auto"/>
            <w:noWrap/>
            <w:vAlign w:val="center"/>
            <w:hideMark/>
          </w:tcPr>
          <w:p w14:paraId="230244A8"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29" w:type="pct"/>
            <w:tcBorders>
              <w:top w:val="nil"/>
              <w:left w:val="nil"/>
              <w:bottom w:val="nil"/>
              <w:right w:val="nil"/>
            </w:tcBorders>
            <w:shd w:val="clear" w:color="auto" w:fill="auto"/>
            <w:noWrap/>
            <w:vAlign w:val="center"/>
            <w:hideMark/>
          </w:tcPr>
          <w:p w14:paraId="2910ABA9"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25" w:type="pct"/>
            <w:tcBorders>
              <w:top w:val="nil"/>
              <w:left w:val="nil"/>
              <w:bottom w:val="nil"/>
              <w:right w:val="nil"/>
            </w:tcBorders>
            <w:shd w:val="clear" w:color="auto" w:fill="auto"/>
            <w:noWrap/>
            <w:vAlign w:val="center"/>
            <w:hideMark/>
          </w:tcPr>
          <w:p w14:paraId="7F9648EF"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414" w:type="pct"/>
            <w:tcBorders>
              <w:top w:val="nil"/>
              <w:left w:val="nil"/>
              <w:bottom w:val="nil"/>
              <w:right w:val="nil"/>
            </w:tcBorders>
            <w:shd w:val="clear" w:color="auto" w:fill="auto"/>
            <w:noWrap/>
            <w:vAlign w:val="center"/>
            <w:hideMark/>
          </w:tcPr>
          <w:p w14:paraId="4378F129"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56" w:type="pct"/>
            <w:tcBorders>
              <w:top w:val="nil"/>
              <w:left w:val="nil"/>
              <w:bottom w:val="nil"/>
              <w:right w:val="nil"/>
            </w:tcBorders>
            <w:shd w:val="clear" w:color="auto" w:fill="auto"/>
            <w:vAlign w:val="center"/>
            <w:hideMark/>
          </w:tcPr>
          <w:p w14:paraId="11C880F2"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59" w:type="pct"/>
            <w:tcBorders>
              <w:top w:val="nil"/>
              <w:left w:val="nil"/>
              <w:bottom w:val="nil"/>
              <w:right w:val="nil"/>
            </w:tcBorders>
            <w:shd w:val="clear" w:color="auto" w:fill="auto"/>
            <w:noWrap/>
            <w:vAlign w:val="center"/>
            <w:hideMark/>
          </w:tcPr>
          <w:p w14:paraId="54078F97"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486" w:type="pct"/>
            <w:tcBorders>
              <w:top w:val="nil"/>
              <w:left w:val="nil"/>
              <w:bottom w:val="nil"/>
              <w:right w:val="nil"/>
            </w:tcBorders>
            <w:shd w:val="clear" w:color="auto" w:fill="auto"/>
            <w:noWrap/>
            <w:vAlign w:val="center"/>
            <w:hideMark/>
          </w:tcPr>
          <w:p w14:paraId="411C7F3A"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p>
        </w:tc>
      </w:tr>
      <w:tr w:rsidR="0020792C" w:rsidRPr="004834AC" w14:paraId="5C1A3835" w14:textId="77777777" w:rsidTr="006353F6">
        <w:trPr>
          <w:trHeight w:val="360"/>
        </w:trPr>
        <w:tc>
          <w:tcPr>
            <w:tcW w:w="817" w:type="pct"/>
            <w:tcBorders>
              <w:top w:val="nil"/>
              <w:left w:val="nil"/>
              <w:bottom w:val="nil"/>
              <w:right w:val="nil"/>
            </w:tcBorders>
            <w:shd w:val="clear" w:color="auto" w:fill="auto"/>
            <w:noWrap/>
            <w:vAlign w:val="center"/>
            <w:hideMark/>
          </w:tcPr>
          <w:p w14:paraId="104DE20D"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 xml:space="preserve">Jack-Ide </w:t>
            </w:r>
            <w:r w:rsidRPr="004834AC">
              <w:rPr>
                <w:rFonts w:ascii="Calibri" w:eastAsia="Times New Roman" w:hAnsi="Calibri" w:cs="Calibri"/>
                <w:i/>
                <w:iCs/>
                <w:color w:val="000000"/>
                <w:kern w:val="0"/>
                <w:sz w:val="16"/>
                <w:szCs w:val="16"/>
                <w14:ligatures w14:val="none"/>
              </w:rPr>
              <w:t>et al.</w:t>
            </w:r>
            <w:r w:rsidRPr="004834AC">
              <w:rPr>
                <w:rFonts w:ascii="Calibri" w:eastAsia="Times New Roman" w:hAnsi="Calibri" w:cs="Calibri"/>
                <w:i/>
                <w:iCs/>
                <w:color w:val="000000"/>
                <w:kern w:val="0"/>
                <w:sz w:val="16"/>
                <w:szCs w:val="16"/>
                <w14:ligatures w14:val="none"/>
              </w:rPr>
              <w:fldChar w:fldCharType="begin"/>
            </w:r>
            <w:r>
              <w:rPr>
                <w:rFonts w:ascii="Calibri" w:eastAsia="Times New Roman" w:hAnsi="Calibri" w:cs="Calibri"/>
                <w:i/>
                <w:iCs/>
                <w:color w:val="000000"/>
                <w:kern w:val="0"/>
                <w:sz w:val="16"/>
                <w:szCs w:val="16"/>
                <w14:ligatures w14:val="none"/>
              </w:rPr>
              <w:instrText xml:space="preserve"> ADDIN ZOTERO_ITEM CSL_CITATION {"citationID":"MxBsGIIu","properties":{"formattedCitation":"(18)","plainCitation":"(18)","noteIndex":0},"citationItems":[{"id":4533,"uris":["http://zotero.org/users/11021484/items/HKTNBTBS"],"itemData":{"id":4533,"type":"article-journal","abstract":"Mental health services are provided at Rumuigbo Hospital, a single facility that renders psychiatric services in Rivers State and surrounding states in the Niger Delta region of Nigeria. Psychiatric services are not provided at primary health-care clinic or district hospitals, and access to this service can be problematic for many caregivers due to the time and costs involved. Therefore, this study explored the family caregiving experiences of persons with serious mental health problems in terms of the mental health-care policy and health systems environment. A qualitative study using a purposive sampling technique was conducted among 20 caregivers attending a neuropsychiatric clinic in Port Harcourt, Rivers State, Nigeria. The results show that 78% of caregivers lived outside Port Harcourt and 65% had no regular monthly income. Stigma, poor knowledge in managing symptoms of ill relatives, ﬁnancial implications, lack of support network, and absence of community outreach clinics were found to affect family caregiving experiences. Policies need to be developed and implemented that provide mental health care through primary health-care services to ameliorate families’ ﬁnancial burden, enable early diagnosis and treatment, reduce the need to travel, and improve the quality of life of family caregivers.","container-title":"International Journal of Mental Health Nursing","DOI":"10.1111/j.1447-0349.2012.00853.x","ISSN":"1445-8330, 1447-0349","issue":"2","journalAbbreviation":"Int J Mental Health Nurs","language":"en","page":"170-179","source":"DOI.org (Crossref)","title":"Caregiving experiences of families of persons with serious mental health problems in the Niger Delta region of Nigeria","volume":"22","author":[{"family":"Jack‐Ide","given":"Izibeloko O."},{"family":"Uys","given":"Leana R."},{"family":"Middleton","given":"Lyn E."}],"issued":{"date-parts":[["2013",4]]}}}],"schema":"https://github.com/citation-style-language/schema/raw/master/csl-citation.json"} </w:instrText>
            </w:r>
            <w:r w:rsidRPr="004834AC">
              <w:rPr>
                <w:rFonts w:ascii="Calibri" w:eastAsia="Times New Roman" w:hAnsi="Calibri" w:cs="Calibri"/>
                <w:i/>
                <w:iCs/>
                <w:color w:val="000000"/>
                <w:kern w:val="0"/>
                <w:sz w:val="16"/>
                <w:szCs w:val="16"/>
                <w14:ligatures w14:val="none"/>
              </w:rPr>
              <w:fldChar w:fldCharType="separate"/>
            </w:r>
            <w:r w:rsidRPr="00910430">
              <w:rPr>
                <w:rFonts w:ascii="Calibri" w:hAnsi="Calibri" w:cs="Calibri"/>
                <w:sz w:val="16"/>
              </w:rPr>
              <w:t>(18)</w:t>
            </w:r>
            <w:r w:rsidRPr="004834AC">
              <w:rPr>
                <w:rFonts w:ascii="Calibri" w:eastAsia="Times New Roman" w:hAnsi="Calibri" w:cs="Calibri"/>
                <w:i/>
                <w:iCs/>
                <w:color w:val="000000"/>
                <w:kern w:val="0"/>
                <w:sz w:val="16"/>
                <w:szCs w:val="16"/>
                <w14:ligatures w14:val="none"/>
              </w:rPr>
              <w:fldChar w:fldCharType="end"/>
            </w:r>
          </w:p>
        </w:tc>
        <w:tc>
          <w:tcPr>
            <w:tcW w:w="466" w:type="pct"/>
            <w:tcBorders>
              <w:top w:val="nil"/>
              <w:left w:val="nil"/>
              <w:bottom w:val="nil"/>
              <w:right w:val="nil"/>
            </w:tcBorders>
            <w:shd w:val="clear" w:color="auto" w:fill="auto"/>
            <w:noWrap/>
            <w:vAlign w:val="center"/>
            <w:hideMark/>
          </w:tcPr>
          <w:p w14:paraId="16E5BF9A"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p>
        </w:tc>
        <w:tc>
          <w:tcPr>
            <w:tcW w:w="447" w:type="pct"/>
            <w:tcBorders>
              <w:top w:val="nil"/>
              <w:left w:val="nil"/>
              <w:bottom w:val="nil"/>
              <w:right w:val="nil"/>
            </w:tcBorders>
            <w:shd w:val="clear" w:color="auto" w:fill="auto"/>
            <w:noWrap/>
            <w:vAlign w:val="center"/>
            <w:hideMark/>
          </w:tcPr>
          <w:p w14:paraId="06F4373D"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29" w:type="pct"/>
            <w:tcBorders>
              <w:top w:val="nil"/>
              <w:left w:val="nil"/>
              <w:bottom w:val="nil"/>
              <w:right w:val="nil"/>
            </w:tcBorders>
            <w:shd w:val="clear" w:color="auto" w:fill="auto"/>
            <w:noWrap/>
            <w:vAlign w:val="center"/>
            <w:hideMark/>
          </w:tcPr>
          <w:p w14:paraId="61F7CCCA"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25" w:type="pct"/>
            <w:tcBorders>
              <w:top w:val="nil"/>
              <w:left w:val="nil"/>
              <w:bottom w:val="nil"/>
              <w:right w:val="nil"/>
            </w:tcBorders>
            <w:shd w:val="clear" w:color="auto" w:fill="auto"/>
            <w:noWrap/>
            <w:vAlign w:val="center"/>
            <w:hideMark/>
          </w:tcPr>
          <w:p w14:paraId="7A7852F9"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414" w:type="pct"/>
            <w:tcBorders>
              <w:top w:val="nil"/>
              <w:left w:val="nil"/>
              <w:bottom w:val="nil"/>
              <w:right w:val="nil"/>
            </w:tcBorders>
            <w:shd w:val="clear" w:color="auto" w:fill="auto"/>
            <w:noWrap/>
            <w:vAlign w:val="center"/>
            <w:hideMark/>
          </w:tcPr>
          <w:p w14:paraId="75140261"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56" w:type="pct"/>
            <w:tcBorders>
              <w:top w:val="nil"/>
              <w:left w:val="nil"/>
              <w:bottom w:val="nil"/>
              <w:right w:val="nil"/>
            </w:tcBorders>
            <w:shd w:val="clear" w:color="auto" w:fill="auto"/>
            <w:vAlign w:val="center"/>
            <w:hideMark/>
          </w:tcPr>
          <w:p w14:paraId="1BAC410C"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59" w:type="pct"/>
            <w:tcBorders>
              <w:top w:val="nil"/>
              <w:left w:val="nil"/>
              <w:bottom w:val="nil"/>
              <w:right w:val="nil"/>
            </w:tcBorders>
            <w:shd w:val="clear" w:color="auto" w:fill="auto"/>
            <w:noWrap/>
            <w:vAlign w:val="center"/>
            <w:hideMark/>
          </w:tcPr>
          <w:p w14:paraId="3A481BF0"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486" w:type="pct"/>
            <w:tcBorders>
              <w:top w:val="nil"/>
              <w:left w:val="nil"/>
              <w:bottom w:val="nil"/>
              <w:right w:val="nil"/>
            </w:tcBorders>
            <w:shd w:val="clear" w:color="auto" w:fill="auto"/>
            <w:noWrap/>
            <w:vAlign w:val="center"/>
            <w:hideMark/>
          </w:tcPr>
          <w:p w14:paraId="7B6490F6"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p>
        </w:tc>
      </w:tr>
      <w:tr w:rsidR="0020792C" w:rsidRPr="004834AC" w14:paraId="46BD7D39" w14:textId="77777777" w:rsidTr="006353F6">
        <w:trPr>
          <w:trHeight w:val="360"/>
        </w:trPr>
        <w:tc>
          <w:tcPr>
            <w:tcW w:w="817" w:type="pct"/>
            <w:tcBorders>
              <w:top w:val="nil"/>
              <w:left w:val="nil"/>
              <w:bottom w:val="nil"/>
              <w:right w:val="nil"/>
            </w:tcBorders>
            <w:shd w:val="clear" w:color="auto" w:fill="auto"/>
            <w:noWrap/>
            <w:vAlign w:val="center"/>
            <w:hideMark/>
          </w:tcPr>
          <w:p w14:paraId="74EB396B"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 xml:space="preserve">Kisa </w:t>
            </w:r>
            <w:r w:rsidRPr="004834AC">
              <w:rPr>
                <w:rFonts w:ascii="Calibri" w:eastAsia="Times New Roman" w:hAnsi="Calibri" w:cs="Calibri"/>
                <w:i/>
                <w:iCs/>
                <w:color w:val="000000"/>
                <w:kern w:val="0"/>
                <w:sz w:val="16"/>
                <w:szCs w:val="16"/>
                <w14:ligatures w14:val="none"/>
              </w:rPr>
              <w:t>et al.</w:t>
            </w:r>
            <w:r w:rsidRPr="004834AC">
              <w:rPr>
                <w:rFonts w:ascii="Calibri" w:eastAsia="Times New Roman" w:hAnsi="Calibri" w:cs="Calibri"/>
                <w:i/>
                <w:iCs/>
                <w:color w:val="000000"/>
                <w:kern w:val="0"/>
                <w:sz w:val="16"/>
                <w:szCs w:val="16"/>
                <w14:ligatures w14:val="none"/>
              </w:rPr>
              <w:fldChar w:fldCharType="begin"/>
            </w:r>
            <w:r>
              <w:rPr>
                <w:rFonts w:ascii="Calibri" w:eastAsia="Times New Roman" w:hAnsi="Calibri" w:cs="Calibri"/>
                <w:i/>
                <w:iCs/>
                <w:color w:val="000000"/>
                <w:kern w:val="0"/>
                <w:sz w:val="16"/>
                <w:szCs w:val="16"/>
                <w14:ligatures w14:val="none"/>
              </w:rPr>
              <w:instrText xml:space="preserve"> ADDIN ZOTERO_ITEM CSL_CITATION {"citationID":"zdvFZzft","properties":{"formattedCitation":"(6)","plainCitation":"(6)","noteIndex":0},"citationItems":[{"id":4459,"uris":["http://zotero.org/users/11021484/items/PXYBEBRA"],"itemData":{"id":4459,"type":"article-journal","abstract":"Access to mental health care services for patients with neuropsychiatric disorders remains low especially in post-conflict, low and middle income countries. Persons with mental health conditions and epilepsy take many different paths when they access formal and informal care for their conditions. This study conducted across three countries sought to provide preliminary data to inform program development on access to care. It thus sought to assess the different pathways persons with severe mental disorders and epilepsy take when accessing care. It also sought to identify the barriers to accessing care that patients face.","container-title":"BMC Psychiatry","DOI":"10.1186/s12888-016-1008-1","ISSN":"1471-244X","issue":"1","journalAbbreviation":"BMC Psychiatry","page":"305","source":"BioMed Central","title":"Pathways and access to mental health care services by persons living with severe mental disorders and epilepsy in Uganda, Liberia and Nepal: a qualitative study","title-short":"Pathways and access to mental health care services by persons living with severe mental disorders and epilepsy in Uganda, Liberia and Nepal","volume":"16","author":[{"family":"Kisa","given":"Rose"},{"family":"Baingana","given":"Florence"},{"family":"Kajungu","given":"Rehema"},{"family":"Mangen","given":"Patrick O."},{"family":"Angdembe","given":"Mangesh"},{"family":"Gwaikolo","given":"Wilfred"},{"family":"Cooper","given":"Janice"}],"issued":{"date-parts":[["2016",8,31]]}}}],"schema":"https://github.com/citation-style-language/schema/raw/master/csl-citation.json"} </w:instrText>
            </w:r>
            <w:r w:rsidRPr="004834AC">
              <w:rPr>
                <w:rFonts w:ascii="Calibri" w:eastAsia="Times New Roman" w:hAnsi="Calibri" w:cs="Calibri"/>
                <w:i/>
                <w:iCs/>
                <w:color w:val="000000"/>
                <w:kern w:val="0"/>
                <w:sz w:val="16"/>
                <w:szCs w:val="16"/>
                <w14:ligatures w14:val="none"/>
              </w:rPr>
              <w:fldChar w:fldCharType="separate"/>
            </w:r>
            <w:r w:rsidRPr="00910430">
              <w:rPr>
                <w:rFonts w:ascii="Calibri" w:hAnsi="Calibri" w:cs="Calibri"/>
                <w:sz w:val="16"/>
              </w:rPr>
              <w:t>(6)</w:t>
            </w:r>
            <w:r w:rsidRPr="004834AC">
              <w:rPr>
                <w:rFonts w:ascii="Calibri" w:eastAsia="Times New Roman" w:hAnsi="Calibri" w:cs="Calibri"/>
                <w:i/>
                <w:iCs/>
                <w:color w:val="000000"/>
                <w:kern w:val="0"/>
                <w:sz w:val="16"/>
                <w:szCs w:val="16"/>
                <w14:ligatures w14:val="none"/>
              </w:rPr>
              <w:fldChar w:fldCharType="end"/>
            </w:r>
          </w:p>
        </w:tc>
        <w:tc>
          <w:tcPr>
            <w:tcW w:w="466" w:type="pct"/>
            <w:tcBorders>
              <w:top w:val="nil"/>
              <w:left w:val="nil"/>
              <w:bottom w:val="nil"/>
              <w:right w:val="nil"/>
            </w:tcBorders>
            <w:shd w:val="clear" w:color="auto" w:fill="auto"/>
            <w:noWrap/>
            <w:vAlign w:val="center"/>
            <w:hideMark/>
          </w:tcPr>
          <w:p w14:paraId="7F06BAD9"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p>
        </w:tc>
        <w:tc>
          <w:tcPr>
            <w:tcW w:w="447" w:type="pct"/>
            <w:tcBorders>
              <w:top w:val="nil"/>
              <w:left w:val="nil"/>
              <w:bottom w:val="nil"/>
              <w:right w:val="nil"/>
            </w:tcBorders>
            <w:shd w:val="clear" w:color="auto" w:fill="auto"/>
            <w:noWrap/>
            <w:vAlign w:val="center"/>
            <w:hideMark/>
          </w:tcPr>
          <w:p w14:paraId="403B1623"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29" w:type="pct"/>
            <w:tcBorders>
              <w:top w:val="nil"/>
              <w:left w:val="nil"/>
              <w:bottom w:val="nil"/>
              <w:right w:val="nil"/>
            </w:tcBorders>
            <w:shd w:val="clear" w:color="auto" w:fill="auto"/>
            <w:noWrap/>
            <w:vAlign w:val="center"/>
            <w:hideMark/>
          </w:tcPr>
          <w:p w14:paraId="35CD0792"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25" w:type="pct"/>
            <w:tcBorders>
              <w:top w:val="nil"/>
              <w:left w:val="nil"/>
              <w:bottom w:val="nil"/>
              <w:right w:val="nil"/>
            </w:tcBorders>
            <w:shd w:val="clear" w:color="auto" w:fill="auto"/>
            <w:noWrap/>
            <w:vAlign w:val="center"/>
            <w:hideMark/>
          </w:tcPr>
          <w:p w14:paraId="15A83120"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414" w:type="pct"/>
            <w:tcBorders>
              <w:top w:val="nil"/>
              <w:left w:val="nil"/>
              <w:bottom w:val="nil"/>
              <w:right w:val="nil"/>
            </w:tcBorders>
            <w:shd w:val="clear" w:color="auto" w:fill="auto"/>
            <w:noWrap/>
            <w:vAlign w:val="center"/>
            <w:hideMark/>
          </w:tcPr>
          <w:p w14:paraId="70715E3B"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56" w:type="pct"/>
            <w:tcBorders>
              <w:top w:val="nil"/>
              <w:left w:val="nil"/>
              <w:bottom w:val="nil"/>
              <w:right w:val="nil"/>
            </w:tcBorders>
            <w:shd w:val="clear" w:color="auto" w:fill="auto"/>
            <w:vAlign w:val="center"/>
            <w:hideMark/>
          </w:tcPr>
          <w:p w14:paraId="4838F3D2"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59" w:type="pct"/>
            <w:tcBorders>
              <w:top w:val="nil"/>
              <w:left w:val="nil"/>
              <w:bottom w:val="nil"/>
              <w:right w:val="nil"/>
            </w:tcBorders>
            <w:shd w:val="clear" w:color="auto" w:fill="auto"/>
            <w:noWrap/>
            <w:vAlign w:val="center"/>
            <w:hideMark/>
          </w:tcPr>
          <w:p w14:paraId="4BEE98D4"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486" w:type="pct"/>
            <w:tcBorders>
              <w:top w:val="nil"/>
              <w:left w:val="nil"/>
              <w:bottom w:val="nil"/>
              <w:right w:val="nil"/>
            </w:tcBorders>
            <w:shd w:val="clear" w:color="auto" w:fill="auto"/>
            <w:noWrap/>
            <w:vAlign w:val="center"/>
            <w:hideMark/>
          </w:tcPr>
          <w:p w14:paraId="1B69D92E"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r>
      <w:tr w:rsidR="0020792C" w:rsidRPr="004834AC" w14:paraId="6375B7C2" w14:textId="77777777" w:rsidTr="006353F6">
        <w:trPr>
          <w:trHeight w:val="360"/>
        </w:trPr>
        <w:tc>
          <w:tcPr>
            <w:tcW w:w="817" w:type="pct"/>
            <w:tcBorders>
              <w:top w:val="nil"/>
              <w:left w:val="nil"/>
              <w:bottom w:val="nil"/>
              <w:right w:val="nil"/>
            </w:tcBorders>
            <w:shd w:val="clear" w:color="auto" w:fill="auto"/>
            <w:noWrap/>
            <w:vAlign w:val="center"/>
            <w:hideMark/>
          </w:tcPr>
          <w:p w14:paraId="6E79C06E"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 xml:space="preserve">Lasebikan </w:t>
            </w:r>
            <w:r w:rsidRPr="004834AC">
              <w:rPr>
                <w:rFonts w:ascii="Calibri" w:eastAsia="Times New Roman" w:hAnsi="Calibri" w:cs="Calibri"/>
                <w:i/>
                <w:iCs/>
                <w:color w:val="000000"/>
                <w:kern w:val="0"/>
                <w:sz w:val="16"/>
                <w:szCs w:val="16"/>
                <w14:ligatures w14:val="none"/>
              </w:rPr>
              <w:t>et al.</w:t>
            </w:r>
            <w:r w:rsidRPr="004834AC">
              <w:rPr>
                <w:rFonts w:ascii="Calibri" w:eastAsia="Times New Roman" w:hAnsi="Calibri" w:cs="Calibri"/>
                <w:i/>
                <w:iCs/>
                <w:color w:val="000000"/>
                <w:kern w:val="0"/>
                <w:sz w:val="16"/>
                <w:szCs w:val="16"/>
                <w14:ligatures w14:val="none"/>
              </w:rPr>
              <w:fldChar w:fldCharType="begin"/>
            </w:r>
            <w:r>
              <w:rPr>
                <w:rFonts w:ascii="Calibri" w:eastAsia="Times New Roman" w:hAnsi="Calibri" w:cs="Calibri"/>
                <w:i/>
                <w:iCs/>
                <w:color w:val="000000"/>
                <w:kern w:val="0"/>
                <w:sz w:val="16"/>
                <w:szCs w:val="16"/>
                <w14:ligatures w14:val="none"/>
              </w:rPr>
              <w:instrText xml:space="preserve"> ADDIN ZOTERO_ITEM CSL_CITATION {"citationID":"NXkW2Qpu","properties":{"formattedCitation":"(34)","plainCitation":"(34)","noteIndex":0},"citationItems":[{"id":4471,"uris":["http://zotero.org/users/11021484/items/CJ93W5CB"],"itemData":{"id":4471,"type":"article-journal","abstract":"Objective: The main objectives of the study were to determine the&amp;nbsp; relationship between social network and pathway to service utilization among psychotic patients.Materials and Methods: This descriptive study was carried out in a&amp;nbsp; psychiatric unit in a general hospital in South West Nigeria. Using structured questionnaires, primary data were collected from 652 psychotic patients on their social network, health behaviors and pathway to current service use. Logistic regression analysis was used to assess the effect of social network on patients' use of services, controlling for sociodemographics, health and functional status.Results: Mean age of the respondents was 29.0 &amp;plusmn; 7.5 years, range 14-58 years, males constituted 52.6%. Regarding pathway to services, alternative sources of care such as priests, spiritualists, natural therapists, herbalists, was the first port of call for 78.9% of respondents. Family dominated the social network in 51.1% of patients. The presence of some social network and social support structures were significantly associated with the use of general medical and specialty psychiatric services for patients with&amp;nbsp; schizophrenia (P = 0.03), schizoaffective disorder (P = 0.02), bipolar I disorder (P = 0.01), but not with major depression and symptoms of&amp;nbsp; psychological distress.Conclusions: Findings indicate that social support and social network&amp;nbsp; enhanced utilization of mental health services for psychiatric patients except for those with psychotic depression or those with symptoms of psychological distress. In addition, alternative sources of care are still relevant in mental health service delivery in South West Nigeria.","container-title":"Annals of African Medicine","ISSN":"1596-3519","issue":"1","language":"en","license":"Copyright (c)","note":"number: 1","source":"www.ajol.info","title":"Social network as a determinant of pathway to mental health service utilization among psychotic patients in a Nigerian hospital","URL":"https://www.ajol.info/index.php/aam/article/view/73893","volume":"11","author":[{"family":"Lasebikan","given":"V. O."},{"family":"Owoaje","given":"E. T."},{"family":"Asuzu","given":"M. C."}],"accessed":{"date-parts":[["2024",3,7]]},"issued":{"date-parts":[["2012"]]}}}],"schema":"https://github.com/citation-style-language/schema/raw/master/csl-citation.json"} </w:instrText>
            </w:r>
            <w:r w:rsidRPr="004834AC">
              <w:rPr>
                <w:rFonts w:ascii="Calibri" w:eastAsia="Times New Roman" w:hAnsi="Calibri" w:cs="Calibri"/>
                <w:i/>
                <w:iCs/>
                <w:color w:val="000000"/>
                <w:kern w:val="0"/>
                <w:sz w:val="16"/>
                <w:szCs w:val="16"/>
                <w14:ligatures w14:val="none"/>
              </w:rPr>
              <w:fldChar w:fldCharType="separate"/>
            </w:r>
            <w:r w:rsidRPr="00910430">
              <w:rPr>
                <w:rFonts w:ascii="Calibri" w:hAnsi="Calibri" w:cs="Calibri"/>
                <w:sz w:val="16"/>
              </w:rPr>
              <w:t>(34)</w:t>
            </w:r>
            <w:r w:rsidRPr="004834AC">
              <w:rPr>
                <w:rFonts w:ascii="Calibri" w:eastAsia="Times New Roman" w:hAnsi="Calibri" w:cs="Calibri"/>
                <w:i/>
                <w:iCs/>
                <w:color w:val="000000"/>
                <w:kern w:val="0"/>
                <w:sz w:val="16"/>
                <w:szCs w:val="16"/>
                <w14:ligatures w14:val="none"/>
              </w:rPr>
              <w:fldChar w:fldCharType="end"/>
            </w:r>
          </w:p>
        </w:tc>
        <w:tc>
          <w:tcPr>
            <w:tcW w:w="466" w:type="pct"/>
            <w:tcBorders>
              <w:top w:val="nil"/>
              <w:left w:val="nil"/>
              <w:bottom w:val="nil"/>
              <w:right w:val="nil"/>
            </w:tcBorders>
            <w:shd w:val="clear" w:color="auto" w:fill="auto"/>
            <w:noWrap/>
            <w:vAlign w:val="center"/>
            <w:hideMark/>
          </w:tcPr>
          <w:p w14:paraId="4FD83C2A"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447" w:type="pct"/>
            <w:tcBorders>
              <w:top w:val="nil"/>
              <w:left w:val="nil"/>
              <w:bottom w:val="nil"/>
              <w:right w:val="nil"/>
            </w:tcBorders>
            <w:shd w:val="clear" w:color="auto" w:fill="auto"/>
            <w:noWrap/>
            <w:vAlign w:val="center"/>
            <w:hideMark/>
          </w:tcPr>
          <w:p w14:paraId="3588E901"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p>
        </w:tc>
        <w:tc>
          <w:tcPr>
            <w:tcW w:w="529" w:type="pct"/>
            <w:tcBorders>
              <w:top w:val="nil"/>
              <w:left w:val="nil"/>
              <w:bottom w:val="nil"/>
              <w:right w:val="nil"/>
            </w:tcBorders>
            <w:shd w:val="clear" w:color="auto" w:fill="auto"/>
            <w:noWrap/>
            <w:vAlign w:val="center"/>
            <w:hideMark/>
          </w:tcPr>
          <w:p w14:paraId="605FABB8"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625" w:type="pct"/>
            <w:tcBorders>
              <w:top w:val="nil"/>
              <w:left w:val="nil"/>
              <w:bottom w:val="nil"/>
              <w:right w:val="nil"/>
            </w:tcBorders>
            <w:shd w:val="clear" w:color="auto" w:fill="auto"/>
            <w:noWrap/>
            <w:vAlign w:val="center"/>
            <w:hideMark/>
          </w:tcPr>
          <w:p w14:paraId="514BA24F"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414" w:type="pct"/>
            <w:tcBorders>
              <w:top w:val="nil"/>
              <w:left w:val="nil"/>
              <w:bottom w:val="nil"/>
              <w:right w:val="nil"/>
            </w:tcBorders>
            <w:shd w:val="clear" w:color="auto" w:fill="auto"/>
            <w:noWrap/>
            <w:vAlign w:val="center"/>
            <w:hideMark/>
          </w:tcPr>
          <w:p w14:paraId="5D9EA330"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556" w:type="pct"/>
            <w:tcBorders>
              <w:top w:val="nil"/>
              <w:left w:val="nil"/>
              <w:bottom w:val="nil"/>
              <w:right w:val="nil"/>
            </w:tcBorders>
            <w:shd w:val="clear" w:color="auto" w:fill="auto"/>
            <w:vAlign w:val="center"/>
            <w:hideMark/>
          </w:tcPr>
          <w:p w14:paraId="29E75742"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p>
        </w:tc>
        <w:tc>
          <w:tcPr>
            <w:tcW w:w="659" w:type="pct"/>
            <w:tcBorders>
              <w:top w:val="nil"/>
              <w:left w:val="nil"/>
              <w:bottom w:val="nil"/>
              <w:right w:val="nil"/>
            </w:tcBorders>
            <w:shd w:val="clear" w:color="auto" w:fill="auto"/>
            <w:noWrap/>
            <w:vAlign w:val="center"/>
            <w:hideMark/>
          </w:tcPr>
          <w:p w14:paraId="2B0B4B41"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486" w:type="pct"/>
            <w:tcBorders>
              <w:top w:val="nil"/>
              <w:left w:val="nil"/>
              <w:bottom w:val="nil"/>
              <w:right w:val="nil"/>
            </w:tcBorders>
            <w:shd w:val="clear" w:color="auto" w:fill="auto"/>
            <w:noWrap/>
            <w:vAlign w:val="center"/>
            <w:hideMark/>
          </w:tcPr>
          <w:p w14:paraId="6B52D301"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r>
      <w:tr w:rsidR="0020792C" w:rsidRPr="004834AC" w14:paraId="1FCF1186" w14:textId="77777777" w:rsidTr="006353F6">
        <w:trPr>
          <w:trHeight w:val="360"/>
        </w:trPr>
        <w:tc>
          <w:tcPr>
            <w:tcW w:w="817" w:type="pct"/>
            <w:tcBorders>
              <w:top w:val="nil"/>
              <w:left w:val="nil"/>
              <w:bottom w:val="nil"/>
              <w:right w:val="nil"/>
            </w:tcBorders>
            <w:shd w:val="clear" w:color="auto" w:fill="auto"/>
            <w:noWrap/>
            <w:vAlign w:val="center"/>
            <w:hideMark/>
          </w:tcPr>
          <w:p w14:paraId="36178AFB"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 xml:space="preserve">Mosaku </w:t>
            </w:r>
            <w:r>
              <w:rPr>
                <w:rFonts w:ascii="Calibri" w:eastAsia="Times New Roman" w:hAnsi="Calibri" w:cs="Calibri"/>
                <w:color w:val="000000"/>
                <w:kern w:val="0"/>
                <w:sz w:val="16"/>
                <w:szCs w:val="16"/>
                <w14:ligatures w14:val="none"/>
              </w:rPr>
              <w:t>and Wallymahmed</w:t>
            </w:r>
            <w:r w:rsidRPr="004834AC">
              <w:rPr>
                <w:rFonts w:ascii="Calibri" w:eastAsia="Times New Roman" w:hAnsi="Calibri" w:cs="Calibri"/>
                <w:i/>
                <w:iCs/>
                <w:color w:val="000000"/>
                <w:kern w:val="0"/>
                <w:sz w:val="16"/>
                <w:szCs w:val="16"/>
                <w14:ligatures w14:val="none"/>
              </w:rPr>
              <w:fldChar w:fldCharType="begin"/>
            </w:r>
            <w:r>
              <w:rPr>
                <w:rFonts w:ascii="Calibri" w:eastAsia="Times New Roman" w:hAnsi="Calibri" w:cs="Calibri"/>
                <w:i/>
                <w:iCs/>
                <w:color w:val="000000"/>
                <w:kern w:val="0"/>
                <w:sz w:val="16"/>
                <w:szCs w:val="16"/>
                <w14:ligatures w14:val="none"/>
              </w:rPr>
              <w:instrText xml:space="preserve"> ADDIN ZOTERO_ITEM CSL_CITATION {"citationID":"ItCQ53Sw","properties":{"formattedCitation":"(35)","plainCitation":"(35)","noteIndex":0},"citationItems":[{"id":4434,"uris":["http://zotero.org/users/11021484/items/JN2GATLT"],"itemData":{"id":4434,"type":"article-journal","abstract":"World Health Organization (WHO) recommends integration of mental health services into primary health services; however attitude of primary health care workers is one barrier to this. A cross sectional survey using the Community Attitudes towards Mental Illness (CAMI) was done. One hundred and twenty primary care workers were randomly selected from three local government areas. Descriptive and inferential statistics were used in analyses. The results showed that most primary health care workers hold a benevolent (mean=2.47, SD=0.52) attitude towards the mentally ill. Workers with 10 years or more experience tend to have less authoritarian (t=3.19, p=0.01) and less social restrictive (t=3.90, p=0.01) attitudes towards the mentally ill. There were no significant differences in attitude by gender, marital status, or designation of health care workers. The study showed that primary care workers have attitudes similar to that seen in the general population.","container-title":"Community Mental Health Journal","DOI":"10.1007/s10597-016-0017-3","ISSN":"00103853","issue":"2","language":"English","license":"Community Mental Health Journal is a copyright of Springer, 2017.","note":"number-of-pages: 176-182\npublisher-place: New York, Netherlands\npublisher: Springer Nature B.V.","page":"176-182","source":"ProQuest","title":"Attitudes of Primary Care Health Workers Towards Mental Health Patients: A Cross-Sectional Study in Osun State, Nigeria","title-short":"Attitudes of Primary Care Health Workers Towards Mental Health Patients","volume":"53","author":[{"family":"Mosaku","given":"Kolawole S."},{"family":"Wallymahmed","given":"Akhtar H."}],"issued":{"date-parts":[["2017",2]]}}}],"schema":"https://github.com/citation-style-language/schema/raw/master/csl-citation.json"} </w:instrText>
            </w:r>
            <w:r w:rsidRPr="004834AC">
              <w:rPr>
                <w:rFonts w:ascii="Calibri" w:eastAsia="Times New Roman" w:hAnsi="Calibri" w:cs="Calibri"/>
                <w:i/>
                <w:iCs/>
                <w:color w:val="000000"/>
                <w:kern w:val="0"/>
                <w:sz w:val="16"/>
                <w:szCs w:val="16"/>
                <w14:ligatures w14:val="none"/>
              </w:rPr>
              <w:fldChar w:fldCharType="separate"/>
            </w:r>
            <w:r w:rsidRPr="00910430">
              <w:rPr>
                <w:rFonts w:ascii="Calibri" w:hAnsi="Calibri" w:cs="Calibri"/>
                <w:sz w:val="16"/>
              </w:rPr>
              <w:t>(35)</w:t>
            </w:r>
            <w:r w:rsidRPr="004834AC">
              <w:rPr>
                <w:rFonts w:ascii="Calibri" w:eastAsia="Times New Roman" w:hAnsi="Calibri" w:cs="Calibri"/>
                <w:i/>
                <w:iCs/>
                <w:color w:val="000000"/>
                <w:kern w:val="0"/>
                <w:sz w:val="16"/>
                <w:szCs w:val="16"/>
                <w14:ligatures w14:val="none"/>
              </w:rPr>
              <w:fldChar w:fldCharType="end"/>
            </w:r>
          </w:p>
        </w:tc>
        <w:tc>
          <w:tcPr>
            <w:tcW w:w="466" w:type="pct"/>
            <w:tcBorders>
              <w:top w:val="nil"/>
              <w:left w:val="nil"/>
              <w:bottom w:val="nil"/>
              <w:right w:val="nil"/>
            </w:tcBorders>
            <w:shd w:val="clear" w:color="auto" w:fill="auto"/>
            <w:noWrap/>
            <w:vAlign w:val="center"/>
            <w:hideMark/>
          </w:tcPr>
          <w:p w14:paraId="403BA28A"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p>
        </w:tc>
        <w:tc>
          <w:tcPr>
            <w:tcW w:w="447" w:type="pct"/>
            <w:tcBorders>
              <w:top w:val="nil"/>
              <w:left w:val="nil"/>
              <w:bottom w:val="nil"/>
              <w:right w:val="nil"/>
            </w:tcBorders>
            <w:shd w:val="clear" w:color="auto" w:fill="auto"/>
            <w:noWrap/>
            <w:vAlign w:val="center"/>
            <w:hideMark/>
          </w:tcPr>
          <w:p w14:paraId="4AD75C6D"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29" w:type="pct"/>
            <w:tcBorders>
              <w:top w:val="nil"/>
              <w:left w:val="nil"/>
              <w:bottom w:val="nil"/>
              <w:right w:val="nil"/>
            </w:tcBorders>
            <w:shd w:val="clear" w:color="auto" w:fill="auto"/>
            <w:noWrap/>
            <w:vAlign w:val="center"/>
            <w:hideMark/>
          </w:tcPr>
          <w:p w14:paraId="4301A8B3"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25" w:type="pct"/>
            <w:tcBorders>
              <w:top w:val="nil"/>
              <w:left w:val="nil"/>
              <w:bottom w:val="nil"/>
              <w:right w:val="nil"/>
            </w:tcBorders>
            <w:shd w:val="clear" w:color="auto" w:fill="auto"/>
            <w:noWrap/>
            <w:vAlign w:val="center"/>
            <w:hideMark/>
          </w:tcPr>
          <w:p w14:paraId="31B1B278"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414" w:type="pct"/>
            <w:tcBorders>
              <w:top w:val="nil"/>
              <w:left w:val="nil"/>
              <w:bottom w:val="nil"/>
              <w:right w:val="nil"/>
            </w:tcBorders>
            <w:shd w:val="clear" w:color="auto" w:fill="auto"/>
            <w:noWrap/>
            <w:vAlign w:val="center"/>
            <w:hideMark/>
          </w:tcPr>
          <w:p w14:paraId="09187E76"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56" w:type="pct"/>
            <w:tcBorders>
              <w:top w:val="nil"/>
              <w:left w:val="nil"/>
              <w:bottom w:val="nil"/>
              <w:right w:val="nil"/>
            </w:tcBorders>
            <w:shd w:val="clear" w:color="auto" w:fill="auto"/>
            <w:vAlign w:val="center"/>
            <w:hideMark/>
          </w:tcPr>
          <w:p w14:paraId="0BB838AE"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59" w:type="pct"/>
            <w:tcBorders>
              <w:top w:val="nil"/>
              <w:left w:val="nil"/>
              <w:bottom w:val="nil"/>
              <w:right w:val="nil"/>
            </w:tcBorders>
            <w:shd w:val="clear" w:color="auto" w:fill="auto"/>
            <w:noWrap/>
            <w:vAlign w:val="center"/>
            <w:hideMark/>
          </w:tcPr>
          <w:p w14:paraId="35632D73"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486" w:type="pct"/>
            <w:tcBorders>
              <w:top w:val="nil"/>
              <w:left w:val="nil"/>
              <w:bottom w:val="nil"/>
              <w:right w:val="nil"/>
            </w:tcBorders>
            <w:shd w:val="clear" w:color="auto" w:fill="auto"/>
            <w:noWrap/>
            <w:vAlign w:val="center"/>
            <w:hideMark/>
          </w:tcPr>
          <w:p w14:paraId="38D35E22"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p>
        </w:tc>
      </w:tr>
      <w:tr w:rsidR="0020792C" w:rsidRPr="004834AC" w14:paraId="3FC8C863" w14:textId="77777777" w:rsidTr="006353F6">
        <w:trPr>
          <w:trHeight w:val="360"/>
        </w:trPr>
        <w:tc>
          <w:tcPr>
            <w:tcW w:w="817" w:type="pct"/>
            <w:tcBorders>
              <w:top w:val="nil"/>
              <w:left w:val="nil"/>
              <w:bottom w:val="nil"/>
              <w:right w:val="nil"/>
            </w:tcBorders>
            <w:shd w:val="clear" w:color="auto" w:fill="auto"/>
            <w:noWrap/>
            <w:vAlign w:val="center"/>
            <w:hideMark/>
          </w:tcPr>
          <w:p w14:paraId="65E00CFB"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 xml:space="preserve">Nartey </w:t>
            </w:r>
            <w:r w:rsidRPr="004834AC">
              <w:rPr>
                <w:rFonts w:ascii="Calibri" w:eastAsia="Times New Roman" w:hAnsi="Calibri" w:cs="Calibri"/>
                <w:i/>
                <w:iCs/>
                <w:color w:val="000000"/>
                <w:kern w:val="0"/>
                <w:sz w:val="16"/>
                <w:szCs w:val="16"/>
                <w14:ligatures w14:val="none"/>
              </w:rPr>
              <w:t>et al.</w:t>
            </w:r>
            <w:r w:rsidRPr="004834AC">
              <w:rPr>
                <w:rFonts w:ascii="Calibri" w:eastAsia="Times New Roman" w:hAnsi="Calibri" w:cs="Calibri"/>
                <w:i/>
                <w:iCs/>
                <w:color w:val="000000"/>
                <w:kern w:val="0"/>
                <w:sz w:val="16"/>
                <w:szCs w:val="16"/>
                <w14:ligatures w14:val="none"/>
              </w:rPr>
              <w:fldChar w:fldCharType="begin"/>
            </w:r>
            <w:r>
              <w:rPr>
                <w:rFonts w:ascii="Calibri" w:eastAsia="Times New Roman" w:hAnsi="Calibri" w:cs="Calibri"/>
                <w:i/>
                <w:iCs/>
                <w:color w:val="000000"/>
                <w:kern w:val="0"/>
                <w:sz w:val="16"/>
                <w:szCs w:val="16"/>
                <w14:ligatures w14:val="none"/>
              </w:rPr>
              <w:instrText xml:space="preserve"> ADDIN ZOTERO_ITEM CSL_CITATION {"citationID":"E3SFXJVa","properties":{"formattedCitation":"(36)","plainCitation":"(36)","noteIndex":0},"citationItems":[{"id":4581,"uris":["http://zotero.org/users/11021484/items/5XHXTUB2"],"itemData":{"id":4581,"type":"article-journal","abstract":"Purpose: To explore factors influencing treatment pathways to mental health services among consumers in Ghana. Design and Methods: Cross‐sectional design using quantitative method. Findings: Treatment pathways for mental illness were general hospitals/clinics, psychiatric hospitals, and faith‐based practices. The predisposing (age, household size, primary occupation, ethnicity, marital status, religion, and geographic location, as well as attitudes and beliefs), enabling (affordability), and need factors (severity of mental illness) were significant predictors of treatment pathways.","container-title":"Perspectives in Psychiatric Care","DOI":"10.1111/ppc.12350","ISSN":"0031-5990, 1744-6163","issue":"2","journalAbbreviation":"Perspect Psychiatr Care","language":"en","page":"300-310","source":"DOI.org (Crossref)","title":"The predictors of treatment pathways to mental health services among consumers in Ghana","volume":"55","author":[{"family":"Nartey","given":"Anna Korley"},{"family":"Badu","given":"Eric"},{"family":"Agyei‐Baffour","given":"Peter"},{"family":"Gyamfi","given":"Naomi"},{"family":"Opoku","given":"Maxwell Preprah"},{"family":"O'Brien","given":"Anthony Paul"},{"family":"Mitchell","given":"Rebecca"}],"issued":{"date-parts":[["2019",4]]}}}],"schema":"https://github.com/citation-style-language/schema/raw/master/csl-citation.json"} </w:instrText>
            </w:r>
            <w:r w:rsidRPr="004834AC">
              <w:rPr>
                <w:rFonts w:ascii="Calibri" w:eastAsia="Times New Roman" w:hAnsi="Calibri" w:cs="Calibri"/>
                <w:i/>
                <w:iCs/>
                <w:color w:val="000000"/>
                <w:kern w:val="0"/>
                <w:sz w:val="16"/>
                <w:szCs w:val="16"/>
                <w14:ligatures w14:val="none"/>
              </w:rPr>
              <w:fldChar w:fldCharType="separate"/>
            </w:r>
            <w:r w:rsidRPr="00910430">
              <w:rPr>
                <w:rFonts w:ascii="Calibri" w:hAnsi="Calibri" w:cs="Calibri"/>
                <w:sz w:val="16"/>
              </w:rPr>
              <w:t>(36)</w:t>
            </w:r>
            <w:r w:rsidRPr="004834AC">
              <w:rPr>
                <w:rFonts w:ascii="Calibri" w:eastAsia="Times New Roman" w:hAnsi="Calibri" w:cs="Calibri"/>
                <w:i/>
                <w:iCs/>
                <w:color w:val="000000"/>
                <w:kern w:val="0"/>
                <w:sz w:val="16"/>
                <w:szCs w:val="16"/>
                <w14:ligatures w14:val="none"/>
              </w:rPr>
              <w:fldChar w:fldCharType="end"/>
            </w:r>
          </w:p>
        </w:tc>
        <w:tc>
          <w:tcPr>
            <w:tcW w:w="466" w:type="pct"/>
            <w:tcBorders>
              <w:top w:val="nil"/>
              <w:left w:val="nil"/>
              <w:bottom w:val="nil"/>
              <w:right w:val="nil"/>
            </w:tcBorders>
            <w:shd w:val="clear" w:color="auto" w:fill="auto"/>
            <w:noWrap/>
            <w:vAlign w:val="center"/>
            <w:hideMark/>
          </w:tcPr>
          <w:p w14:paraId="5F5EE813"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p>
        </w:tc>
        <w:tc>
          <w:tcPr>
            <w:tcW w:w="447" w:type="pct"/>
            <w:tcBorders>
              <w:top w:val="nil"/>
              <w:left w:val="nil"/>
              <w:bottom w:val="nil"/>
              <w:right w:val="nil"/>
            </w:tcBorders>
            <w:shd w:val="clear" w:color="auto" w:fill="auto"/>
            <w:noWrap/>
            <w:vAlign w:val="center"/>
            <w:hideMark/>
          </w:tcPr>
          <w:p w14:paraId="56FA1A83"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29" w:type="pct"/>
            <w:tcBorders>
              <w:top w:val="nil"/>
              <w:left w:val="nil"/>
              <w:bottom w:val="nil"/>
              <w:right w:val="nil"/>
            </w:tcBorders>
            <w:shd w:val="clear" w:color="auto" w:fill="auto"/>
            <w:noWrap/>
            <w:vAlign w:val="center"/>
            <w:hideMark/>
          </w:tcPr>
          <w:p w14:paraId="53D7E5DC"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25" w:type="pct"/>
            <w:tcBorders>
              <w:top w:val="nil"/>
              <w:left w:val="nil"/>
              <w:bottom w:val="nil"/>
              <w:right w:val="nil"/>
            </w:tcBorders>
            <w:shd w:val="clear" w:color="auto" w:fill="auto"/>
            <w:noWrap/>
            <w:vAlign w:val="center"/>
            <w:hideMark/>
          </w:tcPr>
          <w:p w14:paraId="1C9A13B2"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414" w:type="pct"/>
            <w:tcBorders>
              <w:top w:val="nil"/>
              <w:left w:val="nil"/>
              <w:bottom w:val="nil"/>
              <w:right w:val="nil"/>
            </w:tcBorders>
            <w:shd w:val="clear" w:color="auto" w:fill="auto"/>
            <w:noWrap/>
            <w:vAlign w:val="center"/>
            <w:hideMark/>
          </w:tcPr>
          <w:p w14:paraId="5DF26748"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56" w:type="pct"/>
            <w:tcBorders>
              <w:top w:val="nil"/>
              <w:left w:val="nil"/>
              <w:bottom w:val="nil"/>
              <w:right w:val="nil"/>
            </w:tcBorders>
            <w:shd w:val="clear" w:color="auto" w:fill="auto"/>
            <w:vAlign w:val="center"/>
            <w:hideMark/>
          </w:tcPr>
          <w:p w14:paraId="37712A45"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59" w:type="pct"/>
            <w:tcBorders>
              <w:top w:val="nil"/>
              <w:left w:val="nil"/>
              <w:bottom w:val="nil"/>
              <w:right w:val="nil"/>
            </w:tcBorders>
            <w:shd w:val="clear" w:color="auto" w:fill="auto"/>
            <w:noWrap/>
            <w:vAlign w:val="center"/>
            <w:hideMark/>
          </w:tcPr>
          <w:p w14:paraId="0B6F6F3D"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486" w:type="pct"/>
            <w:tcBorders>
              <w:top w:val="nil"/>
              <w:left w:val="nil"/>
              <w:bottom w:val="nil"/>
              <w:right w:val="nil"/>
            </w:tcBorders>
            <w:shd w:val="clear" w:color="auto" w:fill="auto"/>
            <w:noWrap/>
            <w:vAlign w:val="center"/>
            <w:hideMark/>
          </w:tcPr>
          <w:p w14:paraId="4D0B264A"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p>
        </w:tc>
      </w:tr>
      <w:tr w:rsidR="0020792C" w:rsidRPr="004834AC" w14:paraId="575399EA" w14:textId="77777777" w:rsidTr="006353F6">
        <w:trPr>
          <w:trHeight w:val="360"/>
        </w:trPr>
        <w:tc>
          <w:tcPr>
            <w:tcW w:w="817" w:type="pct"/>
            <w:tcBorders>
              <w:top w:val="nil"/>
              <w:left w:val="nil"/>
              <w:bottom w:val="nil"/>
              <w:right w:val="nil"/>
            </w:tcBorders>
            <w:shd w:val="clear" w:color="auto" w:fill="auto"/>
            <w:noWrap/>
            <w:vAlign w:val="center"/>
            <w:hideMark/>
          </w:tcPr>
          <w:p w14:paraId="14BC6033"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 xml:space="preserve">Nelson </w:t>
            </w:r>
            <w:r>
              <w:rPr>
                <w:rFonts w:ascii="Calibri" w:eastAsia="Times New Roman" w:hAnsi="Calibri" w:cs="Calibri"/>
                <w:color w:val="000000"/>
                <w:kern w:val="0"/>
                <w:sz w:val="16"/>
                <w:szCs w:val="16"/>
                <w14:ligatures w14:val="none"/>
              </w:rPr>
              <w:t>and Abikoye</w:t>
            </w:r>
            <w:r w:rsidRPr="004834AC">
              <w:rPr>
                <w:rFonts w:ascii="Calibri" w:eastAsia="Times New Roman" w:hAnsi="Calibri" w:cs="Calibri"/>
                <w:i/>
                <w:iCs/>
                <w:color w:val="000000"/>
                <w:kern w:val="0"/>
                <w:sz w:val="16"/>
                <w:szCs w:val="16"/>
                <w14:ligatures w14:val="none"/>
              </w:rPr>
              <w:fldChar w:fldCharType="begin"/>
            </w:r>
            <w:r>
              <w:rPr>
                <w:rFonts w:ascii="Calibri" w:eastAsia="Times New Roman" w:hAnsi="Calibri" w:cs="Calibri"/>
                <w:i/>
                <w:iCs/>
                <w:color w:val="000000"/>
                <w:kern w:val="0"/>
                <w:sz w:val="16"/>
                <w:szCs w:val="16"/>
                <w14:ligatures w14:val="none"/>
              </w:rPr>
              <w:instrText xml:space="preserve"> ADDIN ZOTERO_ITEM CSL_CITATION {"citationID":"VgK4z6ph","properties":{"formattedCitation":"(9)","plainCitation":"(9)","noteIndex":0},"citationItems":[{"id":4549,"uris":["http://zotero.org/users/11021484/items/D4LEPJTE"],"itemData":{"id":4549,"type":"article-journal","abstract":"This study investigates barriers to utilization of drug abuse treatment by female street sex workers in Nigeria. Twenty-seven (n=27) street sex workers were recruited through venue-based snow-ball sampling. In-depth, individual interviews were conducted, and transcripts were subjected to thematic, inductive and data-driven analysis. Sex workers use psychoactive drugs to manage the hazards of street sex work, including guilt, stigma and violence. While a few denied drug-related harms, doubted treatment efficacy and evinced self-efficacy in managing drug problems, majority of sex workers recognized drug-related harms and the need for treatment. Inadequate information on services, financial and time cost of treatment, fear of police arrest, stigma and lack of male partner support posed as barriers to drug abuse treatment. Social and structural barriers to treatment utilization violate sex workers’ rights to health and exacerbate drug-related harms. Findings highlight the need for changes in policy and societal perceptions of sex work, and multi-level, rights-based interventions to remove barriers to drug abuse treatment for female street sex workers.","container-title":"Journal of Psychoactive Drugs","DOI":"10.1080/02791072.2019.1605103","ISSN":"0279-1072, 2159-9777","issue":"4","journalAbbreviation":"Journal of Psychoactive Drugs","language":"en","page":"383-390","source":"DOI.org (Crossref)","title":"Multiple Barriers to Utilization of Drug Abuse Treatment by Female Street Sex Workers in Nigeria","volume":"51","author":[{"family":"Nelson","given":"Ediomo-Ubong E."},{"family":"Abikoye","given":"Gboyega E."}],"issued":{"date-parts":[["2019",8,8]]}}}],"schema":"https://github.com/citation-style-language/schema/raw/master/csl-citation.json"} </w:instrText>
            </w:r>
            <w:r w:rsidRPr="004834AC">
              <w:rPr>
                <w:rFonts w:ascii="Calibri" w:eastAsia="Times New Roman" w:hAnsi="Calibri" w:cs="Calibri"/>
                <w:i/>
                <w:iCs/>
                <w:color w:val="000000"/>
                <w:kern w:val="0"/>
                <w:sz w:val="16"/>
                <w:szCs w:val="16"/>
                <w14:ligatures w14:val="none"/>
              </w:rPr>
              <w:fldChar w:fldCharType="separate"/>
            </w:r>
            <w:r w:rsidRPr="00910430">
              <w:rPr>
                <w:rFonts w:ascii="Calibri" w:hAnsi="Calibri" w:cs="Calibri"/>
                <w:sz w:val="16"/>
              </w:rPr>
              <w:t>(9)</w:t>
            </w:r>
            <w:r w:rsidRPr="004834AC">
              <w:rPr>
                <w:rFonts w:ascii="Calibri" w:eastAsia="Times New Roman" w:hAnsi="Calibri" w:cs="Calibri"/>
                <w:i/>
                <w:iCs/>
                <w:color w:val="000000"/>
                <w:kern w:val="0"/>
                <w:sz w:val="16"/>
                <w:szCs w:val="16"/>
                <w14:ligatures w14:val="none"/>
              </w:rPr>
              <w:fldChar w:fldCharType="end"/>
            </w:r>
          </w:p>
        </w:tc>
        <w:tc>
          <w:tcPr>
            <w:tcW w:w="466" w:type="pct"/>
            <w:tcBorders>
              <w:top w:val="nil"/>
              <w:left w:val="nil"/>
              <w:bottom w:val="nil"/>
              <w:right w:val="nil"/>
            </w:tcBorders>
            <w:shd w:val="clear" w:color="auto" w:fill="auto"/>
            <w:noWrap/>
            <w:vAlign w:val="center"/>
            <w:hideMark/>
          </w:tcPr>
          <w:p w14:paraId="19C33D07"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p>
        </w:tc>
        <w:tc>
          <w:tcPr>
            <w:tcW w:w="447" w:type="pct"/>
            <w:tcBorders>
              <w:top w:val="nil"/>
              <w:left w:val="nil"/>
              <w:bottom w:val="nil"/>
              <w:right w:val="nil"/>
            </w:tcBorders>
            <w:shd w:val="clear" w:color="auto" w:fill="auto"/>
            <w:noWrap/>
            <w:vAlign w:val="center"/>
            <w:hideMark/>
          </w:tcPr>
          <w:p w14:paraId="7208E75E"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29" w:type="pct"/>
            <w:tcBorders>
              <w:top w:val="nil"/>
              <w:left w:val="nil"/>
              <w:bottom w:val="nil"/>
              <w:right w:val="nil"/>
            </w:tcBorders>
            <w:shd w:val="clear" w:color="auto" w:fill="auto"/>
            <w:noWrap/>
            <w:vAlign w:val="center"/>
            <w:hideMark/>
          </w:tcPr>
          <w:p w14:paraId="5AA0F955"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25" w:type="pct"/>
            <w:tcBorders>
              <w:top w:val="nil"/>
              <w:left w:val="nil"/>
              <w:bottom w:val="nil"/>
              <w:right w:val="nil"/>
            </w:tcBorders>
            <w:shd w:val="clear" w:color="auto" w:fill="auto"/>
            <w:noWrap/>
            <w:vAlign w:val="center"/>
            <w:hideMark/>
          </w:tcPr>
          <w:p w14:paraId="6C8A1934"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414" w:type="pct"/>
            <w:tcBorders>
              <w:top w:val="nil"/>
              <w:left w:val="nil"/>
              <w:bottom w:val="nil"/>
              <w:right w:val="nil"/>
            </w:tcBorders>
            <w:shd w:val="clear" w:color="auto" w:fill="auto"/>
            <w:noWrap/>
            <w:vAlign w:val="center"/>
            <w:hideMark/>
          </w:tcPr>
          <w:p w14:paraId="08F5CC3E"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56" w:type="pct"/>
            <w:tcBorders>
              <w:top w:val="nil"/>
              <w:left w:val="nil"/>
              <w:bottom w:val="nil"/>
              <w:right w:val="nil"/>
            </w:tcBorders>
            <w:shd w:val="clear" w:color="auto" w:fill="auto"/>
            <w:noWrap/>
            <w:vAlign w:val="center"/>
            <w:hideMark/>
          </w:tcPr>
          <w:p w14:paraId="58A90CD0"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659" w:type="pct"/>
            <w:tcBorders>
              <w:top w:val="nil"/>
              <w:left w:val="nil"/>
              <w:bottom w:val="nil"/>
              <w:right w:val="nil"/>
            </w:tcBorders>
            <w:shd w:val="clear" w:color="auto" w:fill="auto"/>
            <w:noWrap/>
            <w:vAlign w:val="center"/>
            <w:hideMark/>
          </w:tcPr>
          <w:p w14:paraId="685D5A6E"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p>
        </w:tc>
        <w:tc>
          <w:tcPr>
            <w:tcW w:w="486" w:type="pct"/>
            <w:tcBorders>
              <w:top w:val="nil"/>
              <w:left w:val="nil"/>
              <w:bottom w:val="nil"/>
              <w:right w:val="nil"/>
            </w:tcBorders>
            <w:shd w:val="clear" w:color="auto" w:fill="auto"/>
            <w:noWrap/>
            <w:vAlign w:val="center"/>
            <w:hideMark/>
          </w:tcPr>
          <w:p w14:paraId="60632A1E"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r>
      <w:tr w:rsidR="0020792C" w:rsidRPr="004834AC" w14:paraId="55D2564A" w14:textId="77777777" w:rsidTr="006353F6">
        <w:trPr>
          <w:trHeight w:val="360"/>
        </w:trPr>
        <w:tc>
          <w:tcPr>
            <w:tcW w:w="817" w:type="pct"/>
            <w:tcBorders>
              <w:top w:val="nil"/>
              <w:left w:val="nil"/>
              <w:bottom w:val="nil"/>
              <w:right w:val="nil"/>
            </w:tcBorders>
            <w:shd w:val="clear" w:color="auto" w:fill="auto"/>
            <w:noWrap/>
            <w:vAlign w:val="center"/>
            <w:hideMark/>
          </w:tcPr>
          <w:p w14:paraId="3D4477C1"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Nonye and Oseloka</w:t>
            </w:r>
            <w:r w:rsidRPr="004834AC">
              <w:rPr>
                <w:rFonts w:ascii="Calibri" w:eastAsia="Times New Roman" w:hAnsi="Calibri" w:cs="Calibri"/>
                <w:color w:val="000000"/>
                <w:kern w:val="0"/>
                <w:sz w:val="16"/>
                <w:szCs w:val="16"/>
                <w14:ligatures w14:val="none"/>
              </w:rPr>
              <w:fldChar w:fldCharType="begin"/>
            </w:r>
            <w:r>
              <w:rPr>
                <w:rFonts w:ascii="Calibri" w:eastAsia="Times New Roman" w:hAnsi="Calibri" w:cs="Calibri"/>
                <w:color w:val="000000"/>
                <w:kern w:val="0"/>
                <w:sz w:val="16"/>
                <w:szCs w:val="16"/>
                <w14:ligatures w14:val="none"/>
              </w:rPr>
              <w:instrText xml:space="preserve"> ADDIN ZOTERO_ITEM CSL_CITATION {"citationID":"ckmx2qen","properties":{"formattedCitation":"(19)","plainCitation":"(19)","noteIndex":0},"citationItems":[{"id":4555,"uris":["http://zotero.org/users/11021484/items/AH5DHY8H"],"itemData":{"id":4555,"type":"article-journal","issue":"1","language":"en","source":"Zotero","title":"Health-seeking behaviour of mentally ill patients in Enugu, Nigeria","volume":"15","author":[{"family":"Nonye","given":"Aniebue Patricia"},{"family":"Bs","given":"Mb"},{"family":"Oseloka","given":"Ekwueme Christiandolus"},{"family":"Bs","given":"Mb"}],"issued":{"date-parts":[["2009"]]}}}],"schema":"https://github.com/citation-style-language/schema/raw/master/csl-citation.json"} </w:instrText>
            </w:r>
            <w:r w:rsidRPr="004834AC">
              <w:rPr>
                <w:rFonts w:ascii="Calibri" w:eastAsia="Times New Roman" w:hAnsi="Calibri" w:cs="Calibri"/>
                <w:color w:val="000000"/>
                <w:kern w:val="0"/>
                <w:sz w:val="16"/>
                <w:szCs w:val="16"/>
                <w14:ligatures w14:val="none"/>
              </w:rPr>
              <w:fldChar w:fldCharType="separate"/>
            </w:r>
            <w:r w:rsidRPr="00910430">
              <w:rPr>
                <w:rFonts w:ascii="Calibri" w:hAnsi="Calibri" w:cs="Calibri"/>
                <w:sz w:val="16"/>
              </w:rPr>
              <w:t>(19)</w:t>
            </w:r>
            <w:r w:rsidRPr="004834AC">
              <w:rPr>
                <w:rFonts w:ascii="Calibri" w:eastAsia="Times New Roman" w:hAnsi="Calibri" w:cs="Calibri"/>
                <w:color w:val="000000"/>
                <w:kern w:val="0"/>
                <w:sz w:val="16"/>
                <w:szCs w:val="16"/>
                <w14:ligatures w14:val="none"/>
              </w:rPr>
              <w:fldChar w:fldCharType="end"/>
            </w:r>
          </w:p>
        </w:tc>
        <w:tc>
          <w:tcPr>
            <w:tcW w:w="466" w:type="pct"/>
            <w:tcBorders>
              <w:top w:val="nil"/>
              <w:left w:val="nil"/>
              <w:bottom w:val="nil"/>
              <w:right w:val="nil"/>
            </w:tcBorders>
            <w:shd w:val="clear" w:color="auto" w:fill="auto"/>
            <w:noWrap/>
            <w:vAlign w:val="center"/>
            <w:hideMark/>
          </w:tcPr>
          <w:p w14:paraId="06B3077A"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p>
        </w:tc>
        <w:tc>
          <w:tcPr>
            <w:tcW w:w="447" w:type="pct"/>
            <w:tcBorders>
              <w:top w:val="nil"/>
              <w:left w:val="nil"/>
              <w:bottom w:val="nil"/>
              <w:right w:val="nil"/>
            </w:tcBorders>
            <w:shd w:val="clear" w:color="auto" w:fill="auto"/>
            <w:noWrap/>
            <w:vAlign w:val="center"/>
            <w:hideMark/>
          </w:tcPr>
          <w:p w14:paraId="1D327710"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29" w:type="pct"/>
            <w:tcBorders>
              <w:top w:val="nil"/>
              <w:left w:val="nil"/>
              <w:bottom w:val="nil"/>
              <w:right w:val="nil"/>
            </w:tcBorders>
            <w:shd w:val="clear" w:color="auto" w:fill="auto"/>
            <w:noWrap/>
            <w:vAlign w:val="center"/>
            <w:hideMark/>
          </w:tcPr>
          <w:p w14:paraId="340E6CF1"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25" w:type="pct"/>
            <w:tcBorders>
              <w:top w:val="nil"/>
              <w:left w:val="nil"/>
              <w:bottom w:val="nil"/>
              <w:right w:val="nil"/>
            </w:tcBorders>
            <w:shd w:val="clear" w:color="auto" w:fill="auto"/>
            <w:noWrap/>
            <w:vAlign w:val="center"/>
            <w:hideMark/>
          </w:tcPr>
          <w:p w14:paraId="28762202"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414" w:type="pct"/>
            <w:tcBorders>
              <w:top w:val="nil"/>
              <w:left w:val="nil"/>
              <w:bottom w:val="nil"/>
              <w:right w:val="nil"/>
            </w:tcBorders>
            <w:shd w:val="clear" w:color="auto" w:fill="auto"/>
            <w:noWrap/>
            <w:vAlign w:val="center"/>
            <w:hideMark/>
          </w:tcPr>
          <w:p w14:paraId="57037301"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56" w:type="pct"/>
            <w:tcBorders>
              <w:top w:val="nil"/>
              <w:left w:val="nil"/>
              <w:bottom w:val="nil"/>
              <w:right w:val="nil"/>
            </w:tcBorders>
            <w:shd w:val="clear" w:color="auto" w:fill="auto"/>
            <w:vAlign w:val="center"/>
            <w:hideMark/>
          </w:tcPr>
          <w:p w14:paraId="3A5FC3C2"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59" w:type="pct"/>
            <w:tcBorders>
              <w:top w:val="nil"/>
              <w:left w:val="nil"/>
              <w:bottom w:val="nil"/>
              <w:right w:val="nil"/>
            </w:tcBorders>
            <w:shd w:val="clear" w:color="auto" w:fill="auto"/>
            <w:noWrap/>
            <w:vAlign w:val="center"/>
            <w:hideMark/>
          </w:tcPr>
          <w:p w14:paraId="06E5AD84"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486" w:type="pct"/>
            <w:tcBorders>
              <w:top w:val="nil"/>
              <w:left w:val="nil"/>
              <w:bottom w:val="nil"/>
              <w:right w:val="nil"/>
            </w:tcBorders>
            <w:shd w:val="clear" w:color="auto" w:fill="auto"/>
            <w:noWrap/>
            <w:vAlign w:val="center"/>
            <w:hideMark/>
          </w:tcPr>
          <w:p w14:paraId="343E51BC"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p>
        </w:tc>
      </w:tr>
      <w:tr w:rsidR="0020792C" w:rsidRPr="004834AC" w14:paraId="49A5DC9A" w14:textId="77777777" w:rsidTr="006353F6">
        <w:trPr>
          <w:trHeight w:val="360"/>
        </w:trPr>
        <w:tc>
          <w:tcPr>
            <w:tcW w:w="817" w:type="pct"/>
            <w:tcBorders>
              <w:top w:val="nil"/>
              <w:left w:val="nil"/>
              <w:bottom w:val="nil"/>
              <w:right w:val="nil"/>
            </w:tcBorders>
            <w:shd w:val="clear" w:color="auto" w:fill="auto"/>
            <w:noWrap/>
            <w:vAlign w:val="center"/>
            <w:hideMark/>
          </w:tcPr>
          <w:p w14:paraId="0145292E"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 xml:space="preserve">Odinka </w:t>
            </w:r>
            <w:r w:rsidRPr="004834AC">
              <w:rPr>
                <w:rFonts w:ascii="Calibri" w:eastAsia="Times New Roman" w:hAnsi="Calibri" w:cs="Calibri"/>
                <w:i/>
                <w:iCs/>
                <w:color w:val="000000"/>
                <w:kern w:val="0"/>
                <w:sz w:val="16"/>
                <w:szCs w:val="16"/>
                <w14:ligatures w14:val="none"/>
              </w:rPr>
              <w:t>et al.</w:t>
            </w:r>
            <w:r w:rsidRPr="004834AC">
              <w:rPr>
                <w:rFonts w:ascii="Calibri" w:eastAsia="Times New Roman" w:hAnsi="Calibri" w:cs="Calibri"/>
                <w:i/>
                <w:iCs/>
                <w:color w:val="000000"/>
                <w:kern w:val="0"/>
                <w:sz w:val="16"/>
                <w:szCs w:val="16"/>
                <w14:ligatures w14:val="none"/>
              </w:rPr>
              <w:fldChar w:fldCharType="begin"/>
            </w:r>
            <w:r>
              <w:rPr>
                <w:rFonts w:ascii="Calibri" w:eastAsia="Times New Roman" w:hAnsi="Calibri" w:cs="Calibri"/>
                <w:i/>
                <w:iCs/>
                <w:color w:val="000000"/>
                <w:kern w:val="0"/>
                <w:sz w:val="16"/>
                <w:szCs w:val="16"/>
                <w14:ligatures w14:val="none"/>
              </w:rPr>
              <w:instrText xml:space="preserve"> ADDIN ZOTERO_ITEM CSL_CITATION {"citationID":"CSeHXFnO","properties":{"formattedCitation":"(37)","plainCitation":"(37)","noteIndex":0},"citationItems":[{"id":4466,"uris":["http://zotero.org/users/11021484/items/Y7VXVHAR"],"itemData":{"id":4466,"type":"article-journal","abstract":"Background. Duration of untreated psychosis (DUP) has been widely recognised in recent years as a potentially important predictor of illness outcome, and the manifestations of schizophrenia have been known to influence its early recognition as a mental illness.Objective. To assess the association between the positive and negative symptoms of schizophrenia, help-seeking and DUP.Methods. We performed a cross-sectional study of 360 patients with schizophrenia, who had had no previous contact with Western mental health services. The Sociodemographic Questionnaire, World Health Organization Pathway Encounter Form and a questionnaire to establish DUP were used. The positive and negative syndrome scale and Composite International Diagnostic Interview were used for the assessment of mental disorders and to diagnose.Results. Respondents who had predominant positive symptoms and who had a median DUP of 8 weeks or 24 weeks, tended to use psychiatric hospitals and other Western medical facilities, respectively, as their first treatment options. However, those who had predominant negative symptoms and who had a median DUP of 144 weeks or 310 weeks, tended to use faith healers and traditional healers, respectively, as first treatment options.Conclusion. The predominance of negative symptoms could militate against early presentation among people with schizophrenia, probably because negative symptoms are poorly recognised as indicating mental illness in Nigeria, as they could be interpreted as deviant behaviour or spiritual problems that would require spiritual solutions.","container-title":"South African Journal of Psychiatry","ISSN":"2078-6786","issue":"4","language":"en","license":"Copyright (c)","note":"number: 4","page":"166-171","source":"www.ajol.info","title":"Positive and negative symptoms of schizophrenia as correlates of help-seeking behaviour and the duration of untreated psychosis in south-east Nigeria","volume":"20","author":[{"family":"Odinka","given":"P. C."},{"family":"Ndukuba","given":"A. C."},{"family":"Muomah","given":"R. C."},{"family":"Oche","given":"M."},{"family":"Osika","given":"M. U."},{"family":"Bakare","given":"M. O."},{"family":"Agomoh","given":"A. O."},{"family":"Uwakwe","given":"R."}],"issued":{"date-parts":[["2014"]]}}}],"schema":"https://github.com/citation-style-language/schema/raw/master/csl-citation.json"} </w:instrText>
            </w:r>
            <w:r w:rsidRPr="004834AC">
              <w:rPr>
                <w:rFonts w:ascii="Calibri" w:eastAsia="Times New Roman" w:hAnsi="Calibri" w:cs="Calibri"/>
                <w:i/>
                <w:iCs/>
                <w:color w:val="000000"/>
                <w:kern w:val="0"/>
                <w:sz w:val="16"/>
                <w:szCs w:val="16"/>
                <w14:ligatures w14:val="none"/>
              </w:rPr>
              <w:fldChar w:fldCharType="separate"/>
            </w:r>
            <w:r w:rsidRPr="00910430">
              <w:rPr>
                <w:rFonts w:ascii="Calibri" w:hAnsi="Calibri" w:cs="Calibri"/>
                <w:sz w:val="16"/>
              </w:rPr>
              <w:t>(37)</w:t>
            </w:r>
            <w:r w:rsidRPr="004834AC">
              <w:rPr>
                <w:rFonts w:ascii="Calibri" w:eastAsia="Times New Roman" w:hAnsi="Calibri" w:cs="Calibri"/>
                <w:i/>
                <w:iCs/>
                <w:color w:val="000000"/>
                <w:kern w:val="0"/>
                <w:sz w:val="16"/>
                <w:szCs w:val="16"/>
                <w14:ligatures w14:val="none"/>
              </w:rPr>
              <w:fldChar w:fldCharType="end"/>
            </w:r>
          </w:p>
        </w:tc>
        <w:tc>
          <w:tcPr>
            <w:tcW w:w="466" w:type="pct"/>
            <w:tcBorders>
              <w:top w:val="nil"/>
              <w:left w:val="nil"/>
              <w:bottom w:val="nil"/>
              <w:right w:val="nil"/>
            </w:tcBorders>
            <w:shd w:val="clear" w:color="auto" w:fill="auto"/>
            <w:noWrap/>
            <w:vAlign w:val="center"/>
            <w:hideMark/>
          </w:tcPr>
          <w:p w14:paraId="55498A73"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p>
        </w:tc>
        <w:tc>
          <w:tcPr>
            <w:tcW w:w="447" w:type="pct"/>
            <w:tcBorders>
              <w:top w:val="nil"/>
              <w:left w:val="nil"/>
              <w:bottom w:val="nil"/>
              <w:right w:val="nil"/>
            </w:tcBorders>
            <w:shd w:val="clear" w:color="auto" w:fill="auto"/>
            <w:noWrap/>
            <w:vAlign w:val="center"/>
            <w:hideMark/>
          </w:tcPr>
          <w:p w14:paraId="01513539"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29" w:type="pct"/>
            <w:tcBorders>
              <w:top w:val="nil"/>
              <w:left w:val="nil"/>
              <w:bottom w:val="nil"/>
              <w:right w:val="nil"/>
            </w:tcBorders>
            <w:shd w:val="clear" w:color="auto" w:fill="auto"/>
            <w:noWrap/>
            <w:vAlign w:val="center"/>
            <w:hideMark/>
          </w:tcPr>
          <w:p w14:paraId="237389AD"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25" w:type="pct"/>
            <w:tcBorders>
              <w:top w:val="nil"/>
              <w:left w:val="nil"/>
              <w:bottom w:val="nil"/>
              <w:right w:val="nil"/>
            </w:tcBorders>
            <w:shd w:val="clear" w:color="auto" w:fill="auto"/>
            <w:noWrap/>
            <w:vAlign w:val="center"/>
            <w:hideMark/>
          </w:tcPr>
          <w:p w14:paraId="22756DA5"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414" w:type="pct"/>
            <w:tcBorders>
              <w:top w:val="nil"/>
              <w:left w:val="nil"/>
              <w:bottom w:val="nil"/>
              <w:right w:val="nil"/>
            </w:tcBorders>
            <w:shd w:val="clear" w:color="auto" w:fill="auto"/>
            <w:noWrap/>
            <w:vAlign w:val="center"/>
            <w:hideMark/>
          </w:tcPr>
          <w:p w14:paraId="0DFC0FF9"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p>
        </w:tc>
        <w:tc>
          <w:tcPr>
            <w:tcW w:w="556" w:type="pct"/>
            <w:tcBorders>
              <w:top w:val="nil"/>
              <w:left w:val="nil"/>
              <w:bottom w:val="nil"/>
              <w:right w:val="nil"/>
            </w:tcBorders>
            <w:shd w:val="clear" w:color="auto" w:fill="auto"/>
            <w:vAlign w:val="center"/>
            <w:hideMark/>
          </w:tcPr>
          <w:p w14:paraId="19FD880E"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59" w:type="pct"/>
            <w:tcBorders>
              <w:top w:val="nil"/>
              <w:left w:val="nil"/>
              <w:bottom w:val="nil"/>
              <w:right w:val="nil"/>
            </w:tcBorders>
            <w:shd w:val="clear" w:color="auto" w:fill="auto"/>
            <w:noWrap/>
            <w:vAlign w:val="center"/>
            <w:hideMark/>
          </w:tcPr>
          <w:p w14:paraId="2E5952F2"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486" w:type="pct"/>
            <w:tcBorders>
              <w:top w:val="nil"/>
              <w:left w:val="nil"/>
              <w:bottom w:val="nil"/>
              <w:right w:val="nil"/>
            </w:tcBorders>
            <w:shd w:val="clear" w:color="auto" w:fill="auto"/>
            <w:noWrap/>
            <w:vAlign w:val="center"/>
            <w:hideMark/>
          </w:tcPr>
          <w:p w14:paraId="33CFE58B"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r>
      <w:tr w:rsidR="0020792C" w:rsidRPr="004834AC" w14:paraId="7D5D9ACC" w14:textId="77777777" w:rsidTr="006353F6">
        <w:trPr>
          <w:trHeight w:val="360"/>
        </w:trPr>
        <w:tc>
          <w:tcPr>
            <w:tcW w:w="817" w:type="pct"/>
            <w:tcBorders>
              <w:top w:val="nil"/>
              <w:left w:val="nil"/>
              <w:bottom w:val="nil"/>
              <w:right w:val="nil"/>
            </w:tcBorders>
            <w:shd w:val="clear" w:color="auto" w:fill="auto"/>
            <w:noWrap/>
            <w:vAlign w:val="center"/>
            <w:hideMark/>
          </w:tcPr>
          <w:p w14:paraId="7B0CCCA2"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 xml:space="preserve">Odinka </w:t>
            </w:r>
            <w:r w:rsidRPr="004834AC">
              <w:rPr>
                <w:rFonts w:ascii="Calibri" w:eastAsia="Times New Roman" w:hAnsi="Calibri" w:cs="Calibri"/>
                <w:i/>
                <w:iCs/>
                <w:color w:val="000000"/>
                <w:kern w:val="0"/>
                <w:sz w:val="16"/>
                <w:szCs w:val="16"/>
                <w14:ligatures w14:val="none"/>
              </w:rPr>
              <w:t>et al.</w:t>
            </w:r>
            <w:r w:rsidRPr="004834AC">
              <w:rPr>
                <w:rFonts w:ascii="Calibri" w:eastAsia="Times New Roman" w:hAnsi="Calibri" w:cs="Calibri"/>
                <w:i/>
                <w:iCs/>
                <w:color w:val="000000"/>
                <w:kern w:val="0"/>
                <w:sz w:val="16"/>
                <w:szCs w:val="16"/>
                <w14:ligatures w14:val="none"/>
              </w:rPr>
              <w:fldChar w:fldCharType="begin"/>
            </w:r>
            <w:r>
              <w:rPr>
                <w:rFonts w:ascii="Calibri" w:eastAsia="Times New Roman" w:hAnsi="Calibri" w:cs="Calibri"/>
                <w:i/>
                <w:iCs/>
                <w:color w:val="000000"/>
                <w:kern w:val="0"/>
                <w:sz w:val="16"/>
                <w:szCs w:val="16"/>
                <w14:ligatures w14:val="none"/>
              </w:rPr>
              <w:instrText xml:space="preserve"> ADDIN ZOTERO_ITEM CSL_CITATION {"citationID":"S1vCwbrK","properties":{"formattedCitation":"(38)","plainCitation":"(38)","noteIndex":0},"citationItems":[{"id":4474,"uris":["http://zotero.org/users/11021484/items/22Y2NA68"],"itemData":{"id":4474,"type":"article-journal","abstract":"A large proportion of psychiatric patients in Nigeria seek help from other sources which ultimately lead to treatment delay. Treatment delay could have deleterious effects on treatment outcome especially for people with schizophrenia. The study aimed to determine the socio-demographic characteristics associated with treatment delay in people with schizophrenia. This was a cross-sectional study of 367 patients with schizophrenia presenting for the first time at a psychiatric hospital. About 76% of them had visited traditional/faith healers as a first treatment option. Long distance and use of traditional healers as first treatment option were associated with treatment delay. There is need for effective community psychiatry service delivery with emphasis on those strategies that can educate, influence, and mobilize communities concerning the aetiology, prevention, early detection, and treatment of mental illness.","container-title":"Journal of Health Care for the Poor and Underserved","DOI":"10.1353/hpu.2014.0055","ISSN":"1548-6869","issue":"1","journalAbbreviation":"hpu","language":"en","page":"180-191","source":"DOI.org (Crossref)","title":"The Socio-demographic Characteristics and Patterns of Help-Seeking among Patients with Schizophrenia in South-east Nigeria","volume":"25","author":[{"family":"Odinka","given":"Paul C."},{"family":"Oche","given":"Martins"},{"family":"Ndukuba","given":"Appolos C."},{"family":"Muomah","given":"Rosemary C."},{"family":"Osika","given":"Michael U."},{"family":"Bakare","given":"Muideen O."},{"family":"Agomoh","given":"Ahamefule O."},{"family":"Uwakwe","given":"Richard"}],"issued":{"date-parts":[["2014",2]]}}}],"schema":"https://github.com/citation-style-language/schema/raw/master/csl-citation.json"} </w:instrText>
            </w:r>
            <w:r w:rsidRPr="004834AC">
              <w:rPr>
                <w:rFonts w:ascii="Calibri" w:eastAsia="Times New Roman" w:hAnsi="Calibri" w:cs="Calibri"/>
                <w:i/>
                <w:iCs/>
                <w:color w:val="000000"/>
                <w:kern w:val="0"/>
                <w:sz w:val="16"/>
                <w:szCs w:val="16"/>
                <w14:ligatures w14:val="none"/>
              </w:rPr>
              <w:fldChar w:fldCharType="separate"/>
            </w:r>
            <w:r w:rsidRPr="00910430">
              <w:rPr>
                <w:rFonts w:ascii="Calibri" w:hAnsi="Calibri" w:cs="Calibri"/>
                <w:sz w:val="16"/>
              </w:rPr>
              <w:t>(38)</w:t>
            </w:r>
            <w:r w:rsidRPr="004834AC">
              <w:rPr>
                <w:rFonts w:ascii="Calibri" w:eastAsia="Times New Roman" w:hAnsi="Calibri" w:cs="Calibri"/>
                <w:i/>
                <w:iCs/>
                <w:color w:val="000000"/>
                <w:kern w:val="0"/>
                <w:sz w:val="16"/>
                <w:szCs w:val="16"/>
                <w14:ligatures w14:val="none"/>
              </w:rPr>
              <w:fldChar w:fldCharType="end"/>
            </w:r>
          </w:p>
        </w:tc>
        <w:tc>
          <w:tcPr>
            <w:tcW w:w="466" w:type="pct"/>
            <w:tcBorders>
              <w:top w:val="nil"/>
              <w:left w:val="nil"/>
              <w:bottom w:val="nil"/>
              <w:right w:val="nil"/>
            </w:tcBorders>
            <w:shd w:val="clear" w:color="auto" w:fill="auto"/>
            <w:noWrap/>
            <w:vAlign w:val="center"/>
            <w:hideMark/>
          </w:tcPr>
          <w:p w14:paraId="35134C5A"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p>
        </w:tc>
        <w:tc>
          <w:tcPr>
            <w:tcW w:w="447" w:type="pct"/>
            <w:tcBorders>
              <w:top w:val="nil"/>
              <w:left w:val="nil"/>
              <w:bottom w:val="nil"/>
              <w:right w:val="nil"/>
            </w:tcBorders>
            <w:shd w:val="clear" w:color="auto" w:fill="auto"/>
            <w:noWrap/>
            <w:vAlign w:val="center"/>
            <w:hideMark/>
          </w:tcPr>
          <w:p w14:paraId="4064E8F2"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29" w:type="pct"/>
            <w:tcBorders>
              <w:top w:val="nil"/>
              <w:left w:val="nil"/>
              <w:bottom w:val="nil"/>
              <w:right w:val="nil"/>
            </w:tcBorders>
            <w:shd w:val="clear" w:color="auto" w:fill="auto"/>
            <w:noWrap/>
            <w:vAlign w:val="center"/>
            <w:hideMark/>
          </w:tcPr>
          <w:p w14:paraId="7A4953FE"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25" w:type="pct"/>
            <w:tcBorders>
              <w:top w:val="nil"/>
              <w:left w:val="nil"/>
              <w:bottom w:val="nil"/>
              <w:right w:val="nil"/>
            </w:tcBorders>
            <w:shd w:val="clear" w:color="auto" w:fill="auto"/>
            <w:noWrap/>
            <w:vAlign w:val="center"/>
            <w:hideMark/>
          </w:tcPr>
          <w:p w14:paraId="6A282D6F"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414" w:type="pct"/>
            <w:tcBorders>
              <w:top w:val="nil"/>
              <w:left w:val="nil"/>
              <w:bottom w:val="nil"/>
              <w:right w:val="nil"/>
            </w:tcBorders>
            <w:shd w:val="clear" w:color="auto" w:fill="auto"/>
            <w:noWrap/>
            <w:vAlign w:val="center"/>
            <w:hideMark/>
          </w:tcPr>
          <w:p w14:paraId="2263E666"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p>
        </w:tc>
        <w:tc>
          <w:tcPr>
            <w:tcW w:w="556" w:type="pct"/>
            <w:tcBorders>
              <w:top w:val="nil"/>
              <w:left w:val="nil"/>
              <w:bottom w:val="nil"/>
              <w:right w:val="nil"/>
            </w:tcBorders>
            <w:shd w:val="clear" w:color="auto" w:fill="auto"/>
            <w:vAlign w:val="center"/>
            <w:hideMark/>
          </w:tcPr>
          <w:p w14:paraId="6D8AA02F"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59" w:type="pct"/>
            <w:tcBorders>
              <w:top w:val="nil"/>
              <w:left w:val="nil"/>
              <w:bottom w:val="nil"/>
              <w:right w:val="nil"/>
            </w:tcBorders>
            <w:shd w:val="clear" w:color="auto" w:fill="auto"/>
            <w:noWrap/>
            <w:vAlign w:val="center"/>
            <w:hideMark/>
          </w:tcPr>
          <w:p w14:paraId="7A300FB3"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486" w:type="pct"/>
            <w:tcBorders>
              <w:top w:val="nil"/>
              <w:left w:val="nil"/>
              <w:bottom w:val="nil"/>
              <w:right w:val="nil"/>
            </w:tcBorders>
            <w:shd w:val="clear" w:color="auto" w:fill="auto"/>
            <w:noWrap/>
            <w:vAlign w:val="center"/>
            <w:hideMark/>
          </w:tcPr>
          <w:p w14:paraId="20D74422"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r>
      <w:tr w:rsidR="0020792C" w:rsidRPr="004834AC" w14:paraId="4B24CA8B" w14:textId="77777777" w:rsidTr="006353F6">
        <w:trPr>
          <w:trHeight w:val="360"/>
        </w:trPr>
        <w:tc>
          <w:tcPr>
            <w:tcW w:w="817" w:type="pct"/>
            <w:tcBorders>
              <w:top w:val="nil"/>
              <w:left w:val="nil"/>
              <w:bottom w:val="nil"/>
              <w:right w:val="nil"/>
            </w:tcBorders>
            <w:shd w:val="clear" w:color="auto" w:fill="auto"/>
            <w:noWrap/>
            <w:vAlign w:val="center"/>
            <w:hideMark/>
          </w:tcPr>
          <w:p w14:paraId="0B088B22"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 xml:space="preserve">Ofori-Atta </w:t>
            </w:r>
            <w:r w:rsidRPr="004834AC">
              <w:rPr>
                <w:rFonts w:ascii="Calibri" w:eastAsia="Times New Roman" w:hAnsi="Calibri" w:cs="Calibri"/>
                <w:i/>
                <w:iCs/>
                <w:color w:val="000000"/>
                <w:kern w:val="0"/>
                <w:sz w:val="16"/>
                <w:szCs w:val="16"/>
                <w14:ligatures w14:val="none"/>
              </w:rPr>
              <w:t>et al.</w:t>
            </w:r>
            <w:r w:rsidRPr="004834AC">
              <w:rPr>
                <w:rFonts w:ascii="Calibri" w:eastAsia="Times New Roman" w:hAnsi="Calibri" w:cs="Calibri"/>
                <w:i/>
                <w:iCs/>
                <w:color w:val="000000"/>
                <w:kern w:val="0"/>
                <w:sz w:val="16"/>
                <w:szCs w:val="16"/>
                <w14:ligatures w14:val="none"/>
              </w:rPr>
              <w:fldChar w:fldCharType="begin"/>
            </w:r>
            <w:r>
              <w:rPr>
                <w:rFonts w:ascii="Calibri" w:eastAsia="Times New Roman" w:hAnsi="Calibri" w:cs="Calibri"/>
                <w:i/>
                <w:iCs/>
                <w:color w:val="000000"/>
                <w:kern w:val="0"/>
                <w:sz w:val="16"/>
                <w:szCs w:val="16"/>
                <w14:ligatures w14:val="none"/>
              </w:rPr>
              <w:instrText xml:space="preserve"> ADDIN ZOTERO_ITEM CSL_CITATION {"citationID":"ojHBAThF","properties":{"formattedCitation":"(39)","plainCitation":"(39)","noteIndex":0},"citationItems":[{"id":1962,"uris":["http://zotero.org/users/11021484/items/KZCM4SQ4"],"itemData":{"id":1962,"type":"article-journal","abstract":"Objective: To conduct a situation analysis of the status of mental health care in Ghana and to propose options for scaling up the provision of mental health care. Method: A survey of the existing mental health system in Ghana was conducted using the WHO Assessment Instrument for Mental Health Systems. Documentary analysis was undertaken of mental health legislation, utilizing the WHO Legislation checklists. Semi-structured interviews and focus group discussions were conducted with a broad range of mental health stakeholders (n=122) at the national, regional and district levels. Results: There are shortfalls in the provision of mental health care including insufficient numbers of mental health professionals, aging infrastructure, widespread stigma, inadequate funding and an inequitable geographical distribution of services. Conclusion: Community-based services need to be delivered in the primary care setting to provide accessible and humane mental health care. There is an urgent need for legislation reform, to improve mental health care delivery and protect human rights.Key words: Mental health; Legislation; Ghana","container-title":"African Journal of Psychiatry","DOI":"10.4314/ajpsy.v13i2.54353","ISSN":"1994-8220","issue":"2","language":"en","license":"Copyright (c)","note":"number: 2","source":"www.ajol.info","title":"A situation analysis of mental health services and legislation in Ghana: challenges for transformation","title-short":"A situation analysis of mental health services and legislation in Ghana","URL":"https://www.ajol.info/index.php/ajpsy/article/view/54353","volume":"13","author":[{"family":"Ofori-Atta","given":"A."},{"family":"Read","given":"U. M."},{"family":"Lund","given":"C."}],"accessed":{"date-parts":[["2023",2,20]]},"issued":{"date-parts":[["2010",5,11]]}}}],"schema":"https://github.com/citation-style-language/schema/raw/master/csl-citation.json"} </w:instrText>
            </w:r>
            <w:r w:rsidRPr="004834AC">
              <w:rPr>
                <w:rFonts w:ascii="Calibri" w:eastAsia="Times New Roman" w:hAnsi="Calibri" w:cs="Calibri"/>
                <w:i/>
                <w:iCs/>
                <w:color w:val="000000"/>
                <w:kern w:val="0"/>
                <w:sz w:val="16"/>
                <w:szCs w:val="16"/>
                <w14:ligatures w14:val="none"/>
              </w:rPr>
              <w:fldChar w:fldCharType="separate"/>
            </w:r>
            <w:r w:rsidRPr="00910430">
              <w:rPr>
                <w:rFonts w:ascii="Calibri" w:hAnsi="Calibri" w:cs="Calibri"/>
                <w:sz w:val="16"/>
              </w:rPr>
              <w:t>(39)</w:t>
            </w:r>
            <w:r w:rsidRPr="004834AC">
              <w:rPr>
                <w:rFonts w:ascii="Calibri" w:eastAsia="Times New Roman" w:hAnsi="Calibri" w:cs="Calibri"/>
                <w:i/>
                <w:iCs/>
                <w:color w:val="000000"/>
                <w:kern w:val="0"/>
                <w:sz w:val="16"/>
                <w:szCs w:val="16"/>
                <w14:ligatures w14:val="none"/>
              </w:rPr>
              <w:fldChar w:fldCharType="end"/>
            </w:r>
          </w:p>
        </w:tc>
        <w:tc>
          <w:tcPr>
            <w:tcW w:w="466" w:type="pct"/>
            <w:tcBorders>
              <w:top w:val="nil"/>
              <w:left w:val="nil"/>
              <w:bottom w:val="nil"/>
              <w:right w:val="nil"/>
            </w:tcBorders>
            <w:shd w:val="clear" w:color="auto" w:fill="auto"/>
            <w:noWrap/>
            <w:vAlign w:val="center"/>
            <w:hideMark/>
          </w:tcPr>
          <w:p w14:paraId="61CE571D"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p>
        </w:tc>
        <w:tc>
          <w:tcPr>
            <w:tcW w:w="447" w:type="pct"/>
            <w:tcBorders>
              <w:top w:val="nil"/>
              <w:left w:val="nil"/>
              <w:bottom w:val="nil"/>
              <w:right w:val="nil"/>
            </w:tcBorders>
            <w:shd w:val="clear" w:color="auto" w:fill="auto"/>
            <w:noWrap/>
            <w:vAlign w:val="center"/>
            <w:hideMark/>
          </w:tcPr>
          <w:p w14:paraId="43F0E37A"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29" w:type="pct"/>
            <w:tcBorders>
              <w:top w:val="nil"/>
              <w:left w:val="nil"/>
              <w:bottom w:val="nil"/>
              <w:right w:val="nil"/>
            </w:tcBorders>
            <w:shd w:val="clear" w:color="auto" w:fill="auto"/>
            <w:noWrap/>
            <w:vAlign w:val="center"/>
            <w:hideMark/>
          </w:tcPr>
          <w:p w14:paraId="0B53A766"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25" w:type="pct"/>
            <w:tcBorders>
              <w:top w:val="nil"/>
              <w:left w:val="nil"/>
              <w:bottom w:val="nil"/>
              <w:right w:val="nil"/>
            </w:tcBorders>
            <w:shd w:val="clear" w:color="auto" w:fill="auto"/>
            <w:noWrap/>
            <w:vAlign w:val="center"/>
            <w:hideMark/>
          </w:tcPr>
          <w:p w14:paraId="2349B2FF"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414" w:type="pct"/>
            <w:tcBorders>
              <w:top w:val="nil"/>
              <w:left w:val="nil"/>
              <w:bottom w:val="nil"/>
              <w:right w:val="nil"/>
            </w:tcBorders>
            <w:shd w:val="clear" w:color="auto" w:fill="auto"/>
            <w:noWrap/>
            <w:vAlign w:val="center"/>
            <w:hideMark/>
          </w:tcPr>
          <w:p w14:paraId="5D64AA4A"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56" w:type="pct"/>
            <w:tcBorders>
              <w:top w:val="nil"/>
              <w:left w:val="nil"/>
              <w:bottom w:val="nil"/>
              <w:right w:val="nil"/>
            </w:tcBorders>
            <w:shd w:val="clear" w:color="auto" w:fill="auto"/>
            <w:vAlign w:val="center"/>
            <w:hideMark/>
          </w:tcPr>
          <w:p w14:paraId="79E5C7EC"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59" w:type="pct"/>
            <w:tcBorders>
              <w:top w:val="nil"/>
              <w:left w:val="nil"/>
              <w:bottom w:val="nil"/>
              <w:right w:val="nil"/>
            </w:tcBorders>
            <w:shd w:val="clear" w:color="auto" w:fill="auto"/>
            <w:noWrap/>
            <w:vAlign w:val="center"/>
            <w:hideMark/>
          </w:tcPr>
          <w:p w14:paraId="7F33B047"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486" w:type="pct"/>
            <w:tcBorders>
              <w:top w:val="nil"/>
              <w:left w:val="nil"/>
              <w:bottom w:val="nil"/>
              <w:right w:val="nil"/>
            </w:tcBorders>
            <w:shd w:val="clear" w:color="auto" w:fill="auto"/>
            <w:noWrap/>
            <w:vAlign w:val="center"/>
            <w:hideMark/>
          </w:tcPr>
          <w:p w14:paraId="7CFE8442"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p>
        </w:tc>
      </w:tr>
      <w:tr w:rsidR="0020792C" w:rsidRPr="004834AC" w14:paraId="0D174A63" w14:textId="77777777" w:rsidTr="006353F6">
        <w:trPr>
          <w:trHeight w:val="360"/>
        </w:trPr>
        <w:tc>
          <w:tcPr>
            <w:tcW w:w="817" w:type="pct"/>
            <w:tcBorders>
              <w:top w:val="nil"/>
              <w:left w:val="nil"/>
              <w:bottom w:val="nil"/>
              <w:right w:val="nil"/>
            </w:tcBorders>
            <w:shd w:val="clear" w:color="auto" w:fill="auto"/>
            <w:noWrap/>
            <w:vAlign w:val="center"/>
            <w:hideMark/>
          </w:tcPr>
          <w:p w14:paraId="5D7B05FE"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 xml:space="preserve">Pigeon-Gagné </w:t>
            </w:r>
            <w:r w:rsidRPr="004834AC">
              <w:rPr>
                <w:rFonts w:ascii="Calibri" w:eastAsia="Times New Roman" w:hAnsi="Calibri" w:cs="Calibri"/>
                <w:i/>
                <w:iCs/>
                <w:color w:val="000000"/>
                <w:kern w:val="0"/>
                <w:sz w:val="16"/>
                <w:szCs w:val="16"/>
                <w14:ligatures w14:val="none"/>
              </w:rPr>
              <w:t>et al.</w:t>
            </w:r>
            <w:r w:rsidRPr="004834AC">
              <w:rPr>
                <w:rFonts w:ascii="Calibri" w:eastAsia="Times New Roman" w:hAnsi="Calibri" w:cs="Calibri"/>
                <w:i/>
                <w:iCs/>
                <w:color w:val="000000"/>
                <w:kern w:val="0"/>
                <w:sz w:val="16"/>
                <w:szCs w:val="16"/>
                <w14:ligatures w14:val="none"/>
              </w:rPr>
              <w:fldChar w:fldCharType="begin"/>
            </w:r>
            <w:r>
              <w:rPr>
                <w:rFonts w:ascii="Calibri" w:eastAsia="Times New Roman" w:hAnsi="Calibri" w:cs="Calibri"/>
                <w:i/>
                <w:iCs/>
                <w:color w:val="000000"/>
                <w:kern w:val="0"/>
                <w:sz w:val="16"/>
                <w:szCs w:val="16"/>
                <w14:ligatures w14:val="none"/>
              </w:rPr>
              <w:instrText xml:space="preserve"> ADDIN ZOTERO_ITEM CSL_CITATION {"citationID":"esu4uDbD","properties":{"formattedCitation":"(10)","plainCitation":"(10)","noteIndex":0},"citationItems":[{"id":4455,"uris":["http://zotero.org/users/11021484/items/2ZBE8SGS"],"itemData":{"id":4455,"type":"article-journal","abstract":"IntroductionIn Burkina Faso, there is a lack of studies on perceptions of existing mental healthcare systems. This limits understanding patients&amp;#8217; treatment pathways and barriers to care utilization. As in many countries in sub-Saharan Africa, this lack of information contributes to the difficulty of health systems to adapt the available care to patients&amp;#8217; realities and needs.Purpose of researchIn this study, participant observations were made in different care settings in the city of Bobo-Dioulasso. Seven focus groups and 25&amp;#160;individual interviews were conducted to question knowledge, perception, and use of existing services. Different actors were interviewed: patients, caregivers, family members and key informants. The data were subjected to a descriptive thematic analysis.ResultsThree systems of care were identified: 1) psychiatric care was associated with a diagnostic function and the management of serious pathologies, or ones triggered by &amp;#8220;natural&amp;#8221; causes, 2) traditional care was seen as having a healing function for &amp;#8220;supernatural&amp;#8221; pathologies, but was associated with a risk of fraud, and 3) informal care provided by the family was identified as the mainstay of the therapeutic pathways.ConclusionsThis study reveals that through the diversity of resources consulted, the family members represent the main provider of care. Also, financial constraints constitute the main obstacle to seeking care. These findings lead us to make recommendations regarding the development of public policies at the national level as well as regarding the organization of health services in the city of Bobo-Dioulasso.","container-title":"Sante publique (Vandoeuvre-les-Nancy, France)","ISSN":"2104-3841","issue":"2","journalAbbreviation":"Sante Publique","language":"fre","note":"PMID: 36216640","page":"299-307","source":"Europe PMC","title":"Itinéraires thérapeutiques et accès aux soins en santé mentale : une ethnographie au Burkina Faso","title-short":"Itinéraires thérapeutiques et accès aux soins en santé mentale","volume":"34","author":[{"family":"Pigeon-Gagné","given":"Émilie"},{"family":"Yaogo","given":"Maurice"},{"family":"Saïas","given":"Thomas"},{"family":"Hassan","given":"Ghayda"},{"family":"Bambara","given":"Judicael"}],"issued":{"date-parts":[["2022",1,1]]}}}],"schema":"https://github.com/citation-style-language/schema/raw/master/csl-citation.json"} </w:instrText>
            </w:r>
            <w:r w:rsidRPr="004834AC">
              <w:rPr>
                <w:rFonts w:ascii="Calibri" w:eastAsia="Times New Roman" w:hAnsi="Calibri" w:cs="Calibri"/>
                <w:i/>
                <w:iCs/>
                <w:color w:val="000000"/>
                <w:kern w:val="0"/>
                <w:sz w:val="16"/>
                <w:szCs w:val="16"/>
                <w14:ligatures w14:val="none"/>
              </w:rPr>
              <w:fldChar w:fldCharType="separate"/>
            </w:r>
            <w:r w:rsidRPr="00910430">
              <w:rPr>
                <w:rFonts w:ascii="Calibri" w:hAnsi="Calibri" w:cs="Calibri"/>
                <w:sz w:val="16"/>
              </w:rPr>
              <w:t>(10)</w:t>
            </w:r>
            <w:r w:rsidRPr="004834AC">
              <w:rPr>
                <w:rFonts w:ascii="Calibri" w:eastAsia="Times New Roman" w:hAnsi="Calibri" w:cs="Calibri"/>
                <w:i/>
                <w:iCs/>
                <w:color w:val="000000"/>
                <w:kern w:val="0"/>
                <w:sz w:val="16"/>
                <w:szCs w:val="16"/>
                <w14:ligatures w14:val="none"/>
              </w:rPr>
              <w:fldChar w:fldCharType="end"/>
            </w:r>
          </w:p>
        </w:tc>
        <w:tc>
          <w:tcPr>
            <w:tcW w:w="466" w:type="pct"/>
            <w:tcBorders>
              <w:top w:val="nil"/>
              <w:left w:val="nil"/>
              <w:bottom w:val="nil"/>
              <w:right w:val="nil"/>
            </w:tcBorders>
            <w:shd w:val="clear" w:color="auto" w:fill="auto"/>
            <w:noWrap/>
            <w:vAlign w:val="center"/>
            <w:hideMark/>
          </w:tcPr>
          <w:p w14:paraId="53A1D6C3"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p>
        </w:tc>
        <w:tc>
          <w:tcPr>
            <w:tcW w:w="447" w:type="pct"/>
            <w:tcBorders>
              <w:top w:val="nil"/>
              <w:left w:val="nil"/>
              <w:bottom w:val="nil"/>
              <w:right w:val="nil"/>
            </w:tcBorders>
            <w:shd w:val="clear" w:color="auto" w:fill="auto"/>
            <w:noWrap/>
            <w:vAlign w:val="center"/>
            <w:hideMark/>
          </w:tcPr>
          <w:p w14:paraId="02B8C97D"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29" w:type="pct"/>
            <w:tcBorders>
              <w:top w:val="nil"/>
              <w:left w:val="nil"/>
              <w:bottom w:val="nil"/>
              <w:right w:val="nil"/>
            </w:tcBorders>
            <w:shd w:val="clear" w:color="auto" w:fill="auto"/>
            <w:noWrap/>
            <w:vAlign w:val="center"/>
            <w:hideMark/>
          </w:tcPr>
          <w:p w14:paraId="0616814D"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25" w:type="pct"/>
            <w:tcBorders>
              <w:top w:val="nil"/>
              <w:left w:val="nil"/>
              <w:bottom w:val="nil"/>
              <w:right w:val="nil"/>
            </w:tcBorders>
            <w:shd w:val="clear" w:color="auto" w:fill="auto"/>
            <w:noWrap/>
            <w:vAlign w:val="center"/>
            <w:hideMark/>
          </w:tcPr>
          <w:p w14:paraId="286B25FE"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414" w:type="pct"/>
            <w:tcBorders>
              <w:top w:val="nil"/>
              <w:left w:val="nil"/>
              <w:bottom w:val="nil"/>
              <w:right w:val="nil"/>
            </w:tcBorders>
            <w:shd w:val="clear" w:color="auto" w:fill="auto"/>
            <w:noWrap/>
            <w:vAlign w:val="center"/>
            <w:hideMark/>
          </w:tcPr>
          <w:p w14:paraId="319D4287"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56" w:type="pct"/>
            <w:tcBorders>
              <w:top w:val="nil"/>
              <w:left w:val="nil"/>
              <w:bottom w:val="nil"/>
              <w:right w:val="nil"/>
            </w:tcBorders>
            <w:shd w:val="clear" w:color="auto" w:fill="auto"/>
            <w:vAlign w:val="center"/>
            <w:hideMark/>
          </w:tcPr>
          <w:p w14:paraId="790E07A6"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59" w:type="pct"/>
            <w:tcBorders>
              <w:top w:val="nil"/>
              <w:left w:val="nil"/>
              <w:bottom w:val="nil"/>
              <w:right w:val="nil"/>
            </w:tcBorders>
            <w:shd w:val="clear" w:color="auto" w:fill="auto"/>
            <w:noWrap/>
            <w:vAlign w:val="center"/>
            <w:hideMark/>
          </w:tcPr>
          <w:p w14:paraId="2A486241"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486" w:type="pct"/>
            <w:tcBorders>
              <w:top w:val="nil"/>
              <w:left w:val="nil"/>
              <w:bottom w:val="nil"/>
              <w:right w:val="nil"/>
            </w:tcBorders>
            <w:shd w:val="clear" w:color="auto" w:fill="auto"/>
            <w:noWrap/>
            <w:vAlign w:val="center"/>
            <w:hideMark/>
          </w:tcPr>
          <w:p w14:paraId="35EE2BE9"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p>
        </w:tc>
      </w:tr>
      <w:tr w:rsidR="0020792C" w:rsidRPr="004834AC" w14:paraId="581853A3" w14:textId="77777777" w:rsidTr="006353F6">
        <w:trPr>
          <w:trHeight w:val="360"/>
        </w:trPr>
        <w:tc>
          <w:tcPr>
            <w:tcW w:w="817" w:type="pct"/>
            <w:tcBorders>
              <w:top w:val="nil"/>
              <w:left w:val="nil"/>
              <w:bottom w:val="nil"/>
              <w:right w:val="nil"/>
            </w:tcBorders>
            <w:shd w:val="clear" w:color="auto" w:fill="auto"/>
            <w:noWrap/>
            <w:vAlign w:val="center"/>
            <w:hideMark/>
          </w:tcPr>
          <w:p w14:paraId="518D690B"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Read</w:t>
            </w:r>
            <w:r w:rsidRPr="004834AC">
              <w:rPr>
                <w:rFonts w:ascii="Calibri" w:eastAsia="Times New Roman" w:hAnsi="Calibri" w:cs="Calibri"/>
                <w:color w:val="000000"/>
                <w:kern w:val="0"/>
                <w:sz w:val="16"/>
                <w:szCs w:val="16"/>
                <w14:ligatures w14:val="none"/>
              </w:rPr>
              <w:fldChar w:fldCharType="begin"/>
            </w:r>
            <w:r>
              <w:rPr>
                <w:rFonts w:ascii="Calibri" w:eastAsia="Times New Roman" w:hAnsi="Calibri" w:cs="Calibri"/>
                <w:color w:val="000000"/>
                <w:kern w:val="0"/>
                <w:sz w:val="16"/>
                <w:szCs w:val="16"/>
                <w14:ligatures w14:val="none"/>
              </w:rPr>
              <w:instrText xml:space="preserve"> ADDIN ZOTERO_ITEM CSL_CITATION {"citationID":"ZMcoX43Q","properties":{"formattedCitation":"(40)","plainCitation":"(40)","noteIndex":0},"citationItems":[{"id":2004,"uris":["http://zotero.org/users/11021484/items/TA5XQCS5"],"itemData":{"id":2004,"type":"article-journal","abstract":"Campaigns to scale up mental health services in low-income countries emphasise the need to improve access to psychotropic medication as part of effective treatment yet there is little acknowledgement of the limitations of psychotropic drugs as perceived by those who use them. This paper considers responses to treatment with antipsychotics by people with mental illness and their families in rural Ghana, drawing on an anthropological study of family experiences and help seeking for mental illness. Despite a perception among health workers that there was little popular awareness of biomedical treatment for mental disorders, psychiatric services had been used by almost all informants. However, in many cases antipsychotic treatment had been discontinued, even where it had been recognised to have beneficial effects such as controlling aggression or inducing sleep. Unpleasant side effects such as feelings of weakness and prolonged drowsiness conflicted with notions of health as strength and were seen to reduce the ability to work. The reduction of perceptual experiences such as visions was less valued than a return to social functioning. The failure of antipsychotics to achieve a permanent cure also cast doubt on their efficacy and strengthened suspicions of a spiritual illness which would resist medical treatment. These findings suggest that efforts to improve the treatment of mental disorders in low-income countries should take into account the limitations of antipsychotic drugs for those who use them and consider how local resources and concepts of recovery can be used to maximise treatment and support families.","container-title":"Transcultural Psychiatry","DOI":"10.1177/1363461512447070","ISSN":"1363-4615","issue":"3-4","journalAbbreviation":"Transcult Psychiatry","note":"publisher: SAGE Publications Ltd","page":"438-460","source":"SAGE Journals","title":"“I want the one that will heal me completely so it won’t come back again”: The limits of antipsychotic medication in rural Ghana","title-short":"“I want the one that will heal me completely so it won’t come back again”","volume":"49","author":[{"family":"Read","given":"Ursula"}],"issued":{"date-parts":[["2012",7,1]]}}}],"schema":"https://github.com/citation-style-language/schema/raw/master/csl-citation.json"} </w:instrText>
            </w:r>
            <w:r w:rsidRPr="004834AC">
              <w:rPr>
                <w:rFonts w:ascii="Calibri" w:eastAsia="Times New Roman" w:hAnsi="Calibri" w:cs="Calibri"/>
                <w:color w:val="000000"/>
                <w:kern w:val="0"/>
                <w:sz w:val="16"/>
                <w:szCs w:val="16"/>
                <w14:ligatures w14:val="none"/>
              </w:rPr>
              <w:fldChar w:fldCharType="separate"/>
            </w:r>
            <w:r w:rsidRPr="00910430">
              <w:rPr>
                <w:rFonts w:ascii="Calibri" w:hAnsi="Calibri" w:cs="Calibri"/>
                <w:sz w:val="16"/>
              </w:rPr>
              <w:t>(40)</w:t>
            </w:r>
            <w:r w:rsidRPr="004834AC">
              <w:rPr>
                <w:rFonts w:ascii="Calibri" w:eastAsia="Times New Roman" w:hAnsi="Calibri" w:cs="Calibri"/>
                <w:color w:val="000000"/>
                <w:kern w:val="0"/>
                <w:sz w:val="16"/>
                <w:szCs w:val="16"/>
                <w14:ligatures w14:val="none"/>
              </w:rPr>
              <w:fldChar w:fldCharType="end"/>
            </w:r>
          </w:p>
        </w:tc>
        <w:tc>
          <w:tcPr>
            <w:tcW w:w="466" w:type="pct"/>
            <w:tcBorders>
              <w:top w:val="nil"/>
              <w:left w:val="nil"/>
              <w:bottom w:val="nil"/>
              <w:right w:val="nil"/>
            </w:tcBorders>
            <w:shd w:val="clear" w:color="auto" w:fill="auto"/>
            <w:noWrap/>
            <w:vAlign w:val="center"/>
            <w:hideMark/>
          </w:tcPr>
          <w:p w14:paraId="3903A3DD"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p>
        </w:tc>
        <w:tc>
          <w:tcPr>
            <w:tcW w:w="447" w:type="pct"/>
            <w:tcBorders>
              <w:top w:val="nil"/>
              <w:left w:val="nil"/>
              <w:bottom w:val="nil"/>
              <w:right w:val="nil"/>
            </w:tcBorders>
            <w:shd w:val="clear" w:color="auto" w:fill="auto"/>
            <w:noWrap/>
            <w:vAlign w:val="center"/>
            <w:hideMark/>
          </w:tcPr>
          <w:p w14:paraId="5BB21918"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29" w:type="pct"/>
            <w:tcBorders>
              <w:top w:val="nil"/>
              <w:left w:val="nil"/>
              <w:bottom w:val="nil"/>
              <w:right w:val="nil"/>
            </w:tcBorders>
            <w:shd w:val="clear" w:color="auto" w:fill="auto"/>
            <w:noWrap/>
            <w:vAlign w:val="center"/>
            <w:hideMark/>
          </w:tcPr>
          <w:p w14:paraId="5A799651"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25" w:type="pct"/>
            <w:tcBorders>
              <w:top w:val="nil"/>
              <w:left w:val="nil"/>
              <w:bottom w:val="nil"/>
              <w:right w:val="nil"/>
            </w:tcBorders>
            <w:shd w:val="clear" w:color="auto" w:fill="auto"/>
            <w:noWrap/>
            <w:vAlign w:val="center"/>
            <w:hideMark/>
          </w:tcPr>
          <w:p w14:paraId="05889126"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414" w:type="pct"/>
            <w:tcBorders>
              <w:top w:val="nil"/>
              <w:left w:val="nil"/>
              <w:bottom w:val="nil"/>
              <w:right w:val="nil"/>
            </w:tcBorders>
            <w:shd w:val="clear" w:color="auto" w:fill="auto"/>
            <w:noWrap/>
            <w:vAlign w:val="center"/>
            <w:hideMark/>
          </w:tcPr>
          <w:p w14:paraId="63350B9C"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556" w:type="pct"/>
            <w:tcBorders>
              <w:top w:val="nil"/>
              <w:left w:val="nil"/>
              <w:bottom w:val="nil"/>
              <w:right w:val="nil"/>
            </w:tcBorders>
            <w:shd w:val="clear" w:color="auto" w:fill="auto"/>
            <w:vAlign w:val="center"/>
            <w:hideMark/>
          </w:tcPr>
          <w:p w14:paraId="050B5158" w14:textId="77777777" w:rsidR="0020792C" w:rsidRPr="004834AC" w:rsidRDefault="0020792C" w:rsidP="006353F6">
            <w:pPr>
              <w:spacing w:after="0" w:line="240" w:lineRule="auto"/>
              <w:rPr>
                <w:rFonts w:ascii="Times New Roman" w:eastAsia="Times New Roman" w:hAnsi="Times New Roman" w:cs="Times New Roman"/>
                <w:kern w:val="0"/>
                <w:sz w:val="16"/>
                <w:szCs w:val="16"/>
                <w14:ligatures w14:val="none"/>
              </w:rPr>
            </w:pPr>
          </w:p>
        </w:tc>
        <w:tc>
          <w:tcPr>
            <w:tcW w:w="659" w:type="pct"/>
            <w:tcBorders>
              <w:top w:val="nil"/>
              <w:left w:val="nil"/>
              <w:bottom w:val="nil"/>
              <w:right w:val="nil"/>
            </w:tcBorders>
            <w:shd w:val="clear" w:color="auto" w:fill="auto"/>
            <w:noWrap/>
            <w:vAlign w:val="center"/>
            <w:hideMark/>
          </w:tcPr>
          <w:p w14:paraId="1E3C3F23"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p>
        </w:tc>
        <w:tc>
          <w:tcPr>
            <w:tcW w:w="486" w:type="pct"/>
            <w:tcBorders>
              <w:top w:val="nil"/>
              <w:left w:val="nil"/>
              <w:bottom w:val="nil"/>
              <w:right w:val="nil"/>
            </w:tcBorders>
            <w:shd w:val="clear" w:color="auto" w:fill="auto"/>
            <w:noWrap/>
            <w:vAlign w:val="center"/>
            <w:hideMark/>
          </w:tcPr>
          <w:p w14:paraId="084EF4F7"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p>
        </w:tc>
      </w:tr>
      <w:tr w:rsidR="0020792C" w:rsidRPr="004834AC" w14:paraId="41366AD8" w14:textId="77777777" w:rsidTr="006353F6">
        <w:trPr>
          <w:trHeight w:val="360"/>
        </w:trPr>
        <w:tc>
          <w:tcPr>
            <w:tcW w:w="817" w:type="pct"/>
            <w:tcBorders>
              <w:top w:val="nil"/>
              <w:left w:val="nil"/>
              <w:bottom w:val="single" w:sz="4" w:space="0" w:color="auto"/>
              <w:right w:val="nil"/>
            </w:tcBorders>
            <w:shd w:val="clear" w:color="auto" w:fill="auto"/>
            <w:noWrap/>
            <w:vAlign w:val="center"/>
            <w:hideMark/>
          </w:tcPr>
          <w:p w14:paraId="384D7EFD"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Samba</w:t>
            </w:r>
            <w:r w:rsidRPr="004834AC">
              <w:rPr>
                <w:rFonts w:ascii="Calibri" w:eastAsia="Times New Roman" w:hAnsi="Calibri" w:cs="Calibri"/>
                <w:i/>
                <w:iCs/>
                <w:color w:val="000000"/>
                <w:kern w:val="0"/>
                <w:sz w:val="16"/>
                <w:szCs w:val="16"/>
                <w14:ligatures w14:val="none"/>
              </w:rPr>
              <w:fldChar w:fldCharType="begin"/>
            </w:r>
            <w:r>
              <w:rPr>
                <w:rFonts w:ascii="Calibri" w:eastAsia="Times New Roman" w:hAnsi="Calibri" w:cs="Calibri"/>
                <w:i/>
                <w:iCs/>
                <w:color w:val="000000"/>
                <w:kern w:val="0"/>
                <w:sz w:val="16"/>
                <w:szCs w:val="16"/>
                <w14:ligatures w14:val="none"/>
              </w:rPr>
              <w:instrText xml:space="preserve"> ADDIN ZOTERO_ITEM CSL_CITATION {"citationID":"1JrPn2sI","properties":{"formattedCitation":"(16)","plainCitation":"(16)","noteIndex":0},"citationItems":[{"id":4528,"uris":["http://zotero.org/users/11021484/items/8XXT2IUI"],"itemData":{"id":4528,"type":"article-journal","abstract":"Background: Medication is a significant component in the implementation of mhGAP in the Gambia. There is growing emphasis on health systems strengthening in the Gambia and the preparedness of facilities to deliver accessible, affordable, acceptable and quality mental health services.\nObjective: Assess the availability of essential Psychotropic medications at PHC facilities and identify facilitators/barriers to their availability. Design: A questionnaire adapted from the 2015 WHO Essential Drugs List was used to assess the availability of the core psychotropic medications. Setting: 106 facilities have been assessed in the three levels through which PHC is delivered in the Gambia; the primary, secondary and tertiary levels which comprise of Hospitals, Major and Minor Health Facilities, Village Health Post, NGOs and Private Clinics and Major Pharmacy Chains.\nResults: The National availability of psychotropic medicines is 30%, with 27.7% availability in public facilities compared to 32.8% in Private facilities. Monthly treatment costs ranged from US$10.7 for Midazolam (15mg daily) to US$5 for carbamazepine (200mg daily). 1% of facilities have a psychiatric specialist (2 Technical Aid Cuban Psychiatrists and 8 Gambian Psychiatric Nurses). In 14% of the facilities, Auxiliary (untrained) nurses prescribe psychotropic medications. In some cases up to 28% of a monthly earning can go into the purchase of a single antidepressant drug.\nConclusion: Availability of psychotropic medicines is low across all the regions in the Gambia and the gap/disparity between public and private sector availability is very apparent. The low availability and high cost of psychiatric treatment, poses significant barriers to patient care and does not correspond with the burden of mental and substance abuse problems at 6.5% of the adult population having mental or substance abuse problems. The private sector medication prices are exorbitant considering the average earning power of a Gambian civil servant.","language":"en","source":"Zotero","title":"Availability of Psychotropic Medications in Primary Health Care Facilities in the Gambia","author":[{"family":"C","given":"idate:"}]}}],"schema":"https://github.com/citation-style-language/schema/raw/master/csl-citation.json"} </w:instrText>
            </w:r>
            <w:r w:rsidRPr="004834AC">
              <w:rPr>
                <w:rFonts w:ascii="Calibri" w:eastAsia="Times New Roman" w:hAnsi="Calibri" w:cs="Calibri"/>
                <w:i/>
                <w:iCs/>
                <w:color w:val="000000"/>
                <w:kern w:val="0"/>
                <w:sz w:val="16"/>
                <w:szCs w:val="16"/>
                <w14:ligatures w14:val="none"/>
              </w:rPr>
              <w:fldChar w:fldCharType="separate"/>
            </w:r>
            <w:r w:rsidRPr="00910430">
              <w:rPr>
                <w:rFonts w:ascii="Calibri" w:hAnsi="Calibri" w:cs="Calibri"/>
                <w:sz w:val="16"/>
              </w:rPr>
              <w:t>(16)</w:t>
            </w:r>
            <w:r w:rsidRPr="004834AC">
              <w:rPr>
                <w:rFonts w:ascii="Calibri" w:eastAsia="Times New Roman" w:hAnsi="Calibri" w:cs="Calibri"/>
                <w:i/>
                <w:iCs/>
                <w:color w:val="000000"/>
                <w:kern w:val="0"/>
                <w:sz w:val="16"/>
                <w:szCs w:val="16"/>
                <w14:ligatures w14:val="none"/>
              </w:rPr>
              <w:fldChar w:fldCharType="end"/>
            </w:r>
          </w:p>
        </w:tc>
        <w:tc>
          <w:tcPr>
            <w:tcW w:w="466" w:type="pct"/>
            <w:tcBorders>
              <w:top w:val="nil"/>
              <w:left w:val="nil"/>
              <w:bottom w:val="single" w:sz="4" w:space="0" w:color="auto"/>
              <w:right w:val="nil"/>
            </w:tcBorders>
            <w:shd w:val="clear" w:color="auto" w:fill="auto"/>
            <w:noWrap/>
            <w:vAlign w:val="center"/>
            <w:hideMark/>
          </w:tcPr>
          <w:p w14:paraId="100D8389"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 </w:t>
            </w:r>
          </w:p>
        </w:tc>
        <w:tc>
          <w:tcPr>
            <w:tcW w:w="447" w:type="pct"/>
            <w:tcBorders>
              <w:top w:val="nil"/>
              <w:left w:val="nil"/>
              <w:bottom w:val="single" w:sz="4" w:space="0" w:color="auto"/>
              <w:right w:val="nil"/>
            </w:tcBorders>
            <w:shd w:val="clear" w:color="auto" w:fill="auto"/>
            <w:noWrap/>
            <w:vAlign w:val="center"/>
            <w:hideMark/>
          </w:tcPr>
          <w:p w14:paraId="717BC727"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 </w:t>
            </w:r>
          </w:p>
        </w:tc>
        <w:tc>
          <w:tcPr>
            <w:tcW w:w="529" w:type="pct"/>
            <w:tcBorders>
              <w:top w:val="nil"/>
              <w:left w:val="nil"/>
              <w:bottom w:val="single" w:sz="4" w:space="0" w:color="auto"/>
              <w:right w:val="nil"/>
            </w:tcBorders>
            <w:shd w:val="clear" w:color="auto" w:fill="auto"/>
            <w:noWrap/>
            <w:vAlign w:val="center"/>
            <w:hideMark/>
          </w:tcPr>
          <w:p w14:paraId="34941FB3"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 </w:t>
            </w:r>
          </w:p>
        </w:tc>
        <w:tc>
          <w:tcPr>
            <w:tcW w:w="625" w:type="pct"/>
            <w:tcBorders>
              <w:top w:val="nil"/>
              <w:left w:val="nil"/>
              <w:bottom w:val="single" w:sz="4" w:space="0" w:color="auto"/>
              <w:right w:val="nil"/>
            </w:tcBorders>
            <w:shd w:val="clear" w:color="auto" w:fill="auto"/>
            <w:noWrap/>
            <w:vAlign w:val="center"/>
            <w:hideMark/>
          </w:tcPr>
          <w:p w14:paraId="3190EBAC"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 </w:t>
            </w:r>
          </w:p>
        </w:tc>
        <w:tc>
          <w:tcPr>
            <w:tcW w:w="414" w:type="pct"/>
            <w:tcBorders>
              <w:top w:val="nil"/>
              <w:left w:val="nil"/>
              <w:bottom w:val="single" w:sz="4" w:space="0" w:color="auto"/>
              <w:right w:val="nil"/>
            </w:tcBorders>
            <w:shd w:val="clear" w:color="auto" w:fill="auto"/>
            <w:noWrap/>
            <w:vAlign w:val="center"/>
            <w:hideMark/>
          </w:tcPr>
          <w:p w14:paraId="1FADF091"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 </w:t>
            </w:r>
          </w:p>
        </w:tc>
        <w:tc>
          <w:tcPr>
            <w:tcW w:w="556" w:type="pct"/>
            <w:tcBorders>
              <w:top w:val="nil"/>
              <w:left w:val="nil"/>
              <w:bottom w:val="single" w:sz="4" w:space="0" w:color="auto"/>
              <w:right w:val="nil"/>
            </w:tcBorders>
            <w:shd w:val="clear" w:color="auto" w:fill="auto"/>
            <w:vAlign w:val="center"/>
            <w:hideMark/>
          </w:tcPr>
          <w:p w14:paraId="6EF29E4D"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r w:rsidRPr="004834AC">
              <w:rPr>
                <w:rFonts w:ascii="Calibri" w:eastAsia="Times New Roman" w:hAnsi="Calibri" w:cs="Calibri"/>
                <w:color w:val="000000"/>
                <w:kern w:val="0"/>
                <w:sz w:val="16"/>
                <w:szCs w:val="16"/>
                <w14:ligatures w14:val="none"/>
              </w:rPr>
              <w:t> </w:t>
            </w:r>
          </w:p>
        </w:tc>
        <w:tc>
          <w:tcPr>
            <w:tcW w:w="659" w:type="pct"/>
            <w:tcBorders>
              <w:top w:val="nil"/>
              <w:left w:val="nil"/>
              <w:bottom w:val="single" w:sz="4" w:space="0" w:color="auto"/>
              <w:right w:val="nil"/>
            </w:tcBorders>
            <w:shd w:val="clear" w:color="auto" w:fill="auto"/>
            <w:noWrap/>
            <w:vAlign w:val="center"/>
            <w:hideMark/>
          </w:tcPr>
          <w:p w14:paraId="6CAFCF94" w14:textId="77777777" w:rsidR="0020792C" w:rsidRPr="004834AC" w:rsidRDefault="0020792C" w:rsidP="006353F6">
            <w:pPr>
              <w:spacing w:after="0" w:line="240" w:lineRule="auto"/>
              <w:rPr>
                <w:rFonts w:ascii="Wingdings" w:eastAsia="Times New Roman" w:hAnsi="Wingdings" w:cs="Calibri"/>
                <w:color w:val="000000"/>
                <w:kern w:val="0"/>
                <w:sz w:val="16"/>
                <w:szCs w:val="16"/>
                <w14:ligatures w14:val="none"/>
              </w:rPr>
            </w:pPr>
            <w:r w:rsidRPr="004834AC">
              <w:rPr>
                <w:rFonts w:ascii="Wingdings" w:eastAsia="Times New Roman" w:hAnsi="Wingdings" w:cs="Calibri"/>
                <w:color w:val="000000"/>
                <w:kern w:val="0"/>
                <w:sz w:val="16"/>
                <w:szCs w:val="16"/>
                <w14:ligatures w14:val="none"/>
              </w:rPr>
              <w:t></w:t>
            </w:r>
          </w:p>
        </w:tc>
        <w:tc>
          <w:tcPr>
            <w:tcW w:w="486" w:type="pct"/>
            <w:tcBorders>
              <w:top w:val="nil"/>
              <w:left w:val="nil"/>
              <w:bottom w:val="single" w:sz="4" w:space="0" w:color="auto"/>
              <w:right w:val="nil"/>
            </w:tcBorders>
            <w:shd w:val="clear" w:color="auto" w:fill="auto"/>
            <w:noWrap/>
            <w:vAlign w:val="center"/>
            <w:hideMark/>
          </w:tcPr>
          <w:p w14:paraId="2FBB5847" w14:textId="77777777" w:rsidR="0020792C" w:rsidRPr="004834AC" w:rsidRDefault="0020792C" w:rsidP="006353F6">
            <w:pPr>
              <w:spacing w:after="0" w:line="240" w:lineRule="auto"/>
              <w:rPr>
                <w:rFonts w:ascii="Calibri" w:eastAsia="Times New Roman" w:hAnsi="Calibri" w:cs="Calibri"/>
                <w:color w:val="000000"/>
                <w:kern w:val="0"/>
                <w:sz w:val="16"/>
                <w:szCs w:val="16"/>
                <w14:ligatures w14:val="none"/>
              </w:rPr>
            </w:pPr>
          </w:p>
        </w:tc>
      </w:tr>
    </w:tbl>
    <w:p w14:paraId="4416F8E4" w14:textId="77777777" w:rsidR="0088036E" w:rsidRPr="0088036E" w:rsidRDefault="0088036E" w:rsidP="0088036E"/>
    <w:p w14:paraId="0A2EF160" w14:textId="77777777" w:rsidR="002921FD" w:rsidRDefault="002921FD" w:rsidP="00360182">
      <w:pPr>
        <w:spacing w:line="480" w:lineRule="auto"/>
        <w:jc w:val="both"/>
      </w:pPr>
    </w:p>
    <w:p w14:paraId="5AAD2936" w14:textId="77777777" w:rsidR="002921FD" w:rsidRDefault="002921FD" w:rsidP="00360182">
      <w:pPr>
        <w:spacing w:line="480" w:lineRule="auto"/>
        <w:jc w:val="both"/>
      </w:pPr>
    </w:p>
    <w:sectPr w:rsidR="002921FD" w:rsidSect="00160087">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8BDB01" w14:textId="77777777" w:rsidR="00820572" w:rsidRDefault="00820572" w:rsidP="002638B2">
      <w:pPr>
        <w:spacing w:after="0" w:line="240" w:lineRule="auto"/>
      </w:pPr>
      <w:r>
        <w:separator/>
      </w:r>
    </w:p>
  </w:endnote>
  <w:endnote w:type="continuationSeparator" w:id="0">
    <w:p w14:paraId="420B4D6C" w14:textId="77777777" w:rsidR="00820572" w:rsidRDefault="00820572" w:rsidP="002638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D18CF6" w14:textId="77777777" w:rsidR="00820572" w:rsidRDefault="00820572" w:rsidP="002638B2">
      <w:pPr>
        <w:spacing w:after="0" w:line="240" w:lineRule="auto"/>
      </w:pPr>
      <w:r>
        <w:separator/>
      </w:r>
    </w:p>
  </w:footnote>
  <w:footnote w:type="continuationSeparator" w:id="0">
    <w:p w14:paraId="5A65ECA8" w14:textId="77777777" w:rsidR="00820572" w:rsidRDefault="00820572" w:rsidP="002638B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4509E0"/>
    <w:multiLevelType w:val="hybridMultilevel"/>
    <w:tmpl w:val="E23816E8"/>
    <w:lvl w:ilvl="0" w:tplc="663C8714">
      <w:start w:val="1"/>
      <w:numFmt w:val="bullet"/>
      <w:suff w:val="space"/>
      <w:lvlText w:val=""/>
      <w:lvlJc w:val="left"/>
      <w:pPr>
        <w:ind w:left="144" w:hanging="216"/>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3BE3709"/>
    <w:multiLevelType w:val="hybridMultilevel"/>
    <w:tmpl w:val="C2362524"/>
    <w:lvl w:ilvl="0" w:tplc="C700C4C8">
      <w:start w:val="1"/>
      <w:numFmt w:val="bullet"/>
      <w:suff w:val="space"/>
      <w:lvlText w:val=""/>
      <w:lvlJc w:val="left"/>
      <w:pPr>
        <w:ind w:left="144" w:hanging="115"/>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 w15:restartNumberingAfterBreak="0">
    <w:nsid w:val="08CA6A7E"/>
    <w:multiLevelType w:val="hybridMultilevel"/>
    <w:tmpl w:val="B620A11E"/>
    <w:lvl w:ilvl="0" w:tplc="807CAD82">
      <w:start w:val="1"/>
      <w:numFmt w:val="bullet"/>
      <w:suff w:val="space"/>
      <w:lvlText w:val=""/>
      <w:lvlJc w:val="left"/>
      <w:pPr>
        <w:ind w:left="144" w:hanging="108"/>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CC1F63"/>
    <w:multiLevelType w:val="hybridMultilevel"/>
    <w:tmpl w:val="651C37B8"/>
    <w:lvl w:ilvl="0" w:tplc="19C861CC">
      <w:start w:val="1"/>
      <w:numFmt w:val="bullet"/>
      <w:suff w:val="space"/>
      <w:lvlText w:val=""/>
      <w:lvlJc w:val="left"/>
      <w:pPr>
        <w:ind w:left="144" w:hanging="108"/>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006660F"/>
    <w:multiLevelType w:val="hybridMultilevel"/>
    <w:tmpl w:val="16587946"/>
    <w:lvl w:ilvl="0" w:tplc="E32E0156">
      <w:start w:val="1"/>
      <w:numFmt w:val="bullet"/>
      <w:suff w:val="space"/>
      <w:lvlText w:val=""/>
      <w:lvlJc w:val="left"/>
      <w:pPr>
        <w:ind w:left="144" w:hanging="108"/>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106C203D"/>
    <w:multiLevelType w:val="hybridMultilevel"/>
    <w:tmpl w:val="221C0E10"/>
    <w:lvl w:ilvl="0" w:tplc="F79E02EE">
      <w:start w:val="1"/>
      <w:numFmt w:val="bullet"/>
      <w:suff w:val="space"/>
      <w:lvlText w:val=""/>
      <w:lvlJc w:val="left"/>
      <w:pPr>
        <w:ind w:left="1501" w:firstLine="29"/>
      </w:pPr>
      <w:rPr>
        <w:rFonts w:ascii="Symbol" w:hAnsi="Symbol" w:hint="default"/>
      </w:rPr>
    </w:lvl>
    <w:lvl w:ilvl="1" w:tplc="04090003" w:tentative="1">
      <w:start w:val="1"/>
      <w:numFmt w:val="bullet"/>
      <w:lvlText w:val="o"/>
      <w:lvlJc w:val="left"/>
      <w:pPr>
        <w:ind w:left="2523" w:hanging="360"/>
      </w:pPr>
      <w:rPr>
        <w:rFonts w:ascii="Courier New" w:hAnsi="Courier New" w:cs="Courier New" w:hint="default"/>
      </w:rPr>
    </w:lvl>
    <w:lvl w:ilvl="2" w:tplc="04090005" w:tentative="1">
      <w:start w:val="1"/>
      <w:numFmt w:val="bullet"/>
      <w:lvlText w:val=""/>
      <w:lvlJc w:val="left"/>
      <w:pPr>
        <w:ind w:left="3243" w:hanging="360"/>
      </w:pPr>
      <w:rPr>
        <w:rFonts w:ascii="Wingdings" w:hAnsi="Wingdings" w:hint="default"/>
      </w:rPr>
    </w:lvl>
    <w:lvl w:ilvl="3" w:tplc="04090001" w:tentative="1">
      <w:start w:val="1"/>
      <w:numFmt w:val="bullet"/>
      <w:lvlText w:val=""/>
      <w:lvlJc w:val="left"/>
      <w:pPr>
        <w:ind w:left="3963" w:hanging="360"/>
      </w:pPr>
      <w:rPr>
        <w:rFonts w:ascii="Symbol" w:hAnsi="Symbol" w:hint="default"/>
      </w:rPr>
    </w:lvl>
    <w:lvl w:ilvl="4" w:tplc="04090003" w:tentative="1">
      <w:start w:val="1"/>
      <w:numFmt w:val="bullet"/>
      <w:lvlText w:val="o"/>
      <w:lvlJc w:val="left"/>
      <w:pPr>
        <w:ind w:left="4683" w:hanging="360"/>
      </w:pPr>
      <w:rPr>
        <w:rFonts w:ascii="Courier New" w:hAnsi="Courier New" w:cs="Courier New" w:hint="default"/>
      </w:rPr>
    </w:lvl>
    <w:lvl w:ilvl="5" w:tplc="04090005" w:tentative="1">
      <w:start w:val="1"/>
      <w:numFmt w:val="bullet"/>
      <w:lvlText w:val=""/>
      <w:lvlJc w:val="left"/>
      <w:pPr>
        <w:ind w:left="5403" w:hanging="360"/>
      </w:pPr>
      <w:rPr>
        <w:rFonts w:ascii="Wingdings" w:hAnsi="Wingdings" w:hint="default"/>
      </w:rPr>
    </w:lvl>
    <w:lvl w:ilvl="6" w:tplc="04090001" w:tentative="1">
      <w:start w:val="1"/>
      <w:numFmt w:val="bullet"/>
      <w:lvlText w:val=""/>
      <w:lvlJc w:val="left"/>
      <w:pPr>
        <w:ind w:left="6123" w:hanging="360"/>
      </w:pPr>
      <w:rPr>
        <w:rFonts w:ascii="Symbol" w:hAnsi="Symbol" w:hint="default"/>
      </w:rPr>
    </w:lvl>
    <w:lvl w:ilvl="7" w:tplc="04090003" w:tentative="1">
      <w:start w:val="1"/>
      <w:numFmt w:val="bullet"/>
      <w:lvlText w:val="o"/>
      <w:lvlJc w:val="left"/>
      <w:pPr>
        <w:ind w:left="6843" w:hanging="360"/>
      </w:pPr>
      <w:rPr>
        <w:rFonts w:ascii="Courier New" w:hAnsi="Courier New" w:cs="Courier New" w:hint="default"/>
      </w:rPr>
    </w:lvl>
    <w:lvl w:ilvl="8" w:tplc="04090005" w:tentative="1">
      <w:start w:val="1"/>
      <w:numFmt w:val="bullet"/>
      <w:lvlText w:val=""/>
      <w:lvlJc w:val="left"/>
      <w:pPr>
        <w:ind w:left="7563" w:hanging="360"/>
      </w:pPr>
      <w:rPr>
        <w:rFonts w:ascii="Wingdings" w:hAnsi="Wingdings" w:hint="default"/>
      </w:rPr>
    </w:lvl>
  </w:abstractNum>
  <w:abstractNum w:abstractNumId="6" w15:restartNumberingAfterBreak="0">
    <w:nsid w:val="124F1CF6"/>
    <w:multiLevelType w:val="hybridMultilevel"/>
    <w:tmpl w:val="E02C9DDE"/>
    <w:lvl w:ilvl="0" w:tplc="9E2A43CA">
      <w:start w:val="1"/>
      <w:numFmt w:val="bullet"/>
      <w:suff w:val="space"/>
      <w:lvlText w:val=""/>
      <w:lvlJc w:val="left"/>
      <w:pPr>
        <w:ind w:left="144" w:hanging="108"/>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3E47CE"/>
    <w:multiLevelType w:val="hybridMultilevel"/>
    <w:tmpl w:val="A65E0908"/>
    <w:lvl w:ilvl="0" w:tplc="A8FAF122">
      <w:start w:val="1"/>
      <w:numFmt w:val="bullet"/>
      <w:suff w:val="space"/>
      <w:lvlText w:val=""/>
      <w:lvlJc w:val="left"/>
      <w:pPr>
        <w:ind w:left="72" w:hanging="43"/>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 w15:restartNumberingAfterBreak="0">
    <w:nsid w:val="14830C7C"/>
    <w:multiLevelType w:val="hybridMultilevel"/>
    <w:tmpl w:val="7AE0567E"/>
    <w:lvl w:ilvl="0" w:tplc="49F80F7C">
      <w:start w:val="1"/>
      <w:numFmt w:val="bullet"/>
      <w:suff w:val="space"/>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4A93F10"/>
    <w:multiLevelType w:val="hybridMultilevel"/>
    <w:tmpl w:val="05D2ACD6"/>
    <w:lvl w:ilvl="0" w:tplc="F844D6C6">
      <w:start w:val="1"/>
      <w:numFmt w:val="bullet"/>
      <w:suff w:val="space"/>
      <w:lvlText w:val=""/>
      <w:lvlJc w:val="left"/>
      <w:pPr>
        <w:ind w:left="144" w:hanging="108"/>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15353F16"/>
    <w:multiLevelType w:val="hybridMultilevel"/>
    <w:tmpl w:val="CC7096A4"/>
    <w:lvl w:ilvl="0" w:tplc="E32E0156">
      <w:start w:val="1"/>
      <w:numFmt w:val="bullet"/>
      <w:suff w:val="space"/>
      <w:lvlText w:val=""/>
      <w:lvlJc w:val="left"/>
      <w:pPr>
        <w:ind w:left="144" w:hanging="108"/>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6DB0154"/>
    <w:multiLevelType w:val="hybridMultilevel"/>
    <w:tmpl w:val="DBC48C98"/>
    <w:lvl w:ilvl="0" w:tplc="A47E0F5E">
      <w:start w:val="1"/>
      <w:numFmt w:val="bullet"/>
      <w:suff w:val="space"/>
      <w:lvlText w:val=""/>
      <w:lvlJc w:val="left"/>
      <w:pPr>
        <w:ind w:left="0" w:firstLine="29"/>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1A1000A6"/>
    <w:multiLevelType w:val="hybridMultilevel"/>
    <w:tmpl w:val="89982A70"/>
    <w:lvl w:ilvl="0" w:tplc="14AC6996">
      <w:start w:val="1"/>
      <w:numFmt w:val="bullet"/>
      <w:suff w:val="space"/>
      <w:lvlText w:val=""/>
      <w:lvlJc w:val="left"/>
      <w:pPr>
        <w:ind w:left="144" w:firstLine="306"/>
      </w:pPr>
      <w:rPr>
        <w:rFonts w:ascii="Symbol" w:hAnsi="Symbol" w:hint="default"/>
      </w:rPr>
    </w:lvl>
    <w:lvl w:ilvl="1" w:tplc="FFFFFFFF" w:tentative="1">
      <w:start w:val="1"/>
      <w:numFmt w:val="bullet"/>
      <w:lvlText w:val="o"/>
      <w:lvlJc w:val="left"/>
      <w:pPr>
        <w:ind w:left="1861" w:hanging="360"/>
      </w:pPr>
      <w:rPr>
        <w:rFonts w:ascii="Courier New" w:hAnsi="Courier New" w:cs="Courier New" w:hint="default"/>
      </w:rPr>
    </w:lvl>
    <w:lvl w:ilvl="2" w:tplc="FFFFFFFF" w:tentative="1">
      <w:start w:val="1"/>
      <w:numFmt w:val="bullet"/>
      <w:lvlText w:val=""/>
      <w:lvlJc w:val="left"/>
      <w:pPr>
        <w:ind w:left="2581" w:hanging="360"/>
      </w:pPr>
      <w:rPr>
        <w:rFonts w:ascii="Wingdings" w:hAnsi="Wingdings" w:hint="default"/>
      </w:rPr>
    </w:lvl>
    <w:lvl w:ilvl="3" w:tplc="FFFFFFFF" w:tentative="1">
      <w:start w:val="1"/>
      <w:numFmt w:val="bullet"/>
      <w:lvlText w:val=""/>
      <w:lvlJc w:val="left"/>
      <w:pPr>
        <w:ind w:left="3301" w:hanging="360"/>
      </w:pPr>
      <w:rPr>
        <w:rFonts w:ascii="Symbol" w:hAnsi="Symbol" w:hint="default"/>
      </w:rPr>
    </w:lvl>
    <w:lvl w:ilvl="4" w:tplc="FFFFFFFF" w:tentative="1">
      <w:start w:val="1"/>
      <w:numFmt w:val="bullet"/>
      <w:lvlText w:val="o"/>
      <w:lvlJc w:val="left"/>
      <w:pPr>
        <w:ind w:left="4021" w:hanging="360"/>
      </w:pPr>
      <w:rPr>
        <w:rFonts w:ascii="Courier New" w:hAnsi="Courier New" w:cs="Courier New" w:hint="default"/>
      </w:rPr>
    </w:lvl>
    <w:lvl w:ilvl="5" w:tplc="FFFFFFFF" w:tentative="1">
      <w:start w:val="1"/>
      <w:numFmt w:val="bullet"/>
      <w:lvlText w:val=""/>
      <w:lvlJc w:val="left"/>
      <w:pPr>
        <w:ind w:left="4741" w:hanging="360"/>
      </w:pPr>
      <w:rPr>
        <w:rFonts w:ascii="Wingdings" w:hAnsi="Wingdings" w:hint="default"/>
      </w:rPr>
    </w:lvl>
    <w:lvl w:ilvl="6" w:tplc="FFFFFFFF" w:tentative="1">
      <w:start w:val="1"/>
      <w:numFmt w:val="bullet"/>
      <w:lvlText w:val=""/>
      <w:lvlJc w:val="left"/>
      <w:pPr>
        <w:ind w:left="5461" w:hanging="360"/>
      </w:pPr>
      <w:rPr>
        <w:rFonts w:ascii="Symbol" w:hAnsi="Symbol" w:hint="default"/>
      </w:rPr>
    </w:lvl>
    <w:lvl w:ilvl="7" w:tplc="FFFFFFFF" w:tentative="1">
      <w:start w:val="1"/>
      <w:numFmt w:val="bullet"/>
      <w:lvlText w:val="o"/>
      <w:lvlJc w:val="left"/>
      <w:pPr>
        <w:ind w:left="6181" w:hanging="360"/>
      </w:pPr>
      <w:rPr>
        <w:rFonts w:ascii="Courier New" w:hAnsi="Courier New" w:cs="Courier New" w:hint="default"/>
      </w:rPr>
    </w:lvl>
    <w:lvl w:ilvl="8" w:tplc="FFFFFFFF" w:tentative="1">
      <w:start w:val="1"/>
      <w:numFmt w:val="bullet"/>
      <w:lvlText w:val=""/>
      <w:lvlJc w:val="left"/>
      <w:pPr>
        <w:ind w:left="6901" w:hanging="360"/>
      </w:pPr>
      <w:rPr>
        <w:rFonts w:ascii="Wingdings" w:hAnsi="Wingdings" w:hint="default"/>
      </w:rPr>
    </w:lvl>
  </w:abstractNum>
  <w:abstractNum w:abstractNumId="13" w15:restartNumberingAfterBreak="0">
    <w:nsid w:val="1A8054DC"/>
    <w:multiLevelType w:val="hybridMultilevel"/>
    <w:tmpl w:val="EDA4317A"/>
    <w:lvl w:ilvl="0" w:tplc="49EC71CC">
      <w:start w:val="1"/>
      <w:numFmt w:val="bullet"/>
      <w:suff w:val="space"/>
      <w:lvlText w:val=""/>
      <w:lvlJc w:val="left"/>
      <w:pPr>
        <w:ind w:left="144" w:hanging="115"/>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4" w15:restartNumberingAfterBreak="0">
    <w:nsid w:val="1BEF50F4"/>
    <w:multiLevelType w:val="hybridMultilevel"/>
    <w:tmpl w:val="DBA84146"/>
    <w:lvl w:ilvl="0" w:tplc="E32E0156">
      <w:start w:val="1"/>
      <w:numFmt w:val="bullet"/>
      <w:suff w:val="space"/>
      <w:lvlText w:val=""/>
      <w:lvlJc w:val="left"/>
      <w:pPr>
        <w:ind w:left="144" w:hanging="108"/>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FB2265A"/>
    <w:multiLevelType w:val="hybridMultilevel"/>
    <w:tmpl w:val="304665DA"/>
    <w:lvl w:ilvl="0" w:tplc="005C3462">
      <w:start w:val="1"/>
      <w:numFmt w:val="bullet"/>
      <w:suff w:val="space"/>
      <w:lvlText w:val=""/>
      <w:lvlJc w:val="left"/>
      <w:pPr>
        <w:ind w:left="144" w:hanging="101"/>
      </w:pPr>
      <w:rPr>
        <w:rFonts w:ascii="Symbol" w:hAnsi="Symbol" w:hint="default"/>
      </w:rPr>
    </w:lvl>
    <w:lvl w:ilvl="1" w:tplc="FFFFFFFF" w:tentative="1">
      <w:start w:val="1"/>
      <w:numFmt w:val="bullet"/>
      <w:lvlText w:val="o"/>
      <w:lvlJc w:val="left"/>
      <w:pPr>
        <w:ind w:left="1861" w:hanging="360"/>
      </w:pPr>
      <w:rPr>
        <w:rFonts w:ascii="Courier New" w:hAnsi="Courier New" w:cs="Courier New" w:hint="default"/>
      </w:rPr>
    </w:lvl>
    <w:lvl w:ilvl="2" w:tplc="FFFFFFFF" w:tentative="1">
      <w:start w:val="1"/>
      <w:numFmt w:val="bullet"/>
      <w:lvlText w:val=""/>
      <w:lvlJc w:val="left"/>
      <w:pPr>
        <w:ind w:left="2581" w:hanging="360"/>
      </w:pPr>
      <w:rPr>
        <w:rFonts w:ascii="Wingdings" w:hAnsi="Wingdings" w:hint="default"/>
      </w:rPr>
    </w:lvl>
    <w:lvl w:ilvl="3" w:tplc="FFFFFFFF" w:tentative="1">
      <w:start w:val="1"/>
      <w:numFmt w:val="bullet"/>
      <w:lvlText w:val=""/>
      <w:lvlJc w:val="left"/>
      <w:pPr>
        <w:ind w:left="3301" w:hanging="360"/>
      </w:pPr>
      <w:rPr>
        <w:rFonts w:ascii="Symbol" w:hAnsi="Symbol" w:hint="default"/>
      </w:rPr>
    </w:lvl>
    <w:lvl w:ilvl="4" w:tplc="FFFFFFFF" w:tentative="1">
      <w:start w:val="1"/>
      <w:numFmt w:val="bullet"/>
      <w:lvlText w:val="o"/>
      <w:lvlJc w:val="left"/>
      <w:pPr>
        <w:ind w:left="4021" w:hanging="360"/>
      </w:pPr>
      <w:rPr>
        <w:rFonts w:ascii="Courier New" w:hAnsi="Courier New" w:cs="Courier New" w:hint="default"/>
      </w:rPr>
    </w:lvl>
    <w:lvl w:ilvl="5" w:tplc="FFFFFFFF" w:tentative="1">
      <w:start w:val="1"/>
      <w:numFmt w:val="bullet"/>
      <w:lvlText w:val=""/>
      <w:lvlJc w:val="left"/>
      <w:pPr>
        <w:ind w:left="4741" w:hanging="360"/>
      </w:pPr>
      <w:rPr>
        <w:rFonts w:ascii="Wingdings" w:hAnsi="Wingdings" w:hint="default"/>
      </w:rPr>
    </w:lvl>
    <w:lvl w:ilvl="6" w:tplc="FFFFFFFF" w:tentative="1">
      <w:start w:val="1"/>
      <w:numFmt w:val="bullet"/>
      <w:lvlText w:val=""/>
      <w:lvlJc w:val="left"/>
      <w:pPr>
        <w:ind w:left="5461" w:hanging="360"/>
      </w:pPr>
      <w:rPr>
        <w:rFonts w:ascii="Symbol" w:hAnsi="Symbol" w:hint="default"/>
      </w:rPr>
    </w:lvl>
    <w:lvl w:ilvl="7" w:tplc="FFFFFFFF" w:tentative="1">
      <w:start w:val="1"/>
      <w:numFmt w:val="bullet"/>
      <w:lvlText w:val="o"/>
      <w:lvlJc w:val="left"/>
      <w:pPr>
        <w:ind w:left="6181" w:hanging="360"/>
      </w:pPr>
      <w:rPr>
        <w:rFonts w:ascii="Courier New" w:hAnsi="Courier New" w:cs="Courier New" w:hint="default"/>
      </w:rPr>
    </w:lvl>
    <w:lvl w:ilvl="8" w:tplc="FFFFFFFF" w:tentative="1">
      <w:start w:val="1"/>
      <w:numFmt w:val="bullet"/>
      <w:lvlText w:val=""/>
      <w:lvlJc w:val="left"/>
      <w:pPr>
        <w:ind w:left="6901" w:hanging="360"/>
      </w:pPr>
      <w:rPr>
        <w:rFonts w:ascii="Wingdings" w:hAnsi="Wingdings" w:hint="default"/>
      </w:rPr>
    </w:lvl>
  </w:abstractNum>
  <w:abstractNum w:abstractNumId="16" w15:restartNumberingAfterBreak="0">
    <w:nsid w:val="1FDB3BF2"/>
    <w:multiLevelType w:val="hybridMultilevel"/>
    <w:tmpl w:val="6BBEBF92"/>
    <w:lvl w:ilvl="0" w:tplc="321CD874">
      <w:start w:val="1"/>
      <w:numFmt w:val="bullet"/>
      <w:suff w:val="space"/>
      <w:lvlText w:val=""/>
      <w:lvlJc w:val="left"/>
      <w:pPr>
        <w:ind w:left="115" w:hanging="115"/>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1FFD5D2E"/>
    <w:multiLevelType w:val="multilevel"/>
    <w:tmpl w:val="ED44C81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21B7265D"/>
    <w:multiLevelType w:val="hybridMultilevel"/>
    <w:tmpl w:val="A76C5864"/>
    <w:lvl w:ilvl="0" w:tplc="7512AD4E">
      <w:start w:val="1"/>
      <w:numFmt w:val="bullet"/>
      <w:suff w:val="space"/>
      <w:lvlText w:val=""/>
      <w:lvlJc w:val="left"/>
      <w:pPr>
        <w:ind w:left="72" w:hanging="72"/>
      </w:pPr>
      <w:rPr>
        <w:rFonts w:ascii="Symbol" w:hAnsi="Symbol" w:hint="default"/>
      </w:rPr>
    </w:lvl>
    <w:lvl w:ilvl="1" w:tplc="059A4F06">
      <w:start w:val="1"/>
      <w:numFmt w:val="bullet"/>
      <w:suff w:val="space"/>
      <w:lvlText w:val="o"/>
      <w:lvlJc w:val="left"/>
      <w:pPr>
        <w:ind w:left="432" w:hanging="144"/>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B633ABA"/>
    <w:multiLevelType w:val="hybridMultilevel"/>
    <w:tmpl w:val="C2B64A3E"/>
    <w:lvl w:ilvl="0" w:tplc="C21C2054">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69C2EEB"/>
    <w:multiLevelType w:val="hybridMultilevel"/>
    <w:tmpl w:val="744E3A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7601B11"/>
    <w:multiLevelType w:val="hybridMultilevel"/>
    <w:tmpl w:val="2C36A2CA"/>
    <w:lvl w:ilvl="0" w:tplc="9176D156">
      <w:start w:val="1"/>
      <w:numFmt w:val="bullet"/>
      <w:suff w:val="space"/>
      <w:lvlText w:val=""/>
      <w:lvlJc w:val="left"/>
      <w:pPr>
        <w:ind w:left="144" w:hanging="115"/>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3AF344A2"/>
    <w:multiLevelType w:val="hybridMultilevel"/>
    <w:tmpl w:val="D604F4D6"/>
    <w:lvl w:ilvl="0" w:tplc="54048ABE">
      <w:start w:val="1"/>
      <w:numFmt w:val="bullet"/>
      <w:suff w:val="space"/>
      <w:lvlText w:val=""/>
      <w:lvlJc w:val="left"/>
      <w:pPr>
        <w:ind w:left="144" w:hanging="115"/>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3C0B2828"/>
    <w:multiLevelType w:val="hybridMultilevel"/>
    <w:tmpl w:val="6810ADDC"/>
    <w:lvl w:ilvl="0" w:tplc="78F02030">
      <w:start w:val="1"/>
      <w:numFmt w:val="bullet"/>
      <w:suff w:val="space"/>
      <w:lvlText w:val=""/>
      <w:lvlJc w:val="left"/>
      <w:pPr>
        <w:ind w:left="144" w:hanging="108"/>
      </w:pPr>
      <w:rPr>
        <w:rFonts w:ascii="Symbol" w:hAnsi="Symbol" w:hint="default"/>
      </w:rPr>
    </w:lvl>
    <w:lvl w:ilvl="1" w:tplc="FFFFFFFF" w:tentative="1">
      <w:start w:val="1"/>
      <w:numFmt w:val="bullet"/>
      <w:lvlText w:val="o"/>
      <w:lvlJc w:val="left"/>
      <w:pPr>
        <w:ind w:left="1861" w:hanging="360"/>
      </w:pPr>
      <w:rPr>
        <w:rFonts w:ascii="Courier New" w:hAnsi="Courier New" w:cs="Courier New" w:hint="default"/>
      </w:rPr>
    </w:lvl>
    <w:lvl w:ilvl="2" w:tplc="FFFFFFFF" w:tentative="1">
      <w:start w:val="1"/>
      <w:numFmt w:val="bullet"/>
      <w:lvlText w:val=""/>
      <w:lvlJc w:val="left"/>
      <w:pPr>
        <w:ind w:left="2581" w:hanging="360"/>
      </w:pPr>
      <w:rPr>
        <w:rFonts w:ascii="Wingdings" w:hAnsi="Wingdings" w:hint="default"/>
      </w:rPr>
    </w:lvl>
    <w:lvl w:ilvl="3" w:tplc="FFFFFFFF" w:tentative="1">
      <w:start w:val="1"/>
      <w:numFmt w:val="bullet"/>
      <w:lvlText w:val=""/>
      <w:lvlJc w:val="left"/>
      <w:pPr>
        <w:ind w:left="3301" w:hanging="360"/>
      </w:pPr>
      <w:rPr>
        <w:rFonts w:ascii="Symbol" w:hAnsi="Symbol" w:hint="default"/>
      </w:rPr>
    </w:lvl>
    <w:lvl w:ilvl="4" w:tplc="FFFFFFFF" w:tentative="1">
      <w:start w:val="1"/>
      <w:numFmt w:val="bullet"/>
      <w:lvlText w:val="o"/>
      <w:lvlJc w:val="left"/>
      <w:pPr>
        <w:ind w:left="4021" w:hanging="360"/>
      </w:pPr>
      <w:rPr>
        <w:rFonts w:ascii="Courier New" w:hAnsi="Courier New" w:cs="Courier New" w:hint="default"/>
      </w:rPr>
    </w:lvl>
    <w:lvl w:ilvl="5" w:tplc="FFFFFFFF" w:tentative="1">
      <w:start w:val="1"/>
      <w:numFmt w:val="bullet"/>
      <w:lvlText w:val=""/>
      <w:lvlJc w:val="left"/>
      <w:pPr>
        <w:ind w:left="4741" w:hanging="360"/>
      </w:pPr>
      <w:rPr>
        <w:rFonts w:ascii="Wingdings" w:hAnsi="Wingdings" w:hint="default"/>
      </w:rPr>
    </w:lvl>
    <w:lvl w:ilvl="6" w:tplc="FFFFFFFF" w:tentative="1">
      <w:start w:val="1"/>
      <w:numFmt w:val="bullet"/>
      <w:lvlText w:val=""/>
      <w:lvlJc w:val="left"/>
      <w:pPr>
        <w:ind w:left="5461" w:hanging="360"/>
      </w:pPr>
      <w:rPr>
        <w:rFonts w:ascii="Symbol" w:hAnsi="Symbol" w:hint="default"/>
      </w:rPr>
    </w:lvl>
    <w:lvl w:ilvl="7" w:tplc="FFFFFFFF" w:tentative="1">
      <w:start w:val="1"/>
      <w:numFmt w:val="bullet"/>
      <w:lvlText w:val="o"/>
      <w:lvlJc w:val="left"/>
      <w:pPr>
        <w:ind w:left="6181" w:hanging="360"/>
      </w:pPr>
      <w:rPr>
        <w:rFonts w:ascii="Courier New" w:hAnsi="Courier New" w:cs="Courier New" w:hint="default"/>
      </w:rPr>
    </w:lvl>
    <w:lvl w:ilvl="8" w:tplc="FFFFFFFF" w:tentative="1">
      <w:start w:val="1"/>
      <w:numFmt w:val="bullet"/>
      <w:lvlText w:val=""/>
      <w:lvlJc w:val="left"/>
      <w:pPr>
        <w:ind w:left="6901" w:hanging="360"/>
      </w:pPr>
      <w:rPr>
        <w:rFonts w:ascii="Wingdings" w:hAnsi="Wingdings" w:hint="default"/>
      </w:rPr>
    </w:lvl>
  </w:abstractNum>
  <w:abstractNum w:abstractNumId="24" w15:restartNumberingAfterBreak="0">
    <w:nsid w:val="41AD5B4F"/>
    <w:multiLevelType w:val="multilevel"/>
    <w:tmpl w:val="63B6911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36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476E10A7"/>
    <w:multiLevelType w:val="hybridMultilevel"/>
    <w:tmpl w:val="7ACA2D62"/>
    <w:lvl w:ilvl="0" w:tplc="48AE8FFC">
      <w:start w:val="1"/>
      <w:numFmt w:val="bullet"/>
      <w:suff w:val="space"/>
      <w:lvlText w:val=""/>
      <w:lvlJc w:val="left"/>
      <w:pPr>
        <w:ind w:left="101" w:hanging="216"/>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49D1250C"/>
    <w:multiLevelType w:val="hybridMultilevel"/>
    <w:tmpl w:val="33D853BE"/>
    <w:lvl w:ilvl="0" w:tplc="00E6F1C8">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CD00F23"/>
    <w:multiLevelType w:val="hybridMultilevel"/>
    <w:tmpl w:val="712AD8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E770382"/>
    <w:multiLevelType w:val="multilevel"/>
    <w:tmpl w:val="A16A03E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4F68048E"/>
    <w:multiLevelType w:val="hybridMultilevel"/>
    <w:tmpl w:val="F86AAE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4452139"/>
    <w:multiLevelType w:val="hybridMultilevel"/>
    <w:tmpl w:val="73B69774"/>
    <w:lvl w:ilvl="0" w:tplc="5FC46AF8">
      <w:start w:val="1"/>
      <w:numFmt w:val="bullet"/>
      <w:suff w:val="space"/>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EB025E"/>
    <w:multiLevelType w:val="hybridMultilevel"/>
    <w:tmpl w:val="1A06E088"/>
    <w:lvl w:ilvl="0" w:tplc="8320F4E0">
      <w:start w:val="1"/>
      <w:numFmt w:val="bullet"/>
      <w:suff w:val="space"/>
      <w:lvlText w:val=""/>
      <w:lvlJc w:val="left"/>
      <w:pPr>
        <w:ind w:left="421" w:firstLine="29"/>
      </w:pPr>
      <w:rPr>
        <w:rFonts w:ascii="Symbol" w:hAnsi="Symbol" w:hint="default"/>
      </w:rPr>
    </w:lvl>
    <w:lvl w:ilvl="1" w:tplc="04090003" w:tentative="1">
      <w:start w:val="1"/>
      <w:numFmt w:val="bullet"/>
      <w:lvlText w:val="o"/>
      <w:lvlJc w:val="left"/>
      <w:pPr>
        <w:ind w:left="1861" w:hanging="360"/>
      </w:pPr>
      <w:rPr>
        <w:rFonts w:ascii="Courier New" w:hAnsi="Courier New" w:cs="Courier New" w:hint="default"/>
      </w:rPr>
    </w:lvl>
    <w:lvl w:ilvl="2" w:tplc="04090005" w:tentative="1">
      <w:start w:val="1"/>
      <w:numFmt w:val="bullet"/>
      <w:lvlText w:val=""/>
      <w:lvlJc w:val="left"/>
      <w:pPr>
        <w:ind w:left="2581" w:hanging="360"/>
      </w:pPr>
      <w:rPr>
        <w:rFonts w:ascii="Wingdings" w:hAnsi="Wingdings" w:hint="default"/>
      </w:rPr>
    </w:lvl>
    <w:lvl w:ilvl="3" w:tplc="04090001" w:tentative="1">
      <w:start w:val="1"/>
      <w:numFmt w:val="bullet"/>
      <w:lvlText w:val=""/>
      <w:lvlJc w:val="left"/>
      <w:pPr>
        <w:ind w:left="3301" w:hanging="360"/>
      </w:pPr>
      <w:rPr>
        <w:rFonts w:ascii="Symbol" w:hAnsi="Symbol" w:hint="default"/>
      </w:rPr>
    </w:lvl>
    <w:lvl w:ilvl="4" w:tplc="04090003" w:tentative="1">
      <w:start w:val="1"/>
      <w:numFmt w:val="bullet"/>
      <w:lvlText w:val="o"/>
      <w:lvlJc w:val="left"/>
      <w:pPr>
        <w:ind w:left="4021" w:hanging="360"/>
      </w:pPr>
      <w:rPr>
        <w:rFonts w:ascii="Courier New" w:hAnsi="Courier New" w:cs="Courier New" w:hint="default"/>
      </w:rPr>
    </w:lvl>
    <w:lvl w:ilvl="5" w:tplc="04090005" w:tentative="1">
      <w:start w:val="1"/>
      <w:numFmt w:val="bullet"/>
      <w:lvlText w:val=""/>
      <w:lvlJc w:val="left"/>
      <w:pPr>
        <w:ind w:left="4741" w:hanging="360"/>
      </w:pPr>
      <w:rPr>
        <w:rFonts w:ascii="Wingdings" w:hAnsi="Wingdings" w:hint="default"/>
      </w:rPr>
    </w:lvl>
    <w:lvl w:ilvl="6" w:tplc="04090001" w:tentative="1">
      <w:start w:val="1"/>
      <w:numFmt w:val="bullet"/>
      <w:lvlText w:val=""/>
      <w:lvlJc w:val="left"/>
      <w:pPr>
        <w:ind w:left="5461" w:hanging="360"/>
      </w:pPr>
      <w:rPr>
        <w:rFonts w:ascii="Symbol" w:hAnsi="Symbol" w:hint="default"/>
      </w:rPr>
    </w:lvl>
    <w:lvl w:ilvl="7" w:tplc="04090003" w:tentative="1">
      <w:start w:val="1"/>
      <w:numFmt w:val="bullet"/>
      <w:lvlText w:val="o"/>
      <w:lvlJc w:val="left"/>
      <w:pPr>
        <w:ind w:left="6181" w:hanging="360"/>
      </w:pPr>
      <w:rPr>
        <w:rFonts w:ascii="Courier New" w:hAnsi="Courier New" w:cs="Courier New" w:hint="default"/>
      </w:rPr>
    </w:lvl>
    <w:lvl w:ilvl="8" w:tplc="04090005" w:tentative="1">
      <w:start w:val="1"/>
      <w:numFmt w:val="bullet"/>
      <w:lvlText w:val=""/>
      <w:lvlJc w:val="left"/>
      <w:pPr>
        <w:ind w:left="6901" w:hanging="360"/>
      </w:pPr>
      <w:rPr>
        <w:rFonts w:ascii="Wingdings" w:hAnsi="Wingdings" w:hint="default"/>
      </w:rPr>
    </w:lvl>
  </w:abstractNum>
  <w:abstractNum w:abstractNumId="32" w15:restartNumberingAfterBreak="0">
    <w:nsid w:val="5ED85099"/>
    <w:multiLevelType w:val="hybridMultilevel"/>
    <w:tmpl w:val="62363C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3365A"/>
    <w:multiLevelType w:val="hybridMultilevel"/>
    <w:tmpl w:val="421800BC"/>
    <w:lvl w:ilvl="0" w:tplc="EDCE90A6">
      <w:start w:val="1"/>
      <w:numFmt w:val="bullet"/>
      <w:suff w:val="space"/>
      <w:lvlText w:val=""/>
      <w:lvlJc w:val="left"/>
      <w:pPr>
        <w:ind w:left="144" w:hanging="115"/>
      </w:pPr>
      <w:rPr>
        <w:rFonts w:ascii="Symbol" w:hAnsi="Symbol" w:hint="default"/>
      </w:rPr>
    </w:lvl>
    <w:lvl w:ilvl="1" w:tplc="FFFFFFFF" w:tentative="1">
      <w:start w:val="1"/>
      <w:numFmt w:val="bullet"/>
      <w:lvlText w:val="o"/>
      <w:lvlJc w:val="left"/>
      <w:pPr>
        <w:ind w:left="1861" w:hanging="360"/>
      </w:pPr>
      <w:rPr>
        <w:rFonts w:ascii="Courier New" w:hAnsi="Courier New" w:cs="Courier New" w:hint="default"/>
      </w:rPr>
    </w:lvl>
    <w:lvl w:ilvl="2" w:tplc="FFFFFFFF" w:tentative="1">
      <w:start w:val="1"/>
      <w:numFmt w:val="bullet"/>
      <w:lvlText w:val=""/>
      <w:lvlJc w:val="left"/>
      <w:pPr>
        <w:ind w:left="2581" w:hanging="360"/>
      </w:pPr>
      <w:rPr>
        <w:rFonts w:ascii="Wingdings" w:hAnsi="Wingdings" w:hint="default"/>
      </w:rPr>
    </w:lvl>
    <w:lvl w:ilvl="3" w:tplc="FFFFFFFF" w:tentative="1">
      <w:start w:val="1"/>
      <w:numFmt w:val="bullet"/>
      <w:lvlText w:val=""/>
      <w:lvlJc w:val="left"/>
      <w:pPr>
        <w:ind w:left="3301" w:hanging="360"/>
      </w:pPr>
      <w:rPr>
        <w:rFonts w:ascii="Symbol" w:hAnsi="Symbol" w:hint="default"/>
      </w:rPr>
    </w:lvl>
    <w:lvl w:ilvl="4" w:tplc="FFFFFFFF" w:tentative="1">
      <w:start w:val="1"/>
      <w:numFmt w:val="bullet"/>
      <w:lvlText w:val="o"/>
      <w:lvlJc w:val="left"/>
      <w:pPr>
        <w:ind w:left="4021" w:hanging="360"/>
      </w:pPr>
      <w:rPr>
        <w:rFonts w:ascii="Courier New" w:hAnsi="Courier New" w:cs="Courier New" w:hint="default"/>
      </w:rPr>
    </w:lvl>
    <w:lvl w:ilvl="5" w:tplc="FFFFFFFF" w:tentative="1">
      <w:start w:val="1"/>
      <w:numFmt w:val="bullet"/>
      <w:lvlText w:val=""/>
      <w:lvlJc w:val="left"/>
      <w:pPr>
        <w:ind w:left="4741" w:hanging="360"/>
      </w:pPr>
      <w:rPr>
        <w:rFonts w:ascii="Wingdings" w:hAnsi="Wingdings" w:hint="default"/>
      </w:rPr>
    </w:lvl>
    <w:lvl w:ilvl="6" w:tplc="FFFFFFFF" w:tentative="1">
      <w:start w:val="1"/>
      <w:numFmt w:val="bullet"/>
      <w:lvlText w:val=""/>
      <w:lvlJc w:val="left"/>
      <w:pPr>
        <w:ind w:left="5461" w:hanging="360"/>
      </w:pPr>
      <w:rPr>
        <w:rFonts w:ascii="Symbol" w:hAnsi="Symbol" w:hint="default"/>
      </w:rPr>
    </w:lvl>
    <w:lvl w:ilvl="7" w:tplc="FFFFFFFF" w:tentative="1">
      <w:start w:val="1"/>
      <w:numFmt w:val="bullet"/>
      <w:lvlText w:val="o"/>
      <w:lvlJc w:val="left"/>
      <w:pPr>
        <w:ind w:left="6181" w:hanging="360"/>
      </w:pPr>
      <w:rPr>
        <w:rFonts w:ascii="Courier New" w:hAnsi="Courier New" w:cs="Courier New" w:hint="default"/>
      </w:rPr>
    </w:lvl>
    <w:lvl w:ilvl="8" w:tplc="FFFFFFFF" w:tentative="1">
      <w:start w:val="1"/>
      <w:numFmt w:val="bullet"/>
      <w:lvlText w:val=""/>
      <w:lvlJc w:val="left"/>
      <w:pPr>
        <w:ind w:left="6901" w:hanging="360"/>
      </w:pPr>
      <w:rPr>
        <w:rFonts w:ascii="Wingdings" w:hAnsi="Wingdings" w:hint="default"/>
      </w:rPr>
    </w:lvl>
  </w:abstractNum>
  <w:abstractNum w:abstractNumId="34" w15:restartNumberingAfterBreak="0">
    <w:nsid w:val="628A0595"/>
    <w:multiLevelType w:val="hybridMultilevel"/>
    <w:tmpl w:val="94B8E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AB90BC7"/>
    <w:multiLevelType w:val="multilevel"/>
    <w:tmpl w:val="069845A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6BB37F6C"/>
    <w:multiLevelType w:val="hybridMultilevel"/>
    <w:tmpl w:val="7E04ECCA"/>
    <w:lvl w:ilvl="0" w:tplc="3C24977E">
      <w:start w:val="1"/>
      <w:numFmt w:val="bullet"/>
      <w:suff w:val="space"/>
      <w:lvlText w:val=""/>
      <w:lvlJc w:val="left"/>
      <w:pPr>
        <w:ind w:left="144" w:hanging="108"/>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7" w15:restartNumberingAfterBreak="0">
    <w:nsid w:val="6ED118A9"/>
    <w:multiLevelType w:val="hybridMultilevel"/>
    <w:tmpl w:val="9AE0F4E4"/>
    <w:lvl w:ilvl="0" w:tplc="C332F046">
      <w:start w:val="1"/>
      <w:numFmt w:val="bullet"/>
      <w:suff w:val="space"/>
      <w:lvlText w:val=""/>
      <w:lvlJc w:val="left"/>
      <w:pPr>
        <w:ind w:left="0" w:firstLine="29"/>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589667B"/>
    <w:multiLevelType w:val="hybridMultilevel"/>
    <w:tmpl w:val="77E89E44"/>
    <w:lvl w:ilvl="0" w:tplc="B858B428">
      <w:start w:val="1"/>
      <w:numFmt w:val="bullet"/>
      <w:suff w:val="space"/>
      <w:lvlText w:val=""/>
      <w:lvlJc w:val="left"/>
      <w:pPr>
        <w:ind w:left="144" w:hanging="144"/>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75B14FFE"/>
    <w:multiLevelType w:val="hybridMultilevel"/>
    <w:tmpl w:val="1A50F9B4"/>
    <w:lvl w:ilvl="0" w:tplc="E32E0156">
      <w:start w:val="1"/>
      <w:numFmt w:val="bullet"/>
      <w:suff w:val="space"/>
      <w:lvlText w:val=""/>
      <w:lvlJc w:val="left"/>
      <w:pPr>
        <w:ind w:left="144" w:hanging="108"/>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796173B"/>
    <w:multiLevelType w:val="hybridMultilevel"/>
    <w:tmpl w:val="523AE06E"/>
    <w:lvl w:ilvl="0" w:tplc="8D72F48A">
      <w:start w:val="1"/>
      <w:numFmt w:val="bullet"/>
      <w:suff w:val="space"/>
      <w:lvlText w:val=""/>
      <w:lvlJc w:val="left"/>
      <w:pPr>
        <w:ind w:left="0" w:firstLine="29"/>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77C50E01"/>
    <w:multiLevelType w:val="hybridMultilevel"/>
    <w:tmpl w:val="E506B91C"/>
    <w:lvl w:ilvl="0" w:tplc="E32E0156">
      <w:start w:val="1"/>
      <w:numFmt w:val="bullet"/>
      <w:suff w:val="space"/>
      <w:lvlText w:val=""/>
      <w:lvlJc w:val="left"/>
      <w:pPr>
        <w:ind w:left="144" w:hanging="108"/>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B4434D2"/>
    <w:multiLevelType w:val="multilevel"/>
    <w:tmpl w:val="3B44F9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7D091CCE"/>
    <w:multiLevelType w:val="multilevel"/>
    <w:tmpl w:val="3BF0EFEA"/>
    <w:lvl w:ilvl="0">
      <w:start w:val="1"/>
      <w:numFmt w:val="decimal"/>
      <w:lvlText w:val="%1."/>
      <w:lvlJc w:val="left"/>
      <w:pPr>
        <w:ind w:left="720" w:hanging="360"/>
      </w:pPr>
      <w:rPr>
        <w:i w:val="0"/>
        <w:i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7F035C59"/>
    <w:multiLevelType w:val="hybridMultilevel"/>
    <w:tmpl w:val="2200C468"/>
    <w:lvl w:ilvl="0" w:tplc="E32E0156">
      <w:start w:val="1"/>
      <w:numFmt w:val="bullet"/>
      <w:suff w:val="space"/>
      <w:lvlText w:val=""/>
      <w:lvlJc w:val="left"/>
      <w:pPr>
        <w:ind w:left="144" w:hanging="108"/>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65729952">
    <w:abstractNumId w:val="42"/>
  </w:num>
  <w:num w:numId="2" w16cid:durableId="854345784">
    <w:abstractNumId w:val="24"/>
  </w:num>
  <w:num w:numId="3" w16cid:durableId="681710430">
    <w:abstractNumId w:val="17"/>
  </w:num>
  <w:num w:numId="4" w16cid:durableId="635187545">
    <w:abstractNumId w:val="28"/>
  </w:num>
  <w:num w:numId="5" w16cid:durableId="793989504">
    <w:abstractNumId w:val="32"/>
  </w:num>
  <w:num w:numId="6" w16cid:durableId="2055230161">
    <w:abstractNumId w:val="34"/>
  </w:num>
  <w:num w:numId="7" w16cid:durableId="1621106171">
    <w:abstractNumId w:val="29"/>
  </w:num>
  <w:num w:numId="8" w16cid:durableId="1388068825">
    <w:abstractNumId w:val="43"/>
  </w:num>
  <w:num w:numId="9" w16cid:durableId="206836795">
    <w:abstractNumId w:val="35"/>
  </w:num>
  <w:num w:numId="10" w16cid:durableId="2070878988">
    <w:abstractNumId w:val="31"/>
  </w:num>
  <w:num w:numId="11" w16cid:durableId="1101953008">
    <w:abstractNumId w:val="11"/>
  </w:num>
  <w:num w:numId="12" w16cid:durableId="784931653">
    <w:abstractNumId w:val="37"/>
  </w:num>
  <w:num w:numId="13" w16cid:durableId="222061948">
    <w:abstractNumId w:val="5"/>
  </w:num>
  <w:num w:numId="14" w16cid:durableId="266960470">
    <w:abstractNumId w:val="40"/>
  </w:num>
  <w:num w:numId="15" w16cid:durableId="1992173432">
    <w:abstractNumId w:val="7"/>
  </w:num>
  <w:num w:numId="16" w16cid:durableId="1179006682">
    <w:abstractNumId w:val="13"/>
  </w:num>
  <w:num w:numId="17" w16cid:durableId="404106756">
    <w:abstractNumId w:val="21"/>
  </w:num>
  <w:num w:numId="18" w16cid:durableId="780881220">
    <w:abstractNumId w:val="22"/>
  </w:num>
  <w:num w:numId="19" w16cid:durableId="173811953">
    <w:abstractNumId w:val="1"/>
  </w:num>
  <w:num w:numId="20" w16cid:durableId="37359701">
    <w:abstractNumId w:val="12"/>
  </w:num>
  <w:num w:numId="21" w16cid:durableId="1223953275">
    <w:abstractNumId w:val="33"/>
  </w:num>
  <w:num w:numId="22" w16cid:durableId="35813547">
    <w:abstractNumId w:val="15"/>
  </w:num>
  <w:num w:numId="23" w16cid:durableId="1096905263">
    <w:abstractNumId w:val="23"/>
  </w:num>
  <w:num w:numId="24" w16cid:durableId="490608619">
    <w:abstractNumId w:val="36"/>
  </w:num>
  <w:num w:numId="25" w16cid:durableId="39481221">
    <w:abstractNumId w:val="9"/>
  </w:num>
  <w:num w:numId="26" w16cid:durableId="1060208372">
    <w:abstractNumId w:val="3"/>
  </w:num>
  <w:num w:numId="27" w16cid:durableId="712576480">
    <w:abstractNumId w:val="4"/>
  </w:num>
  <w:num w:numId="28" w16cid:durableId="1673725522">
    <w:abstractNumId w:val="10"/>
  </w:num>
  <w:num w:numId="29" w16cid:durableId="1078361677">
    <w:abstractNumId w:val="14"/>
  </w:num>
  <w:num w:numId="30" w16cid:durableId="1818105253">
    <w:abstractNumId w:val="44"/>
  </w:num>
  <w:num w:numId="31" w16cid:durableId="1818643210">
    <w:abstractNumId w:val="6"/>
  </w:num>
  <w:num w:numId="32" w16cid:durableId="76950259">
    <w:abstractNumId w:val="39"/>
  </w:num>
  <w:num w:numId="33" w16cid:durableId="2082363664">
    <w:abstractNumId w:val="41"/>
  </w:num>
  <w:num w:numId="34" w16cid:durableId="1152140610">
    <w:abstractNumId w:val="2"/>
  </w:num>
  <w:num w:numId="35" w16cid:durableId="777287055">
    <w:abstractNumId w:val="2"/>
  </w:num>
  <w:num w:numId="36" w16cid:durableId="924998920">
    <w:abstractNumId w:val="38"/>
  </w:num>
  <w:num w:numId="37" w16cid:durableId="70541130">
    <w:abstractNumId w:val="0"/>
  </w:num>
  <w:num w:numId="38" w16cid:durableId="136143889">
    <w:abstractNumId w:val="25"/>
  </w:num>
  <w:num w:numId="39" w16cid:durableId="1353458942">
    <w:abstractNumId w:val="19"/>
  </w:num>
  <w:num w:numId="40" w16cid:durableId="267273160">
    <w:abstractNumId w:val="26"/>
  </w:num>
  <w:num w:numId="41" w16cid:durableId="2086146017">
    <w:abstractNumId w:val="30"/>
  </w:num>
  <w:num w:numId="42" w16cid:durableId="1675454298">
    <w:abstractNumId w:val="16"/>
  </w:num>
  <w:num w:numId="43" w16cid:durableId="2097706864">
    <w:abstractNumId w:val="27"/>
  </w:num>
  <w:num w:numId="44" w16cid:durableId="399906563">
    <w:abstractNumId w:val="8"/>
  </w:num>
  <w:num w:numId="45" w16cid:durableId="558397986">
    <w:abstractNumId w:val="20"/>
  </w:num>
  <w:num w:numId="46" w16cid:durableId="86652897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39F"/>
    <w:rsid w:val="00001C9B"/>
    <w:rsid w:val="00002126"/>
    <w:rsid w:val="000055DA"/>
    <w:rsid w:val="000101B4"/>
    <w:rsid w:val="00011907"/>
    <w:rsid w:val="00012877"/>
    <w:rsid w:val="0001469E"/>
    <w:rsid w:val="00014A7A"/>
    <w:rsid w:val="000161A6"/>
    <w:rsid w:val="00016C88"/>
    <w:rsid w:val="00016CEC"/>
    <w:rsid w:val="00021834"/>
    <w:rsid w:val="000252B1"/>
    <w:rsid w:val="00025636"/>
    <w:rsid w:val="00030CF2"/>
    <w:rsid w:val="00030EE7"/>
    <w:rsid w:val="000324F9"/>
    <w:rsid w:val="000344FF"/>
    <w:rsid w:val="00034B7C"/>
    <w:rsid w:val="00035103"/>
    <w:rsid w:val="000354DC"/>
    <w:rsid w:val="00035E1C"/>
    <w:rsid w:val="0003639F"/>
    <w:rsid w:val="00036E73"/>
    <w:rsid w:val="00037AFA"/>
    <w:rsid w:val="0004028C"/>
    <w:rsid w:val="00040463"/>
    <w:rsid w:val="000405E4"/>
    <w:rsid w:val="00042710"/>
    <w:rsid w:val="000436D1"/>
    <w:rsid w:val="00045F3F"/>
    <w:rsid w:val="000471A1"/>
    <w:rsid w:val="00047917"/>
    <w:rsid w:val="00051150"/>
    <w:rsid w:val="00051CF2"/>
    <w:rsid w:val="000530E6"/>
    <w:rsid w:val="000539B8"/>
    <w:rsid w:val="000554B9"/>
    <w:rsid w:val="00055755"/>
    <w:rsid w:val="0005681A"/>
    <w:rsid w:val="0005744B"/>
    <w:rsid w:val="0006050F"/>
    <w:rsid w:val="000612D1"/>
    <w:rsid w:val="0006190E"/>
    <w:rsid w:val="00061A4C"/>
    <w:rsid w:val="00061AC2"/>
    <w:rsid w:val="00063788"/>
    <w:rsid w:val="00063A41"/>
    <w:rsid w:val="00063DDB"/>
    <w:rsid w:val="00065933"/>
    <w:rsid w:val="0007088D"/>
    <w:rsid w:val="000710FB"/>
    <w:rsid w:val="000742C0"/>
    <w:rsid w:val="000750A1"/>
    <w:rsid w:val="000762DA"/>
    <w:rsid w:val="00076BFA"/>
    <w:rsid w:val="000804BC"/>
    <w:rsid w:val="00080AF0"/>
    <w:rsid w:val="00083046"/>
    <w:rsid w:val="000841BD"/>
    <w:rsid w:val="00084733"/>
    <w:rsid w:val="000908C5"/>
    <w:rsid w:val="000913D9"/>
    <w:rsid w:val="00094AA6"/>
    <w:rsid w:val="00095F05"/>
    <w:rsid w:val="000A250C"/>
    <w:rsid w:val="000A3C2C"/>
    <w:rsid w:val="000A5DC0"/>
    <w:rsid w:val="000A7302"/>
    <w:rsid w:val="000A7398"/>
    <w:rsid w:val="000B4474"/>
    <w:rsid w:val="000B53A3"/>
    <w:rsid w:val="000B6F60"/>
    <w:rsid w:val="000B7A05"/>
    <w:rsid w:val="000C1B5C"/>
    <w:rsid w:val="000C1EA1"/>
    <w:rsid w:val="000C62FA"/>
    <w:rsid w:val="000D4FD7"/>
    <w:rsid w:val="000D7EA6"/>
    <w:rsid w:val="000E1343"/>
    <w:rsid w:val="000E1565"/>
    <w:rsid w:val="000E3CBF"/>
    <w:rsid w:val="000E4F3A"/>
    <w:rsid w:val="000E6931"/>
    <w:rsid w:val="000F128C"/>
    <w:rsid w:val="000F570D"/>
    <w:rsid w:val="000F5A88"/>
    <w:rsid w:val="000F683D"/>
    <w:rsid w:val="000F6971"/>
    <w:rsid w:val="00100A36"/>
    <w:rsid w:val="001024C1"/>
    <w:rsid w:val="001053C5"/>
    <w:rsid w:val="00105923"/>
    <w:rsid w:val="00112C3D"/>
    <w:rsid w:val="001146D0"/>
    <w:rsid w:val="0011532E"/>
    <w:rsid w:val="001157CD"/>
    <w:rsid w:val="001157F2"/>
    <w:rsid w:val="00115A7D"/>
    <w:rsid w:val="00115D06"/>
    <w:rsid w:val="001212AC"/>
    <w:rsid w:val="00121A78"/>
    <w:rsid w:val="00122064"/>
    <w:rsid w:val="00122093"/>
    <w:rsid w:val="0012414E"/>
    <w:rsid w:val="0013078B"/>
    <w:rsid w:val="00130A8A"/>
    <w:rsid w:val="00130E5D"/>
    <w:rsid w:val="0013111F"/>
    <w:rsid w:val="00132BA1"/>
    <w:rsid w:val="00132E26"/>
    <w:rsid w:val="0013467D"/>
    <w:rsid w:val="00137444"/>
    <w:rsid w:val="00140B15"/>
    <w:rsid w:val="0014165E"/>
    <w:rsid w:val="0014399D"/>
    <w:rsid w:val="00143E07"/>
    <w:rsid w:val="00143F9C"/>
    <w:rsid w:val="00144C24"/>
    <w:rsid w:val="001521C3"/>
    <w:rsid w:val="00154520"/>
    <w:rsid w:val="00155B2B"/>
    <w:rsid w:val="00157957"/>
    <w:rsid w:val="00157BA2"/>
    <w:rsid w:val="00160087"/>
    <w:rsid w:val="0016053C"/>
    <w:rsid w:val="00162455"/>
    <w:rsid w:val="00162DB8"/>
    <w:rsid w:val="001640F2"/>
    <w:rsid w:val="00164C86"/>
    <w:rsid w:val="00171E7E"/>
    <w:rsid w:val="00173EDA"/>
    <w:rsid w:val="00176C69"/>
    <w:rsid w:val="001812BA"/>
    <w:rsid w:val="001820E5"/>
    <w:rsid w:val="00183943"/>
    <w:rsid w:val="00183F1B"/>
    <w:rsid w:val="00185208"/>
    <w:rsid w:val="001877CE"/>
    <w:rsid w:val="0019085D"/>
    <w:rsid w:val="001919EA"/>
    <w:rsid w:val="00194518"/>
    <w:rsid w:val="001947AD"/>
    <w:rsid w:val="0019664A"/>
    <w:rsid w:val="0019727A"/>
    <w:rsid w:val="001A5C6A"/>
    <w:rsid w:val="001A6B41"/>
    <w:rsid w:val="001A7098"/>
    <w:rsid w:val="001A7DAF"/>
    <w:rsid w:val="001B0B30"/>
    <w:rsid w:val="001B10AC"/>
    <w:rsid w:val="001B42F1"/>
    <w:rsid w:val="001B4CCB"/>
    <w:rsid w:val="001B5754"/>
    <w:rsid w:val="001B6D30"/>
    <w:rsid w:val="001C2DE3"/>
    <w:rsid w:val="001C39AC"/>
    <w:rsid w:val="001C40F8"/>
    <w:rsid w:val="001C6D08"/>
    <w:rsid w:val="001D0C75"/>
    <w:rsid w:val="001D24A5"/>
    <w:rsid w:val="001D41B9"/>
    <w:rsid w:val="001D4C4F"/>
    <w:rsid w:val="001D6E55"/>
    <w:rsid w:val="001E3046"/>
    <w:rsid w:val="001E3CCC"/>
    <w:rsid w:val="001E6A87"/>
    <w:rsid w:val="001E7BB6"/>
    <w:rsid w:val="001F02B0"/>
    <w:rsid w:val="001F1F18"/>
    <w:rsid w:val="001F2061"/>
    <w:rsid w:val="001F5868"/>
    <w:rsid w:val="001F720B"/>
    <w:rsid w:val="002003F0"/>
    <w:rsid w:val="00201EE6"/>
    <w:rsid w:val="00204557"/>
    <w:rsid w:val="0020792C"/>
    <w:rsid w:val="00211A65"/>
    <w:rsid w:val="002163FA"/>
    <w:rsid w:val="0021690D"/>
    <w:rsid w:val="00217465"/>
    <w:rsid w:val="0022473B"/>
    <w:rsid w:val="00224971"/>
    <w:rsid w:val="00224D22"/>
    <w:rsid w:val="00225398"/>
    <w:rsid w:val="00226A9A"/>
    <w:rsid w:val="002304F8"/>
    <w:rsid w:val="002320D4"/>
    <w:rsid w:val="002327A6"/>
    <w:rsid w:val="0023590C"/>
    <w:rsid w:val="002366DA"/>
    <w:rsid w:val="0024030B"/>
    <w:rsid w:val="00240A6B"/>
    <w:rsid w:val="002413B9"/>
    <w:rsid w:val="0024442A"/>
    <w:rsid w:val="00244454"/>
    <w:rsid w:val="00244685"/>
    <w:rsid w:val="002454EC"/>
    <w:rsid w:val="00246CBC"/>
    <w:rsid w:val="00253E35"/>
    <w:rsid w:val="00254C1A"/>
    <w:rsid w:val="002558CB"/>
    <w:rsid w:val="0026169B"/>
    <w:rsid w:val="00262A48"/>
    <w:rsid w:val="00262B6D"/>
    <w:rsid w:val="002638B2"/>
    <w:rsid w:val="00264F0A"/>
    <w:rsid w:val="00266BFC"/>
    <w:rsid w:val="00267E00"/>
    <w:rsid w:val="00270B6A"/>
    <w:rsid w:val="0027145D"/>
    <w:rsid w:val="00274AB8"/>
    <w:rsid w:val="00274F57"/>
    <w:rsid w:val="002763E8"/>
    <w:rsid w:val="00276559"/>
    <w:rsid w:val="00280D9A"/>
    <w:rsid w:val="00280F48"/>
    <w:rsid w:val="00281D8A"/>
    <w:rsid w:val="00284594"/>
    <w:rsid w:val="00286057"/>
    <w:rsid w:val="0028726C"/>
    <w:rsid w:val="002907AE"/>
    <w:rsid w:val="002921FD"/>
    <w:rsid w:val="00292906"/>
    <w:rsid w:val="00292992"/>
    <w:rsid w:val="002A4C5C"/>
    <w:rsid w:val="002A57D2"/>
    <w:rsid w:val="002B5155"/>
    <w:rsid w:val="002B5362"/>
    <w:rsid w:val="002B57E9"/>
    <w:rsid w:val="002B675F"/>
    <w:rsid w:val="002C08FE"/>
    <w:rsid w:val="002C0DCE"/>
    <w:rsid w:val="002C2B47"/>
    <w:rsid w:val="002C2C59"/>
    <w:rsid w:val="002C5C00"/>
    <w:rsid w:val="002C611D"/>
    <w:rsid w:val="002C76C0"/>
    <w:rsid w:val="002D1D2E"/>
    <w:rsid w:val="002D25FD"/>
    <w:rsid w:val="002D506D"/>
    <w:rsid w:val="002D50A0"/>
    <w:rsid w:val="002D5CB5"/>
    <w:rsid w:val="002D610D"/>
    <w:rsid w:val="002D7232"/>
    <w:rsid w:val="002E0ED1"/>
    <w:rsid w:val="002E1EE1"/>
    <w:rsid w:val="002E28F9"/>
    <w:rsid w:val="002E2A25"/>
    <w:rsid w:val="002E2E8A"/>
    <w:rsid w:val="002E4A60"/>
    <w:rsid w:val="002F0ADD"/>
    <w:rsid w:val="002F0AF9"/>
    <w:rsid w:val="002F0E63"/>
    <w:rsid w:val="002F1198"/>
    <w:rsid w:val="002F1692"/>
    <w:rsid w:val="002F1B1E"/>
    <w:rsid w:val="002F5CF1"/>
    <w:rsid w:val="002F6CE3"/>
    <w:rsid w:val="0030141C"/>
    <w:rsid w:val="00303C40"/>
    <w:rsid w:val="00304BD1"/>
    <w:rsid w:val="00305B0B"/>
    <w:rsid w:val="00305F8C"/>
    <w:rsid w:val="00306229"/>
    <w:rsid w:val="003066F8"/>
    <w:rsid w:val="00306770"/>
    <w:rsid w:val="003068AE"/>
    <w:rsid w:val="00311ACB"/>
    <w:rsid w:val="003136BB"/>
    <w:rsid w:val="0031602E"/>
    <w:rsid w:val="003172F7"/>
    <w:rsid w:val="003176F2"/>
    <w:rsid w:val="00317B8C"/>
    <w:rsid w:val="00323514"/>
    <w:rsid w:val="00323A49"/>
    <w:rsid w:val="00324C23"/>
    <w:rsid w:val="00325C5E"/>
    <w:rsid w:val="0032750B"/>
    <w:rsid w:val="00331685"/>
    <w:rsid w:val="00333B46"/>
    <w:rsid w:val="00335B40"/>
    <w:rsid w:val="00335C1E"/>
    <w:rsid w:val="00336324"/>
    <w:rsid w:val="00340AEC"/>
    <w:rsid w:val="00340E09"/>
    <w:rsid w:val="00346EB5"/>
    <w:rsid w:val="003524ED"/>
    <w:rsid w:val="00352F34"/>
    <w:rsid w:val="00353BBE"/>
    <w:rsid w:val="0035422D"/>
    <w:rsid w:val="003566A0"/>
    <w:rsid w:val="00357A33"/>
    <w:rsid w:val="00360182"/>
    <w:rsid w:val="00361ABA"/>
    <w:rsid w:val="00362923"/>
    <w:rsid w:val="003656F1"/>
    <w:rsid w:val="00365823"/>
    <w:rsid w:val="0036698D"/>
    <w:rsid w:val="0037194E"/>
    <w:rsid w:val="00372391"/>
    <w:rsid w:val="00372E98"/>
    <w:rsid w:val="00375F69"/>
    <w:rsid w:val="0038191B"/>
    <w:rsid w:val="00382531"/>
    <w:rsid w:val="00382B9E"/>
    <w:rsid w:val="00383016"/>
    <w:rsid w:val="00384EBC"/>
    <w:rsid w:val="0038723B"/>
    <w:rsid w:val="00387C2F"/>
    <w:rsid w:val="00391CAF"/>
    <w:rsid w:val="003922E4"/>
    <w:rsid w:val="00392E33"/>
    <w:rsid w:val="00392F5E"/>
    <w:rsid w:val="003936F2"/>
    <w:rsid w:val="00395A83"/>
    <w:rsid w:val="00395CD6"/>
    <w:rsid w:val="00396A85"/>
    <w:rsid w:val="003A234C"/>
    <w:rsid w:val="003A3DE0"/>
    <w:rsid w:val="003A3F8A"/>
    <w:rsid w:val="003A40E9"/>
    <w:rsid w:val="003A4259"/>
    <w:rsid w:val="003B0C1D"/>
    <w:rsid w:val="003B20F1"/>
    <w:rsid w:val="003B272C"/>
    <w:rsid w:val="003B3DC0"/>
    <w:rsid w:val="003B3F0C"/>
    <w:rsid w:val="003B4B67"/>
    <w:rsid w:val="003B5D54"/>
    <w:rsid w:val="003B602D"/>
    <w:rsid w:val="003B66EF"/>
    <w:rsid w:val="003B7AF9"/>
    <w:rsid w:val="003C0575"/>
    <w:rsid w:val="003C0CCD"/>
    <w:rsid w:val="003C1573"/>
    <w:rsid w:val="003C1CE6"/>
    <w:rsid w:val="003C1F87"/>
    <w:rsid w:val="003C2F0B"/>
    <w:rsid w:val="003C3CF9"/>
    <w:rsid w:val="003C6700"/>
    <w:rsid w:val="003C74D0"/>
    <w:rsid w:val="003D70CE"/>
    <w:rsid w:val="003E4DE4"/>
    <w:rsid w:val="003F3155"/>
    <w:rsid w:val="003F586B"/>
    <w:rsid w:val="003F79E8"/>
    <w:rsid w:val="00400C5E"/>
    <w:rsid w:val="0040154A"/>
    <w:rsid w:val="00401C72"/>
    <w:rsid w:val="00403519"/>
    <w:rsid w:val="00403F9C"/>
    <w:rsid w:val="0040418A"/>
    <w:rsid w:val="00404E41"/>
    <w:rsid w:val="004061E5"/>
    <w:rsid w:val="00406A0A"/>
    <w:rsid w:val="00406CFB"/>
    <w:rsid w:val="004076AA"/>
    <w:rsid w:val="00411891"/>
    <w:rsid w:val="004118B8"/>
    <w:rsid w:val="004133F1"/>
    <w:rsid w:val="00413F10"/>
    <w:rsid w:val="00414540"/>
    <w:rsid w:val="004158BB"/>
    <w:rsid w:val="0042203C"/>
    <w:rsid w:val="00423C6D"/>
    <w:rsid w:val="00424486"/>
    <w:rsid w:val="00426BBA"/>
    <w:rsid w:val="004273C8"/>
    <w:rsid w:val="00427D02"/>
    <w:rsid w:val="00427DFC"/>
    <w:rsid w:val="00427EFD"/>
    <w:rsid w:val="0043676E"/>
    <w:rsid w:val="00437AB8"/>
    <w:rsid w:val="00441572"/>
    <w:rsid w:val="00442188"/>
    <w:rsid w:val="004425D8"/>
    <w:rsid w:val="004441F6"/>
    <w:rsid w:val="0044676A"/>
    <w:rsid w:val="00446A5A"/>
    <w:rsid w:val="0044796B"/>
    <w:rsid w:val="00450F18"/>
    <w:rsid w:val="00451552"/>
    <w:rsid w:val="00451647"/>
    <w:rsid w:val="00451FAB"/>
    <w:rsid w:val="00454E8B"/>
    <w:rsid w:val="00455A38"/>
    <w:rsid w:val="00456873"/>
    <w:rsid w:val="0046040B"/>
    <w:rsid w:val="00462968"/>
    <w:rsid w:val="00470866"/>
    <w:rsid w:val="00472645"/>
    <w:rsid w:val="0047657A"/>
    <w:rsid w:val="00477292"/>
    <w:rsid w:val="00477CAD"/>
    <w:rsid w:val="00482936"/>
    <w:rsid w:val="004834AC"/>
    <w:rsid w:val="00483784"/>
    <w:rsid w:val="00485460"/>
    <w:rsid w:val="00485565"/>
    <w:rsid w:val="00486621"/>
    <w:rsid w:val="004875E5"/>
    <w:rsid w:val="00487895"/>
    <w:rsid w:val="00490DD7"/>
    <w:rsid w:val="004913CD"/>
    <w:rsid w:val="00491D6F"/>
    <w:rsid w:val="00495506"/>
    <w:rsid w:val="00495D8D"/>
    <w:rsid w:val="004965B1"/>
    <w:rsid w:val="00496D25"/>
    <w:rsid w:val="004A5B0E"/>
    <w:rsid w:val="004A5DE3"/>
    <w:rsid w:val="004A608C"/>
    <w:rsid w:val="004B3CDB"/>
    <w:rsid w:val="004B3DB2"/>
    <w:rsid w:val="004B3E12"/>
    <w:rsid w:val="004B698E"/>
    <w:rsid w:val="004B77C8"/>
    <w:rsid w:val="004C18BE"/>
    <w:rsid w:val="004C6C77"/>
    <w:rsid w:val="004C750A"/>
    <w:rsid w:val="004C7CE6"/>
    <w:rsid w:val="004D07C5"/>
    <w:rsid w:val="004D28FE"/>
    <w:rsid w:val="004D5C61"/>
    <w:rsid w:val="004D5F3B"/>
    <w:rsid w:val="004D6110"/>
    <w:rsid w:val="004D6518"/>
    <w:rsid w:val="004E0095"/>
    <w:rsid w:val="004E0A1D"/>
    <w:rsid w:val="004E4049"/>
    <w:rsid w:val="004E435E"/>
    <w:rsid w:val="004F02CB"/>
    <w:rsid w:val="004F0675"/>
    <w:rsid w:val="004F0918"/>
    <w:rsid w:val="004F09ED"/>
    <w:rsid w:val="004F0E64"/>
    <w:rsid w:val="004F12E1"/>
    <w:rsid w:val="004F1C61"/>
    <w:rsid w:val="004F20D1"/>
    <w:rsid w:val="004F42DE"/>
    <w:rsid w:val="004F60C6"/>
    <w:rsid w:val="004F7118"/>
    <w:rsid w:val="005003A3"/>
    <w:rsid w:val="005015C5"/>
    <w:rsid w:val="005019EB"/>
    <w:rsid w:val="005055A9"/>
    <w:rsid w:val="00505BA6"/>
    <w:rsid w:val="00506E6F"/>
    <w:rsid w:val="0051257F"/>
    <w:rsid w:val="00512F24"/>
    <w:rsid w:val="005131DD"/>
    <w:rsid w:val="00513E82"/>
    <w:rsid w:val="00515FD3"/>
    <w:rsid w:val="0052598F"/>
    <w:rsid w:val="005260A7"/>
    <w:rsid w:val="00526C2F"/>
    <w:rsid w:val="00527D6C"/>
    <w:rsid w:val="00531D6F"/>
    <w:rsid w:val="00533945"/>
    <w:rsid w:val="005358C4"/>
    <w:rsid w:val="0054329E"/>
    <w:rsid w:val="00543B0B"/>
    <w:rsid w:val="005460CF"/>
    <w:rsid w:val="005469BB"/>
    <w:rsid w:val="00547D32"/>
    <w:rsid w:val="005505D4"/>
    <w:rsid w:val="005506FA"/>
    <w:rsid w:val="0055081B"/>
    <w:rsid w:val="0055107F"/>
    <w:rsid w:val="0055266D"/>
    <w:rsid w:val="00552D49"/>
    <w:rsid w:val="00553A10"/>
    <w:rsid w:val="00554700"/>
    <w:rsid w:val="00554ACD"/>
    <w:rsid w:val="00557054"/>
    <w:rsid w:val="00557306"/>
    <w:rsid w:val="005631C8"/>
    <w:rsid w:val="005671E6"/>
    <w:rsid w:val="00570032"/>
    <w:rsid w:val="00570092"/>
    <w:rsid w:val="00570621"/>
    <w:rsid w:val="00571B99"/>
    <w:rsid w:val="00576ED2"/>
    <w:rsid w:val="00577855"/>
    <w:rsid w:val="00581479"/>
    <w:rsid w:val="0058181E"/>
    <w:rsid w:val="00581BF0"/>
    <w:rsid w:val="00582660"/>
    <w:rsid w:val="005839EC"/>
    <w:rsid w:val="0058474B"/>
    <w:rsid w:val="00584AA6"/>
    <w:rsid w:val="0058547D"/>
    <w:rsid w:val="00585786"/>
    <w:rsid w:val="0058672E"/>
    <w:rsid w:val="00590249"/>
    <w:rsid w:val="00593DC0"/>
    <w:rsid w:val="005965CE"/>
    <w:rsid w:val="00596A51"/>
    <w:rsid w:val="005A0E5D"/>
    <w:rsid w:val="005A4A31"/>
    <w:rsid w:val="005A6026"/>
    <w:rsid w:val="005A6422"/>
    <w:rsid w:val="005A7386"/>
    <w:rsid w:val="005A79CD"/>
    <w:rsid w:val="005B020A"/>
    <w:rsid w:val="005B2C7C"/>
    <w:rsid w:val="005B3314"/>
    <w:rsid w:val="005B428D"/>
    <w:rsid w:val="005B4440"/>
    <w:rsid w:val="005B4C21"/>
    <w:rsid w:val="005B5A96"/>
    <w:rsid w:val="005B65A8"/>
    <w:rsid w:val="005C1652"/>
    <w:rsid w:val="005C1E0D"/>
    <w:rsid w:val="005C2538"/>
    <w:rsid w:val="005C32DA"/>
    <w:rsid w:val="005C3D0D"/>
    <w:rsid w:val="005C45C9"/>
    <w:rsid w:val="005C5788"/>
    <w:rsid w:val="005C6EC4"/>
    <w:rsid w:val="005C719C"/>
    <w:rsid w:val="005D052E"/>
    <w:rsid w:val="005D0984"/>
    <w:rsid w:val="005D37F7"/>
    <w:rsid w:val="005D4798"/>
    <w:rsid w:val="005D4E4C"/>
    <w:rsid w:val="005D54BF"/>
    <w:rsid w:val="005D6B0A"/>
    <w:rsid w:val="005E1962"/>
    <w:rsid w:val="005E36B3"/>
    <w:rsid w:val="005E4E79"/>
    <w:rsid w:val="005E669D"/>
    <w:rsid w:val="005F359F"/>
    <w:rsid w:val="00601739"/>
    <w:rsid w:val="00602B3F"/>
    <w:rsid w:val="0060506F"/>
    <w:rsid w:val="006052C9"/>
    <w:rsid w:val="006060E4"/>
    <w:rsid w:val="0060619D"/>
    <w:rsid w:val="00606F4D"/>
    <w:rsid w:val="00607D89"/>
    <w:rsid w:val="0061253F"/>
    <w:rsid w:val="006149C0"/>
    <w:rsid w:val="00616AD8"/>
    <w:rsid w:val="006170BC"/>
    <w:rsid w:val="00617FBF"/>
    <w:rsid w:val="006200C3"/>
    <w:rsid w:val="006213DD"/>
    <w:rsid w:val="00622356"/>
    <w:rsid w:val="00625A4D"/>
    <w:rsid w:val="00625A59"/>
    <w:rsid w:val="006276FE"/>
    <w:rsid w:val="006277C6"/>
    <w:rsid w:val="00627F03"/>
    <w:rsid w:val="00631674"/>
    <w:rsid w:val="006328C9"/>
    <w:rsid w:val="00636075"/>
    <w:rsid w:val="00640A46"/>
    <w:rsid w:val="00641F35"/>
    <w:rsid w:val="00644308"/>
    <w:rsid w:val="0064699A"/>
    <w:rsid w:val="00650EE4"/>
    <w:rsid w:val="00651B28"/>
    <w:rsid w:val="00652543"/>
    <w:rsid w:val="006544E9"/>
    <w:rsid w:val="00656642"/>
    <w:rsid w:val="00657521"/>
    <w:rsid w:val="006634B5"/>
    <w:rsid w:val="00664984"/>
    <w:rsid w:val="00665D5E"/>
    <w:rsid w:val="00665E9F"/>
    <w:rsid w:val="00666601"/>
    <w:rsid w:val="006672DA"/>
    <w:rsid w:val="006676D5"/>
    <w:rsid w:val="00672727"/>
    <w:rsid w:val="006739DA"/>
    <w:rsid w:val="00675781"/>
    <w:rsid w:val="0068019A"/>
    <w:rsid w:val="0068066E"/>
    <w:rsid w:val="0068090C"/>
    <w:rsid w:val="006814DF"/>
    <w:rsid w:val="00681E39"/>
    <w:rsid w:val="00683B28"/>
    <w:rsid w:val="00683B45"/>
    <w:rsid w:val="006843D8"/>
    <w:rsid w:val="00684A47"/>
    <w:rsid w:val="00685716"/>
    <w:rsid w:val="00685E20"/>
    <w:rsid w:val="00686B0B"/>
    <w:rsid w:val="00687A01"/>
    <w:rsid w:val="00687F3D"/>
    <w:rsid w:val="00690383"/>
    <w:rsid w:val="00690AA9"/>
    <w:rsid w:val="00691963"/>
    <w:rsid w:val="006919CC"/>
    <w:rsid w:val="006942BD"/>
    <w:rsid w:val="006947D2"/>
    <w:rsid w:val="00697029"/>
    <w:rsid w:val="00697F5C"/>
    <w:rsid w:val="00697FEA"/>
    <w:rsid w:val="006A1726"/>
    <w:rsid w:val="006A18D6"/>
    <w:rsid w:val="006A367E"/>
    <w:rsid w:val="006A78CB"/>
    <w:rsid w:val="006B0D59"/>
    <w:rsid w:val="006B1CFC"/>
    <w:rsid w:val="006B2D11"/>
    <w:rsid w:val="006B2E73"/>
    <w:rsid w:val="006B6015"/>
    <w:rsid w:val="006B6C62"/>
    <w:rsid w:val="006C188A"/>
    <w:rsid w:val="006C1E63"/>
    <w:rsid w:val="006C252D"/>
    <w:rsid w:val="006C3005"/>
    <w:rsid w:val="006C422C"/>
    <w:rsid w:val="006C4377"/>
    <w:rsid w:val="006C4651"/>
    <w:rsid w:val="006C4E13"/>
    <w:rsid w:val="006C604F"/>
    <w:rsid w:val="006C7947"/>
    <w:rsid w:val="006D3B98"/>
    <w:rsid w:val="006D490C"/>
    <w:rsid w:val="006D5413"/>
    <w:rsid w:val="006D575C"/>
    <w:rsid w:val="006E23BE"/>
    <w:rsid w:val="006E3230"/>
    <w:rsid w:val="006E5A87"/>
    <w:rsid w:val="006E6CCD"/>
    <w:rsid w:val="006E6D6E"/>
    <w:rsid w:val="006E70C7"/>
    <w:rsid w:val="006F10B0"/>
    <w:rsid w:val="006F311A"/>
    <w:rsid w:val="006F31B7"/>
    <w:rsid w:val="006F438D"/>
    <w:rsid w:val="006F57D4"/>
    <w:rsid w:val="006F60D7"/>
    <w:rsid w:val="006F66D2"/>
    <w:rsid w:val="006F6745"/>
    <w:rsid w:val="006F6C1C"/>
    <w:rsid w:val="006F7E3F"/>
    <w:rsid w:val="007001E1"/>
    <w:rsid w:val="0070094E"/>
    <w:rsid w:val="0070118A"/>
    <w:rsid w:val="007023E0"/>
    <w:rsid w:val="007028AF"/>
    <w:rsid w:val="00704481"/>
    <w:rsid w:val="0070665B"/>
    <w:rsid w:val="0070734C"/>
    <w:rsid w:val="00710143"/>
    <w:rsid w:val="00712763"/>
    <w:rsid w:val="00712CC5"/>
    <w:rsid w:val="00714CCF"/>
    <w:rsid w:val="0071537B"/>
    <w:rsid w:val="007155A6"/>
    <w:rsid w:val="00717327"/>
    <w:rsid w:val="0072049B"/>
    <w:rsid w:val="007233EF"/>
    <w:rsid w:val="00726A18"/>
    <w:rsid w:val="00727CD7"/>
    <w:rsid w:val="00731D56"/>
    <w:rsid w:val="00732DB4"/>
    <w:rsid w:val="007359B5"/>
    <w:rsid w:val="0074335D"/>
    <w:rsid w:val="007447D8"/>
    <w:rsid w:val="0075205B"/>
    <w:rsid w:val="007542B9"/>
    <w:rsid w:val="00754A4E"/>
    <w:rsid w:val="00756C14"/>
    <w:rsid w:val="00762AB9"/>
    <w:rsid w:val="00763C75"/>
    <w:rsid w:val="00764FB4"/>
    <w:rsid w:val="007664F9"/>
    <w:rsid w:val="00766FA6"/>
    <w:rsid w:val="007716F0"/>
    <w:rsid w:val="007720C6"/>
    <w:rsid w:val="007737CF"/>
    <w:rsid w:val="00782887"/>
    <w:rsid w:val="00784641"/>
    <w:rsid w:val="00785FFE"/>
    <w:rsid w:val="00787605"/>
    <w:rsid w:val="007879DA"/>
    <w:rsid w:val="0079118D"/>
    <w:rsid w:val="00793CD7"/>
    <w:rsid w:val="00794B89"/>
    <w:rsid w:val="00794EAD"/>
    <w:rsid w:val="0079785B"/>
    <w:rsid w:val="007A18CC"/>
    <w:rsid w:val="007A6D5A"/>
    <w:rsid w:val="007B1425"/>
    <w:rsid w:val="007B1481"/>
    <w:rsid w:val="007B1603"/>
    <w:rsid w:val="007C0521"/>
    <w:rsid w:val="007C0C4E"/>
    <w:rsid w:val="007C46DB"/>
    <w:rsid w:val="007C4A2C"/>
    <w:rsid w:val="007C4F77"/>
    <w:rsid w:val="007C5DC1"/>
    <w:rsid w:val="007D0368"/>
    <w:rsid w:val="007D0E20"/>
    <w:rsid w:val="007D0F29"/>
    <w:rsid w:val="007D1204"/>
    <w:rsid w:val="007D5BE2"/>
    <w:rsid w:val="007D7539"/>
    <w:rsid w:val="007E158A"/>
    <w:rsid w:val="007E44F8"/>
    <w:rsid w:val="007E4853"/>
    <w:rsid w:val="007E5023"/>
    <w:rsid w:val="007E6134"/>
    <w:rsid w:val="007E6AA8"/>
    <w:rsid w:val="007E743E"/>
    <w:rsid w:val="007F0BCA"/>
    <w:rsid w:val="007F1961"/>
    <w:rsid w:val="007F275F"/>
    <w:rsid w:val="007F2EAD"/>
    <w:rsid w:val="007F45D3"/>
    <w:rsid w:val="007F482C"/>
    <w:rsid w:val="007F4D46"/>
    <w:rsid w:val="008003D6"/>
    <w:rsid w:val="008007A9"/>
    <w:rsid w:val="00806263"/>
    <w:rsid w:val="0080678B"/>
    <w:rsid w:val="008071B3"/>
    <w:rsid w:val="00813525"/>
    <w:rsid w:val="00814E7A"/>
    <w:rsid w:val="00820572"/>
    <w:rsid w:val="00820D5F"/>
    <w:rsid w:val="00821A43"/>
    <w:rsid w:val="008251F2"/>
    <w:rsid w:val="008274B3"/>
    <w:rsid w:val="00830F5C"/>
    <w:rsid w:val="0083105B"/>
    <w:rsid w:val="00833DBE"/>
    <w:rsid w:val="00835CCA"/>
    <w:rsid w:val="00835E31"/>
    <w:rsid w:val="00836012"/>
    <w:rsid w:val="00837F43"/>
    <w:rsid w:val="00842602"/>
    <w:rsid w:val="00842F97"/>
    <w:rsid w:val="00843547"/>
    <w:rsid w:val="00843FE5"/>
    <w:rsid w:val="00844138"/>
    <w:rsid w:val="008441B7"/>
    <w:rsid w:val="00851D64"/>
    <w:rsid w:val="00851DE4"/>
    <w:rsid w:val="00852D57"/>
    <w:rsid w:val="00853F35"/>
    <w:rsid w:val="00854D3A"/>
    <w:rsid w:val="00860751"/>
    <w:rsid w:val="00860DBB"/>
    <w:rsid w:val="00861042"/>
    <w:rsid w:val="00861A0D"/>
    <w:rsid w:val="00861CAF"/>
    <w:rsid w:val="00863C57"/>
    <w:rsid w:val="008707B1"/>
    <w:rsid w:val="008713BB"/>
    <w:rsid w:val="008718BE"/>
    <w:rsid w:val="00872FF4"/>
    <w:rsid w:val="008733BC"/>
    <w:rsid w:val="00876920"/>
    <w:rsid w:val="008775A7"/>
    <w:rsid w:val="0088036E"/>
    <w:rsid w:val="00880A30"/>
    <w:rsid w:val="00881368"/>
    <w:rsid w:val="0088149E"/>
    <w:rsid w:val="008828A4"/>
    <w:rsid w:val="0088435F"/>
    <w:rsid w:val="00884D6D"/>
    <w:rsid w:val="00886835"/>
    <w:rsid w:val="00887A2A"/>
    <w:rsid w:val="0089206D"/>
    <w:rsid w:val="008924AE"/>
    <w:rsid w:val="00893BC9"/>
    <w:rsid w:val="0089438B"/>
    <w:rsid w:val="0089485D"/>
    <w:rsid w:val="00896CBE"/>
    <w:rsid w:val="008A583C"/>
    <w:rsid w:val="008A6CB7"/>
    <w:rsid w:val="008A6F04"/>
    <w:rsid w:val="008A7F18"/>
    <w:rsid w:val="008B046B"/>
    <w:rsid w:val="008B0727"/>
    <w:rsid w:val="008B24ED"/>
    <w:rsid w:val="008B283A"/>
    <w:rsid w:val="008B362A"/>
    <w:rsid w:val="008B3C21"/>
    <w:rsid w:val="008B4895"/>
    <w:rsid w:val="008B4B8F"/>
    <w:rsid w:val="008B552B"/>
    <w:rsid w:val="008C3DEF"/>
    <w:rsid w:val="008C4713"/>
    <w:rsid w:val="008C5070"/>
    <w:rsid w:val="008C5DA0"/>
    <w:rsid w:val="008C6E03"/>
    <w:rsid w:val="008C7C06"/>
    <w:rsid w:val="008D061E"/>
    <w:rsid w:val="008D06D7"/>
    <w:rsid w:val="008D1838"/>
    <w:rsid w:val="008D1B38"/>
    <w:rsid w:val="008D22B8"/>
    <w:rsid w:val="008D263A"/>
    <w:rsid w:val="008D6AC4"/>
    <w:rsid w:val="008D72FE"/>
    <w:rsid w:val="008E0BD4"/>
    <w:rsid w:val="008E13C5"/>
    <w:rsid w:val="008E3649"/>
    <w:rsid w:val="008E7218"/>
    <w:rsid w:val="008F0E09"/>
    <w:rsid w:val="008F427D"/>
    <w:rsid w:val="00901684"/>
    <w:rsid w:val="009023F4"/>
    <w:rsid w:val="00903F96"/>
    <w:rsid w:val="0090533F"/>
    <w:rsid w:val="00905C66"/>
    <w:rsid w:val="00905CD3"/>
    <w:rsid w:val="00906F76"/>
    <w:rsid w:val="00910430"/>
    <w:rsid w:val="00911182"/>
    <w:rsid w:val="00911ACC"/>
    <w:rsid w:val="00911B96"/>
    <w:rsid w:val="00912487"/>
    <w:rsid w:val="00914714"/>
    <w:rsid w:val="009150CE"/>
    <w:rsid w:val="009155EB"/>
    <w:rsid w:val="00917E2A"/>
    <w:rsid w:val="00920191"/>
    <w:rsid w:val="00920231"/>
    <w:rsid w:val="00920E16"/>
    <w:rsid w:val="009210C7"/>
    <w:rsid w:val="009212B5"/>
    <w:rsid w:val="00926035"/>
    <w:rsid w:val="00933398"/>
    <w:rsid w:val="00934D9C"/>
    <w:rsid w:val="00935419"/>
    <w:rsid w:val="0094067B"/>
    <w:rsid w:val="0094269C"/>
    <w:rsid w:val="0094294A"/>
    <w:rsid w:val="0094312A"/>
    <w:rsid w:val="00947E9D"/>
    <w:rsid w:val="00952B94"/>
    <w:rsid w:val="00954B07"/>
    <w:rsid w:val="00955564"/>
    <w:rsid w:val="00955960"/>
    <w:rsid w:val="009577B0"/>
    <w:rsid w:val="009615B8"/>
    <w:rsid w:val="00962065"/>
    <w:rsid w:val="009647E3"/>
    <w:rsid w:val="00966802"/>
    <w:rsid w:val="00966F92"/>
    <w:rsid w:val="00970B2A"/>
    <w:rsid w:val="00974416"/>
    <w:rsid w:val="0097468E"/>
    <w:rsid w:val="00974CDA"/>
    <w:rsid w:val="00975511"/>
    <w:rsid w:val="0097580B"/>
    <w:rsid w:val="0097748E"/>
    <w:rsid w:val="00982212"/>
    <w:rsid w:val="00985C09"/>
    <w:rsid w:val="0099143C"/>
    <w:rsid w:val="009932D8"/>
    <w:rsid w:val="00993302"/>
    <w:rsid w:val="0099341B"/>
    <w:rsid w:val="00995D26"/>
    <w:rsid w:val="0099662B"/>
    <w:rsid w:val="009A0492"/>
    <w:rsid w:val="009A5DD9"/>
    <w:rsid w:val="009A6043"/>
    <w:rsid w:val="009A6E14"/>
    <w:rsid w:val="009A6F3E"/>
    <w:rsid w:val="009B0F8D"/>
    <w:rsid w:val="009B17F1"/>
    <w:rsid w:val="009B3DF9"/>
    <w:rsid w:val="009B4C2E"/>
    <w:rsid w:val="009B7624"/>
    <w:rsid w:val="009C115E"/>
    <w:rsid w:val="009C2762"/>
    <w:rsid w:val="009C28C1"/>
    <w:rsid w:val="009C2FBD"/>
    <w:rsid w:val="009C4202"/>
    <w:rsid w:val="009C450B"/>
    <w:rsid w:val="009C4BB0"/>
    <w:rsid w:val="009C53D5"/>
    <w:rsid w:val="009D0127"/>
    <w:rsid w:val="009D4D06"/>
    <w:rsid w:val="009D51F4"/>
    <w:rsid w:val="009D6949"/>
    <w:rsid w:val="009D6E3C"/>
    <w:rsid w:val="009D7025"/>
    <w:rsid w:val="009E06AE"/>
    <w:rsid w:val="009E3292"/>
    <w:rsid w:val="009E78B8"/>
    <w:rsid w:val="009F1BC1"/>
    <w:rsid w:val="009F24D0"/>
    <w:rsid w:val="009F5905"/>
    <w:rsid w:val="009F5F87"/>
    <w:rsid w:val="009F7AC7"/>
    <w:rsid w:val="00A011AE"/>
    <w:rsid w:val="00A0281B"/>
    <w:rsid w:val="00A03FD0"/>
    <w:rsid w:val="00A1067A"/>
    <w:rsid w:val="00A10CA8"/>
    <w:rsid w:val="00A1112B"/>
    <w:rsid w:val="00A111C0"/>
    <w:rsid w:val="00A1385D"/>
    <w:rsid w:val="00A14667"/>
    <w:rsid w:val="00A1712A"/>
    <w:rsid w:val="00A1779C"/>
    <w:rsid w:val="00A23624"/>
    <w:rsid w:val="00A253F5"/>
    <w:rsid w:val="00A25426"/>
    <w:rsid w:val="00A25AB8"/>
    <w:rsid w:val="00A25CD4"/>
    <w:rsid w:val="00A261CA"/>
    <w:rsid w:val="00A30F6C"/>
    <w:rsid w:val="00A331F4"/>
    <w:rsid w:val="00A3359C"/>
    <w:rsid w:val="00A34BD6"/>
    <w:rsid w:val="00A40612"/>
    <w:rsid w:val="00A429C6"/>
    <w:rsid w:val="00A438CB"/>
    <w:rsid w:val="00A45169"/>
    <w:rsid w:val="00A4619A"/>
    <w:rsid w:val="00A51789"/>
    <w:rsid w:val="00A51E46"/>
    <w:rsid w:val="00A52621"/>
    <w:rsid w:val="00A52DF7"/>
    <w:rsid w:val="00A53ECC"/>
    <w:rsid w:val="00A569C5"/>
    <w:rsid w:val="00A57A49"/>
    <w:rsid w:val="00A60A96"/>
    <w:rsid w:val="00A62173"/>
    <w:rsid w:val="00A627A4"/>
    <w:rsid w:val="00A62B7F"/>
    <w:rsid w:val="00A64914"/>
    <w:rsid w:val="00A70966"/>
    <w:rsid w:val="00A72033"/>
    <w:rsid w:val="00A734FF"/>
    <w:rsid w:val="00A75600"/>
    <w:rsid w:val="00A7783C"/>
    <w:rsid w:val="00A77A75"/>
    <w:rsid w:val="00A86F0A"/>
    <w:rsid w:val="00A920BF"/>
    <w:rsid w:val="00A93DE0"/>
    <w:rsid w:val="00AA26BF"/>
    <w:rsid w:val="00AA29B3"/>
    <w:rsid w:val="00AA3BE9"/>
    <w:rsid w:val="00AA76D7"/>
    <w:rsid w:val="00AB0103"/>
    <w:rsid w:val="00AB0106"/>
    <w:rsid w:val="00AB0C89"/>
    <w:rsid w:val="00AB1336"/>
    <w:rsid w:val="00AB1A3F"/>
    <w:rsid w:val="00AB2C74"/>
    <w:rsid w:val="00AB305B"/>
    <w:rsid w:val="00AB4752"/>
    <w:rsid w:val="00AB5500"/>
    <w:rsid w:val="00AB573E"/>
    <w:rsid w:val="00AB6A33"/>
    <w:rsid w:val="00AC0D8D"/>
    <w:rsid w:val="00AC1E26"/>
    <w:rsid w:val="00AC353A"/>
    <w:rsid w:val="00AC5A16"/>
    <w:rsid w:val="00AC7C56"/>
    <w:rsid w:val="00AD2422"/>
    <w:rsid w:val="00AD3AA7"/>
    <w:rsid w:val="00AD3AF9"/>
    <w:rsid w:val="00AD5CDF"/>
    <w:rsid w:val="00AD7E91"/>
    <w:rsid w:val="00AE1A07"/>
    <w:rsid w:val="00AE2167"/>
    <w:rsid w:val="00AE2DDF"/>
    <w:rsid w:val="00AE3467"/>
    <w:rsid w:val="00AF0E03"/>
    <w:rsid w:val="00AF520C"/>
    <w:rsid w:val="00B000A4"/>
    <w:rsid w:val="00B00B22"/>
    <w:rsid w:val="00B03573"/>
    <w:rsid w:val="00B03718"/>
    <w:rsid w:val="00B06B11"/>
    <w:rsid w:val="00B06D78"/>
    <w:rsid w:val="00B06EEC"/>
    <w:rsid w:val="00B0795B"/>
    <w:rsid w:val="00B10534"/>
    <w:rsid w:val="00B10C29"/>
    <w:rsid w:val="00B113A3"/>
    <w:rsid w:val="00B13A9D"/>
    <w:rsid w:val="00B13CDE"/>
    <w:rsid w:val="00B1506C"/>
    <w:rsid w:val="00B15303"/>
    <w:rsid w:val="00B15646"/>
    <w:rsid w:val="00B15E26"/>
    <w:rsid w:val="00B164CC"/>
    <w:rsid w:val="00B17015"/>
    <w:rsid w:val="00B17050"/>
    <w:rsid w:val="00B1784F"/>
    <w:rsid w:val="00B17D2D"/>
    <w:rsid w:val="00B20327"/>
    <w:rsid w:val="00B2205E"/>
    <w:rsid w:val="00B221FB"/>
    <w:rsid w:val="00B2466F"/>
    <w:rsid w:val="00B25D7F"/>
    <w:rsid w:val="00B26DE6"/>
    <w:rsid w:val="00B306C8"/>
    <w:rsid w:val="00B31752"/>
    <w:rsid w:val="00B32698"/>
    <w:rsid w:val="00B346A8"/>
    <w:rsid w:val="00B37E99"/>
    <w:rsid w:val="00B411C6"/>
    <w:rsid w:val="00B41593"/>
    <w:rsid w:val="00B42447"/>
    <w:rsid w:val="00B424DC"/>
    <w:rsid w:val="00B42896"/>
    <w:rsid w:val="00B43C92"/>
    <w:rsid w:val="00B45D75"/>
    <w:rsid w:val="00B475C5"/>
    <w:rsid w:val="00B47D24"/>
    <w:rsid w:val="00B503C7"/>
    <w:rsid w:val="00B5060D"/>
    <w:rsid w:val="00B53710"/>
    <w:rsid w:val="00B5430C"/>
    <w:rsid w:val="00B555E5"/>
    <w:rsid w:val="00B62000"/>
    <w:rsid w:val="00B658AD"/>
    <w:rsid w:val="00B70AEE"/>
    <w:rsid w:val="00B72E4C"/>
    <w:rsid w:val="00B74BD8"/>
    <w:rsid w:val="00B77B78"/>
    <w:rsid w:val="00B8009B"/>
    <w:rsid w:val="00B811D9"/>
    <w:rsid w:val="00B81E2B"/>
    <w:rsid w:val="00B86AB3"/>
    <w:rsid w:val="00B8709E"/>
    <w:rsid w:val="00B9015A"/>
    <w:rsid w:val="00B90AC4"/>
    <w:rsid w:val="00B950C4"/>
    <w:rsid w:val="00B966F7"/>
    <w:rsid w:val="00B96855"/>
    <w:rsid w:val="00B97C41"/>
    <w:rsid w:val="00BA0A94"/>
    <w:rsid w:val="00BA1509"/>
    <w:rsid w:val="00BA2CEB"/>
    <w:rsid w:val="00BA3862"/>
    <w:rsid w:val="00BA677B"/>
    <w:rsid w:val="00BA6B76"/>
    <w:rsid w:val="00BA74A5"/>
    <w:rsid w:val="00BB1632"/>
    <w:rsid w:val="00BB4511"/>
    <w:rsid w:val="00BB7EFD"/>
    <w:rsid w:val="00BC02AD"/>
    <w:rsid w:val="00BC1B8C"/>
    <w:rsid w:val="00BC3E13"/>
    <w:rsid w:val="00BC4890"/>
    <w:rsid w:val="00BD0751"/>
    <w:rsid w:val="00BD122E"/>
    <w:rsid w:val="00BD5DC8"/>
    <w:rsid w:val="00BD7578"/>
    <w:rsid w:val="00BE10D7"/>
    <w:rsid w:val="00BE2ACC"/>
    <w:rsid w:val="00BE406C"/>
    <w:rsid w:val="00BE407E"/>
    <w:rsid w:val="00BE4699"/>
    <w:rsid w:val="00BE5721"/>
    <w:rsid w:val="00BE5E2D"/>
    <w:rsid w:val="00BE75C8"/>
    <w:rsid w:val="00BF01F8"/>
    <w:rsid w:val="00BF0A63"/>
    <w:rsid w:val="00BF2157"/>
    <w:rsid w:val="00BF22BC"/>
    <w:rsid w:val="00BF5370"/>
    <w:rsid w:val="00BF68EA"/>
    <w:rsid w:val="00C02BA3"/>
    <w:rsid w:val="00C06E0A"/>
    <w:rsid w:val="00C107C3"/>
    <w:rsid w:val="00C114D6"/>
    <w:rsid w:val="00C11AC1"/>
    <w:rsid w:val="00C11EE0"/>
    <w:rsid w:val="00C12D1B"/>
    <w:rsid w:val="00C142F7"/>
    <w:rsid w:val="00C1494C"/>
    <w:rsid w:val="00C166D6"/>
    <w:rsid w:val="00C167D9"/>
    <w:rsid w:val="00C16EA3"/>
    <w:rsid w:val="00C207BD"/>
    <w:rsid w:val="00C20E42"/>
    <w:rsid w:val="00C21E94"/>
    <w:rsid w:val="00C21EEF"/>
    <w:rsid w:val="00C22DD5"/>
    <w:rsid w:val="00C23581"/>
    <w:rsid w:val="00C23E73"/>
    <w:rsid w:val="00C241F7"/>
    <w:rsid w:val="00C247BD"/>
    <w:rsid w:val="00C25036"/>
    <w:rsid w:val="00C2789A"/>
    <w:rsid w:val="00C30288"/>
    <w:rsid w:val="00C3164D"/>
    <w:rsid w:val="00C32BBB"/>
    <w:rsid w:val="00C32F7F"/>
    <w:rsid w:val="00C34418"/>
    <w:rsid w:val="00C35312"/>
    <w:rsid w:val="00C40C6A"/>
    <w:rsid w:val="00C43BF0"/>
    <w:rsid w:val="00C441C1"/>
    <w:rsid w:val="00C446F3"/>
    <w:rsid w:val="00C45097"/>
    <w:rsid w:val="00C52C9A"/>
    <w:rsid w:val="00C52D76"/>
    <w:rsid w:val="00C56552"/>
    <w:rsid w:val="00C56BBB"/>
    <w:rsid w:val="00C57C38"/>
    <w:rsid w:val="00C57CBA"/>
    <w:rsid w:val="00C602A7"/>
    <w:rsid w:val="00C6150E"/>
    <w:rsid w:val="00C62A04"/>
    <w:rsid w:val="00C62A41"/>
    <w:rsid w:val="00C6719D"/>
    <w:rsid w:val="00C678F1"/>
    <w:rsid w:val="00C73A09"/>
    <w:rsid w:val="00C76CD6"/>
    <w:rsid w:val="00C778E2"/>
    <w:rsid w:val="00C814E3"/>
    <w:rsid w:val="00C847FA"/>
    <w:rsid w:val="00C904AD"/>
    <w:rsid w:val="00C94054"/>
    <w:rsid w:val="00C940B9"/>
    <w:rsid w:val="00C95402"/>
    <w:rsid w:val="00C95567"/>
    <w:rsid w:val="00CA195A"/>
    <w:rsid w:val="00CA1D9E"/>
    <w:rsid w:val="00CA1E66"/>
    <w:rsid w:val="00CA5340"/>
    <w:rsid w:val="00CB4575"/>
    <w:rsid w:val="00CB5149"/>
    <w:rsid w:val="00CB54B3"/>
    <w:rsid w:val="00CB6771"/>
    <w:rsid w:val="00CB745A"/>
    <w:rsid w:val="00CC03E8"/>
    <w:rsid w:val="00CC069A"/>
    <w:rsid w:val="00CC60C6"/>
    <w:rsid w:val="00CC709F"/>
    <w:rsid w:val="00CC78FF"/>
    <w:rsid w:val="00CD1B52"/>
    <w:rsid w:val="00CD27F2"/>
    <w:rsid w:val="00CD37F1"/>
    <w:rsid w:val="00CD3CD1"/>
    <w:rsid w:val="00CD4E4C"/>
    <w:rsid w:val="00CD552B"/>
    <w:rsid w:val="00CD60A6"/>
    <w:rsid w:val="00CE0E01"/>
    <w:rsid w:val="00CE14CB"/>
    <w:rsid w:val="00CE280D"/>
    <w:rsid w:val="00CE6110"/>
    <w:rsid w:val="00CF0543"/>
    <w:rsid w:val="00CF288B"/>
    <w:rsid w:val="00CF29FC"/>
    <w:rsid w:val="00CF2EB8"/>
    <w:rsid w:val="00CF3674"/>
    <w:rsid w:val="00CF3AF9"/>
    <w:rsid w:val="00CF49BA"/>
    <w:rsid w:val="00CF5A36"/>
    <w:rsid w:val="00CF5C7C"/>
    <w:rsid w:val="00CF5DAB"/>
    <w:rsid w:val="00CF7960"/>
    <w:rsid w:val="00D02463"/>
    <w:rsid w:val="00D04791"/>
    <w:rsid w:val="00D0580F"/>
    <w:rsid w:val="00D06280"/>
    <w:rsid w:val="00D07485"/>
    <w:rsid w:val="00D12AEE"/>
    <w:rsid w:val="00D13557"/>
    <w:rsid w:val="00D16D57"/>
    <w:rsid w:val="00D2495D"/>
    <w:rsid w:val="00D24F5C"/>
    <w:rsid w:val="00D264F4"/>
    <w:rsid w:val="00D26A41"/>
    <w:rsid w:val="00D26E54"/>
    <w:rsid w:val="00D27DF4"/>
    <w:rsid w:val="00D31C0C"/>
    <w:rsid w:val="00D35218"/>
    <w:rsid w:val="00D357A8"/>
    <w:rsid w:val="00D427CB"/>
    <w:rsid w:val="00D470B2"/>
    <w:rsid w:val="00D504ED"/>
    <w:rsid w:val="00D53604"/>
    <w:rsid w:val="00D57388"/>
    <w:rsid w:val="00D574BC"/>
    <w:rsid w:val="00D577AE"/>
    <w:rsid w:val="00D57A92"/>
    <w:rsid w:val="00D57ACA"/>
    <w:rsid w:val="00D60177"/>
    <w:rsid w:val="00D62FF9"/>
    <w:rsid w:val="00D632D3"/>
    <w:rsid w:val="00D63403"/>
    <w:rsid w:val="00D6485D"/>
    <w:rsid w:val="00D73143"/>
    <w:rsid w:val="00D74BA7"/>
    <w:rsid w:val="00D74DD1"/>
    <w:rsid w:val="00D77B01"/>
    <w:rsid w:val="00D77CD2"/>
    <w:rsid w:val="00D82F55"/>
    <w:rsid w:val="00D8351E"/>
    <w:rsid w:val="00D84A2C"/>
    <w:rsid w:val="00D84F6D"/>
    <w:rsid w:val="00D85299"/>
    <w:rsid w:val="00D874B8"/>
    <w:rsid w:val="00D8796A"/>
    <w:rsid w:val="00D91434"/>
    <w:rsid w:val="00D91AFF"/>
    <w:rsid w:val="00D92782"/>
    <w:rsid w:val="00DA1578"/>
    <w:rsid w:val="00DA3803"/>
    <w:rsid w:val="00DA4307"/>
    <w:rsid w:val="00DA4C97"/>
    <w:rsid w:val="00DA5B33"/>
    <w:rsid w:val="00DB049A"/>
    <w:rsid w:val="00DB059A"/>
    <w:rsid w:val="00DB0CEA"/>
    <w:rsid w:val="00DB1292"/>
    <w:rsid w:val="00DB1DF3"/>
    <w:rsid w:val="00DB3A2E"/>
    <w:rsid w:val="00DB47D1"/>
    <w:rsid w:val="00DB53FD"/>
    <w:rsid w:val="00DB55A9"/>
    <w:rsid w:val="00DB6C62"/>
    <w:rsid w:val="00DB6F15"/>
    <w:rsid w:val="00DB70F2"/>
    <w:rsid w:val="00DC0B3F"/>
    <w:rsid w:val="00DC0D3B"/>
    <w:rsid w:val="00DC15C6"/>
    <w:rsid w:val="00DC1768"/>
    <w:rsid w:val="00DC206D"/>
    <w:rsid w:val="00DC31ED"/>
    <w:rsid w:val="00DC69DF"/>
    <w:rsid w:val="00DD08C2"/>
    <w:rsid w:val="00DD2E1B"/>
    <w:rsid w:val="00DD4765"/>
    <w:rsid w:val="00DD5FBA"/>
    <w:rsid w:val="00DD7713"/>
    <w:rsid w:val="00DE008E"/>
    <w:rsid w:val="00DE0C75"/>
    <w:rsid w:val="00DE0D5E"/>
    <w:rsid w:val="00DE122C"/>
    <w:rsid w:val="00DE2A7D"/>
    <w:rsid w:val="00DE358B"/>
    <w:rsid w:val="00DE64BC"/>
    <w:rsid w:val="00DF0596"/>
    <w:rsid w:val="00DF334A"/>
    <w:rsid w:val="00DF46A8"/>
    <w:rsid w:val="00DF4BFB"/>
    <w:rsid w:val="00DF79E1"/>
    <w:rsid w:val="00E0002C"/>
    <w:rsid w:val="00E0130F"/>
    <w:rsid w:val="00E01A45"/>
    <w:rsid w:val="00E03329"/>
    <w:rsid w:val="00E03533"/>
    <w:rsid w:val="00E05994"/>
    <w:rsid w:val="00E06272"/>
    <w:rsid w:val="00E07E2D"/>
    <w:rsid w:val="00E14DFB"/>
    <w:rsid w:val="00E20173"/>
    <w:rsid w:val="00E23E61"/>
    <w:rsid w:val="00E23ED6"/>
    <w:rsid w:val="00E24627"/>
    <w:rsid w:val="00E25CE8"/>
    <w:rsid w:val="00E26729"/>
    <w:rsid w:val="00E27CAE"/>
    <w:rsid w:val="00E32A2C"/>
    <w:rsid w:val="00E340A2"/>
    <w:rsid w:val="00E371A4"/>
    <w:rsid w:val="00E371FB"/>
    <w:rsid w:val="00E4111A"/>
    <w:rsid w:val="00E417DD"/>
    <w:rsid w:val="00E4236D"/>
    <w:rsid w:val="00E42C72"/>
    <w:rsid w:val="00E440EE"/>
    <w:rsid w:val="00E44363"/>
    <w:rsid w:val="00E45166"/>
    <w:rsid w:val="00E47527"/>
    <w:rsid w:val="00E51CF3"/>
    <w:rsid w:val="00E53395"/>
    <w:rsid w:val="00E53B27"/>
    <w:rsid w:val="00E54AB0"/>
    <w:rsid w:val="00E55358"/>
    <w:rsid w:val="00E56A61"/>
    <w:rsid w:val="00E600A9"/>
    <w:rsid w:val="00E600E9"/>
    <w:rsid w:val="00E607C3"/>
    <w:rsid w:val="00E6300E"/>
    <w:rsid w:val="00E64208"/>
    <w:rsid w:val="00E662B2"/>
    <w:rsid w:val="00E67E10"/>
    <w:rsid w:val="00E70B46"/>
    <w:rsid w:val="00E7338A"/>
    <w:rsid w:val="00E73BB3"/>
    <w:rsid w:val="00E7441B"/>
    <w:rsid w:val="00E75CA3"/>
    <w:rsid w:val="00E834ED"/>
    <w:rsid w:val="00E845DE"/>
    <w:rsid w:val="00E8590F"/>
    <w:rsid w:val="00E85B8B"/>
    <w:rsid w:val="00E86F5E"/>
    <w:rsid w:val="00E878B9"/>
    <w:rsid w:val="00E905AD"/>
    <w:rsid w:val="00E91A5C"/>
    <w:rsid w:val="00E92AE6"/>
    <w:rsid w:val="00E93B6B"/>
    <w:rsid w:val="00E9434B"/>
    <w:rsid w:val="00E94A32"/>
    <w:rsid w:val="00E976F3"/>
    <w:rsid w:val="00EA0102"/>
    <w:rsid w:val="00EA06A8"/>
    <w:rsid w:val="00EA14C4"/>
    <w:rsid w:val="00EA2993"/>
    <w:rsid w:val="00EA403B"/>
    <w:rsid w:val="00EA446A"/>
    <w:rsid w:val="00EA4715"/>
    <w:rsid w:val="00EA4C80"/>
    <w:rsid w:val="00EB1176"/>
    <w:rsid w:val="00EB32AD"/>
    <w:rsid w:val="00EB4B6F"/>
    <w:rsid w:val="00EB4BBF"/>
    <w:rsid w:val="00EB6703"/>
    <w:rsid w:val="00EB7229"/>
    <w:rsid w:val="00EC059F"/>
    <w:rsid w:val="00EC070D"/>
    <w:rsid w:val="00EC12B3"/>
    <w:rsid w:val="00EC5458"/>
    <w:rsid w:val="00EC5B21"/>
    <w:rsid w:val="00EC5E35"/>
    <w:rsid w:val="00EC6630"/>
    <w:rsid w:val="00EC6751"/>
    <w:rsid w:val="00EC67E2"/>
    <w:rsid w:val="00EC777D"/>
    <w:rsid w:val="00ED42D1"/>
    <w:rsid w:val="00ED488D"/>
    <w:rsid w:val="00EE0716"/>
    <w:rsid w:val="00EE18CD"/>
    <w:rsid w:val="00EF1E09"/>
    <w:rsid w:val="00EF2F31"/>
    <w:rsid w:val="00EF5849"/>
    <w:rsid w:val="00EF6085"/>
    <w:rsid w:val="00EF6498"/>
    <w:rsid w:val="00F1224C"/>
    <w:rsid w:val="00F14CCD"/>
    <w:rsid w:val="00F14E7A"/>
    <w:rsid w:val="00F16351"/>
    <w:rsid w:val="00F2405F"/>
    <w:rsid w:val="00F2511E"/>
    <w:rsid w:val="00F30B51"/>
    <w:rsid w:val="00F34CDC"/>
    <w:rsid w:val="00F3620B"/>
    <w:rsid w:val="00F365BF"/>
    <w:rsid w:val="00F36CF9"/>
    <w:rsid w:val="00F3725E"/>
    <w:rsid w:val="00F37948"/>
    <w:rsid w:val="00F40699"/>
    <w:rsid w:val="00F40B91"/>
    <w:rsid w:val="00F413B1"/>
    <w:rsid w:val="00F43505"/>
    <w:rsid w:val="00F43B21"/>
    <w:rsid w:val="00F443E1"/>
    <w:rsid w:val="00F44D8A"/>
    <w:rsid w:val="00F46925"/>
    <w:rsid w:val="00F477FD"/>
    <w:rsid w:val="00F5249F"/>
    <w:rsid w:val="00F5268B"/>
    <w:rsid w:val="00F55DCA"/>
    <w:rsid w:val="00F5769A"/>
    <w:rsid w:val="00F6056B"/>
    <w:rsid w:val="00F60861"/>
    <w:rsid w:val="00F61E4E"/>
    <w:rsid w:val="00F6317E"/>
    <w:rsid w:val="00F632B1"/>
    <w:rsid w:val="00F65757"/>
    <w:rsid w:val="00F716BD"/>
    <w:rsid w:val="00F7218F"/>
    <w:rsid w:val="00F72209"/>
    <w:rsid w:val="00F7261E"/>
    <w:rsid w:val="00F75A2C"/>
    <w:rsid w:val="00F769B3"/>
    <w:rsid w:val="00F77031"/>
    <w:rsid w:val="00F772DA"/>
    <w:rsid w:val="00F773E6"/>
    <w:rsid w:val="00F810DD"/>
    <w:rsid w:val="00F82BD4"/>
    <w:rsid w:val="00F90B43"/>
    <w:rsid w:val="00F914F5"/>
    <w:rsid w:val="00F91D0F"/>
    <w:rsid w:val="00F92F52"/>
    <w:rsid w:val="00F94EBC"/>
    <w:rsid w:val="00F97261"/>
    <w:rsid w:val="00FA0048"/>
    <w:rsid w:val="00FA31E7"/>
    <w:rsid w:val="00FA55A6"/>
    <w:rsid w:val="00FA5F12"/>
    <w:rsid w:val="00FB0417"/>
    <w:rsid w:val="00FB3172"/>
    <w:rsid w:val="00FB4C8D"/>
    <w:rsid w:val="00FC1710"/>
    <w:rsid w:val="00FC4E0B"/>
    <w:rsid w:val="00FC542B"/>
    <w:rsid w:val="00FC5A5E"/>
    <w:rsid w:val="00FC6B9F"/>
    <w:rsid w:val="00FD212C"/>
    <w:rsid w:val="00FD22F1"/>
    <w:rsid w:val="00FD4174"/>
    <w:rsid w:val="00FD5156"/>
    <w:rsid w:val="00FD63D9"/>
    <w:rsid w:val="00FD7022"/>
    <w:rsid w:val="00FD76A3"/>
    <w:rsid w:val="00FE03A3"/>
    <w:rsid w:val="00FE08C9"/>
    <w:rsid w:val="00FF166F"/>
    <w:rsid w:val="00FF31F7"/>
    <w:rsid w:val="00FF3459"/>
    <w:rsid w:val="00FF5C0E"/>
    <w:rsid w:val="00FF7360"/>
    <w:rsid w:val="00FF75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E8B852"/>
  <w15:docId w15:val="{4543221D-4EC3-4D92-B74F-7644BE1FD5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51DE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E009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E485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601739"/>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E0095"/>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7E4853"/>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unhideWhenUsed/>
    <w:rsid w:val="007E4853"/>
    <w:rPr>
      <w:color w:val="0563C1" w:themeColor="hyperlink"/>
      <w:u w:val="single"/>
    </w:rPr>
  </w:style>
  <w:style w:type="paragraph" w:styleId="ListParagraph">
    <w:name w:val="List Paragraph"/>
    <w:basedOn w:val="Normal"/>
    <w:uiPriority w:val="34"/>
    <w:qFormat/>
    <w:rsid w:val="000B4474"/>
    <w:pPr>
      <w:ind w:left="720"/>
      <w:contextualSpacing/>
    </w:pPr>
  </w:style>
  <w:style w:type="character" w:customStyle="1" w:styleId="Heading4Char">
    <w:name w:val="Heading 4 Char"/>
    <w:basedOn w:val="DefaultParagraphFont"/>
    <w:link w:val="Heading4"/>
    <w:uiPriority w:val="9"/>
    <w:rsid w:val="00601739"/>
    <w:rPr>
      <w:rFonts w:asciiTheme="majorHAnsi" w:eastAsiaTheme="majorEastAsia" w:hAnsiTheme="majorHAnsi" w:cstheme="majorBidi"/>
      <w:i/>
      <w:iCs/>
      <w:color w:val="2F5496" w:themeColor="accent1" w:themeShade="BF"/>
    </w:rPr>
  </w:style>
  <w:style w:type="character" w:styleId="UnresolvedMention">
    <w:name w:val="Unresolved Mention"/>
    <w:basedOn w:val="DefaultParagraphFont"/>
    <w:uiPriority w:val="99"/>
    <w:semiHidden/>
    <w:unhideWhenUsed/>
    <w:rsid w:val="00601739"/>
    <w:rPr>
      <w:color w:val="605E5C"/>
      <w:shd w:val="clear" w:color="auto" w:fill="E1DFDD"/>
    </w:rPr>
  </w:style>
  <w:style w:type="character" w:styleId="FollowedHyperlink">
    <w:name w:val="FollowedHyperlink"/>
    <w:basedOn w:val="DefaultParagraphFont"/>
    <w:uiPriority w:val="99"/>
    <w:semiHidden/>
    <w:unhideWhenUsed/>
    <w:rsid w:val="006814DF"/>
    <w:rPr>
      <w:color w:val="954F72" w:themeColor="followedHyperlink"/>
      <w:u w:val="single"/>
    </w:rPr>
  </w:style>
  <w:style w:type="character" w:customStyle="1" w:styleId="Heading1Char">
    <w:name w:val="Heading 1 Char"/>
    <w:basedOn w:val="DefaultParagraphFont"/>
    <w:link w:val="Heading1"/>
    <w:uiPriority w:val="9"/>
    <w:rsid w:val="00851DE4"/>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966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638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38B2"/>
  </w:style>
  <w:style w:type="paragraph" w:styleId="Footer">
    <w:name w:val="footer"/>
    <w:basedOn w:val="Normal"/>
    <w:link w:val="FooterChar"/>
    <w:uiPriority w:val="99"/>
    <w:unhideWhenUsed/>
    <w:rsid w:val="002638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38B2"/>
  </w:style>
  <w:style w:type="paragraph" w:styleId="Revision">
    <w:name w:val="Revision"/>
    <w:hidden/>
    <w:uiPriority w:val="99"/>
    <w:semiHidden/>
    <w:rsid w:val="00317B8C"/>
    <w:pPr>
      <w:spacing w:after="0" w:line="240" w:lineRule="auto"/>
    </w:pPr>
  </w:style>
  <w:style w:type="character" w:styleId="CommentReference">
    <w:name w:val="annotation reference"/>
    <w:basedOn w:val="DefaultParagraphFont"/>
    <w:uiPriority w:val="99"/>
    <w:semiHidden/>
    <w:unhideWhenUsed/>
    <w:rsid w:val="007359B5"/>
    <w:rPr>
      <w:sz w:val="16"/>
      <w:szCs w:val="16"/>
    </w:rPr>
  </w:style>
  <w:style w:type="paragraph" w:styleId="CommentText">
    <w:name w:val="annotation text"/>
    <w:basedOn w:val="Normal"/>
    <w:link w:val="CommentTextChar"/>
    <w:uiPriority w:val="99"/>
    <w:semiHidden/>
    <w:unhideWhenUsed/>
    <w:rsid w:val="007359B5"/>
    <w:pPr>
      <w:spacing w:line="240" w:lineRule="auto"/>
    </w:pPr>
    <w:rPr>
      <w:sz w:val="20"/>
      <w:szCs w:val="20"/>
    </w:rPr>
  </w:style>
  <w:style w:type="character" w:customStyle="1" w:styleId="CommentTextChar">
    <w:name w:val="Comment Text Char"/>
    <w:basedOn w:val="DefaultParagraphFont"/>
    <w:link w:val="CommentText"/>
    <w:uiPriority w:val="99"/>
    <w:semiHidden/>
    <w:rsid w:val="007359B5"/>
    <w:rPr>
      <w:sz w:val="20"/>
      <w:szCs w:val="20"/>
    </w:rPr>
  </w:style>
  <w:style w:type="paragraph" w:styleId="CommentSubject">
    <w:name w:val="annotation subject"/>
    <w:basedOn w:val="CommentText"/>
    <w:next w:val="CommentText"/>
    <w:link w:val="CommentSubjectChar"/>
    <w:uiPriority w:val="99"/>
    <w:semiHidden/>
    <w:unhideWhenUsed/>
    <w:rsid w:val="007359B5"/>
    <w:rPr>
      <w:b/>
      <w:bCs/>
    </w:rPr>
  </w:style>
  <w:style w:type="character" w:customStyle="1" w:styleId="CommentSubjectChar">
    <w:name w:val="Comment Subject Char"/>
    <w:basedOn w:val="CommentTextChar"/>
    <w:link w:val="CommentSubject"/>
    <w:uiPriority w:val="99"/>
    <w:semiHidden/>
    <w:rsid w:val="007359B5"/>
    <w:rPr>
      <w:b/>
      <w:bCs/>
      <w:sz w:val="20"/>
      <w:szCs w:val="20"/>
    </w:rPr>
  </w:style>
  <w:style w:type="paragraph" w:styleId="Bibliography">
    <w:name w:val="Bibliography"/>
    <w:basedOn w:val="Normal"/>
    <w:next w:val="Normal"/>
    <w:uiPriority w:val="37"/>
    <w:unhideWhenUsed/>
    <w:rsid w:val="00281D8A"/>
    <w:pPr>
      <w:tabs>
        <w:tab w:val="left" w:pos="384"/>
      </w:tabs>
      <w:spacing w:after="240" w:line="240" w:lineRule="auto"/>
      <w:ind w:left="384" w:hanging="384"/>
    </w:pPr>
  </w:style>
  <w:style w:type="character" w:styleId="LineNumber">
    <w:name w:val="line number"/>
    <w:basedOn w:val="DefaultParagraphFont"/>
    <w:uiPriority w:val="99"/>
    <w:semiHidden/>
    <w:unhideWhenUsed/>
    <w:rsid w:val="00D357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25999450">
      <w:bodyDiv w:val="1"/>
      <w:marLeft w:val="0"/>
      <w:marRight w:val="0"/>
      <w:marTop w:val="0"/>
      <w:marBottom w:val="0"/>
      <w:divBdr>
        <w:top w:val="none" w:sz="0" w:space="0" w:color="auto"/>
        <w:left w:val="none" w:sz="0" w:space="0" w:color="auto"/>
        <w:bottom w:val="none" w:sz="0" w:space="0" w:color="auto"/>
        <w:right w:val="none" w:sz="0" w:space="0" w:color="auto"/>
      </w:divBdr>
    </w:div>
    <w:div w:id="628780909">
      <w:bodyDiv w:val="1"/>
      <w:marLeft w:val="0"/>
      <w:marRight w:val="0"/>
      <w:marTop w:val="0"/>
      <w:marBottom w:val="0"/>
      <w:divBdr>
        <w:top w:val="none" w:sz="0" w:space="0" w:color="auto"/>
        <w:left w:val="none" w:sz="0" w:space="0" w:color="auto"/>
        <w:bottom w:val="none" w:sz="0" w:space="0" w:color="auto"/>
        <w:right w:val="none" w:sz="0" w:space="0" w:color="auto"/>
      </w:divBdr>
      <w:divsChild>
        <w:div w:id="548492949">
          <w:marLeft w:val="0"/>
          <w:marRight w:val="0"/>
          <w:marTop w:val="0"/>
          <w:marBottom w:val="0"/>
          <w:divBdr>
            <w:top w:val="none" w:sz="0" w:space="0" w:color="auto"/>
            <w:left w:val="none" w:sz="0" w:space="0" w:color="auto"/>
            <w:bottom w:val="none" w:sz="0" w:space="0" w:color="auto"/>
            <w:right w:val="none" w:sz="0" w:space="0" w:color="auto"/>
          </w:divBdr>
        </w:div>
        <w:div w:id="845363625">
          <w:marLeft w:val="0"/>
          <w:marRight w:val="0"/>
          <w:marTop w:val="0"/>
          <w:marBottom w:val="0"/>
          <w:divBdr>
            <w:top w:val="none" w:sz="0" w:space="0" w:color="auto"/>
            <w:left w:val="none" w:sz="0" w:space="0" w:color="auto"/>
            <w:bottom w:val="none" w:sz="0" w:space="0" w:color="auto"/>
            <w:right w:val="none" w:sz="0" w:space="0" w:color="auto"/>
          </w:divBdr>
        </w:div>
        <w:div w:id="989214916">
          <w:marLeft w:val="0"/>
          <w:marRight w:val="0"/>
          <w:marTop w:val="0"/>
          <w:marBottom w:val="0"/>
          <w:divBdr>
            <w:top w:val="none" w:sz="0" w:space="0" w:color="auto"/>
            <w:left w:val="none" w:sz="0" w:space="0" w:color="auto"/>
            <w:bottom w:val="none" w:sz="0" w:space="0" w:color="auto"/>
            <w:right w:val="none" w:sz="0" w:space="0" w:color="auto"/>
          </w:divBdr>
        </w:div>
        <w:div w:id="1277785829">
          <w:marLeft w:val="0"/>
          <w:marRight w:val="0"/>
          <w:marTop w:val="0"/>
          <w:marBottom w:val="0"/>
          <w:divBdr>
            <w:top w:val="none" w:sz="0" w:space="0" w:color="auto"/>
            <w:left w:val="none" w:sz="0" w:space="0" w:color="auto"/>
            <w:bottom w:val="none" w:sz="0" w:space="0" w:color="auto"/>
            <w:right w:val="none" w:sz="0" w:space="0" w:color="auto"/>
          </w:divBdr>
        </w:div>
        <w:div w:id="1560357502">
          <w:marLeft w:val="0"/>
          <w:marRight w:val="0"/>
          <w:marTop w:val="0"/>
          <w:marBottom w:val="0"/>
          <w:divBdr>
            <w:top w:val="none" w:sz="0" w:space="0" w:color="auto"/>
            <w:left w:val="none" w:sz="0" w:space="0" w:color="auto"/>
            <w:bottom w:val="none" w:sz="0" w:space="0" w:color="auto"/>
            <w:right w:val="none" w:sz="0" w:space="0" w:color="auto"/>
          </w:divBdr>
        </w:div>
      </w:divsChild>
    </w:div>
    <w:div w:id="706376093">
      <w:bodyDiv w:val="1"/>
      <w:marLeft w:val="0"/>
      <w:marRight w:val="0"/>
      <w:marTop w:val="0"/>
      <w:marBottom w:val="0"/>
      <w:divBdr>
        <w:top w:val="none" w:sz="0" w:space="0" w:color="auto"/>
        <w:left w:val="none" w:sz="0" w:space="0" w:color="auto"/>
        <w:bottom w:val="none" w:sz="0" w:space="0" w:color="auto"/>
        <w:right w:val="none" w:sz="0" w:space="0" w:color="auto"/>
      </w:divBdr>
    </w:div>
    <w:div w:id="768934524">
      <w:bodyDiv w:val="1"/>
      <w:marLeft w:val="0"/>
      <w:marRight w:val="0"/>
      <w:marTop w:val="0"/>
      <w:marBottom w:val="0"/>
      <w:divBdr>
        <w:top w:val="none" w:sz="0" w:space="0" w:color="auto"/>
        <w:left w:val="none" w:sz="0" w:space="0" w:color="auto"/>
        <w:bottom w:val="none" w:sz="0" w:space="0" w:color="auto"/>
        <w:right w:val="none" w:sz="0" w:space="0" w:color="auto"/>
      </w:divBdr>
    </w:div>
    <w:div w:id="841437139">
      <w:bodyDiv w:val="1"/>
      <w:marLeft w:val="0"/>
      <w:marRight w:val="0"/>
      <w:marTop w:val="0"/>
      <w:marBottom w:val="0"/>
      <w:divBdr>
        <w:top w:val="none" w:sz="0" w:space="0" w:color="auto"/>
        <w:left w:val="none" w:sz="0" w:space="0" w:color="auto"/>
        <w:bottom w:val="none" w:sz="0" w:space="0" w:color="auto"/>
        <w:right w:val="none" w:sz="0" w:space="0" w:color="auto"/>
      </w:divBdr>
    </w:div>
    <w:div w:id="935014468">
      <w:bodyDiv w:val="1"/>
      <w:marLeft w:val="0"/>
      <w:marRight w:val="0"/>
      <w:marTop w:val="0"/>
      <w:marBottom w:val="0"/>
      <w:divBdr>
        <w:top w:val="none" w:sz="0" w:space="0" w:color="auto"/>
        <w:left w:val="none" w:sz="0" w:space="0" w:color="auto"/>
        <w:bottom w:val="none" w:sz="0" w:space="0" w:color="auto"/>
        <w:right w:val="none" w:sz="0" w:space="0" w:color="auto"/>
      </w:divBdr>
    </w:div>
    <w:div w:id="1111706182">
      <w:bodyDiv w:val="1"/>
      <w:marLeft w:val="0"/>
      <w:marRight w:val="0"/>
      <w:marTop w:val="0"/>
      <w:marBottom w:val="0"/>
      <w:divBdr>
        <w:top w:val="none" w:sz="0" w:space="0" w:color="auto"/>
        <w:left w:val="none" w:sz="0" w:space="0" w:color="auto"/>
        <w:bottom w:val="none" w:sz="0" w:space="0" w:color="auto"/>
        <w:right w:val="none" w:sz="0" w:space="0" w:color="auto"/>
      </w:divBdr>
    </w:div>
    <w:div w:id="1376003916">
      <w:bodyDiv w:val="1"/>
      <w:marLeft w:val="0"/>
      <w:marRight w:val="0"/>
      <w:marTop w:val="0"/>
      <w:marBottom w:val="0"/>
      <w:divBdr>
        <w:top w:val="none" w:sz="0" w:space="0" w:color="auto"/>
        <w:left w:val="none" w:sz="0" w:space="0" w:color="auto"/>
        <w:bottom w:val="none" w:sz="0" w:space="0" w:color="auto"/>
        <w:right w:val="none" w:sz="0" w:space="0" w:color="auto"/>
      </w:divBdr>
    </w:div>
    <w:div w:id="1389379930">
      <w:bodyDiv w:val="1"/>
      <w:marLeft w:val="0"/>
      <w:marRight w:val="0"/>
      <w:marTop w:val="0"/>
      <w:marBottom w:val="0"/>
      <w:divBdr>
        <w:top w:val="none" w:sz="0" w:space="0" w:color="auto"/>
        <w:left w:val="none" w:sz="0" w:space="0" w:color="auto"/>
        <w:bottom w:val="none" w:sz="0" w:space="0" w:color="auto"/>
        <w:right w:val="none" w:sz="0" w:space="0" w:color="auto"/>
      </w:divBdr>
      <w:divsChild>
        <w:div w:id="28453097">
          <w:marLeft w:val="0"/>
          <w:marRight w:val="0"/>
          <w:marTop w:val="0"/>
          <w:marBottom w:val="0"/>
          <w:divBdr>
            <w:top w:val="none" w:sz="0" w:space="0" w:color="auto"/>
            <w:left w:val="none" w:sz="0" w:space="0" w:color="auto"/>
            <w:bottom w:val="none" w:sz="0" w:space="0" w:color="auto"/>
            <w:right w:val="none" w:sz="0" w:space="0" w:color="auto"/>
          </w:divBdr>
        </w:div>
        <w:div w:id="86926934">
          <w:marLeft w:val="0"/>
          <w:marRight w:val="0"/>
          <w:marTop w:val="0"/>
          <w:marBottom w:val="0"/>
          <w:divBdr>
            <w:top w:val="none" w:sz="0" w:space="0" w:color="auto"/>
            <w:left w:val="none" w:sz="0" w:space="0" w:color="auto"/>
            <w:bottom w:val="none" w:sz="0" w:space="0" w:color="auto"/>
            <w:right w:val="none" w:sz="0" w:space="0" w:color="auto"/>
          </w:divBdr>
        </w:div>
        <w:div w:id="691809873">
          <w:marLeft w:val="0"/>
          <w:marRight w:val="0"/>
          <w:marTop w:val="0"/>
          <w:marBottom w:val="0"/>
          <w:divBdr>
            <w:top w:val="none" w:sz="0" w:space="0" w:color="auto"/>
            <w:left w:val="none" w:sz="0" w:space="0" w:color="auto"/>
            <w:bottom w:val="none" w:sz="0" w:space="0" w:color="auto"/>
            <w:right w:val="none" w:sz="0" w:space="0" w:color="auto"/>
          </w:divBdr>
        </w:div>
        <w:div w:id="1301034952">
          <w:marLeft w:val="0"/>
          <w:marRight w:val="0"/>
          <w:marTop w:val="0"/>
          <w:marBottom w:val="0"/>
          <w:divBdr>
            <w:top w:val="none" w:sz="0" w:space="0" w:color="auto"/>
            <w:left w:val="none" w:sz="0" w:space="0" w:color="auto"/>
            <w:bottom w:val="none" w:sz="0" w:space="0" w:color="auto"/>
            <w:right w:val="none" w:sz="0" w:space="0" w:color="auto"/>
          </w:divBdr>
        </w:div>
        <w:div w:id="1952130698">
          <w:marLeft w:val="0"/>
          <w:marRight w:val="0"/>
          <w:marTop w:val="0"/>
          <w:marBottom w:val="0"/>
          <w:divBdr>
            <w:top w:val="none" w:sz="0" w:space="0" w:color="auto"/>
            <w:left w:val="none" w:sz="0" w:space="0" w:color="auto"/>
            <w:bottom w:val="none" w:sz="0" w:space="0" w:color="auto"/>
            <w:right w:val="none" w:sz="0" w:space="0" w:color="auto"/>
          </w:divBdr>
        </w:div>
      </w:divsChild>
    </w:div>
    <w:div w:id="1482844931">
      <w:bodyDiv w:val="1"/>
      <w:marLeft w:val="0"/>
      <w:marRight w:val="0"/>
      <w:marTop w:val="0"/>
      <w:marBottom w:val="0"/>
      <w:divBdr>
        <w:top w:val="none" w:sz="0" w:space="0" w:color="auto"/>
        <w:left w:val="none" w:sz="0" w:space="0" w:color="auto"/>
        <w:bottom w:val="none" w:sz="0" w:space="0" w:color="auto"/>
        <w:right w:val="none" w:sz="0" w:space="0" w:color="auto"/>
      </w:divBdr>
    </w:div>
    <w:div w:id="1490517510">
      <w:bodyDiv w:val="1"/>
      <w:marLeft w:val="0"/>
      <w:marRight w:val="0"/>
      <w:marTop w:val="0"/>
      <w:marBottom w:val="0"/>
      <w:divBdr>
        <w:top w:val="none" w:sz="0" w:space="0" w:color="auto"/>
        <w:left w:val="none" w:sz="0" w:space="0" w:color="auto"/>
        <w:bottom w:val="none" w:sz="0" w:space="0" w:color="auto"/>
        <w:right w:val="none" w:sz="0" w:space="0" w:color="auto"/>
      </w:divBdr>
    </w:div>
    <w:div w:id="1627469848">
      <w:bodyDiv w:val="1"/>
      <w:marLeft w:val="0"/>
      <w:marRight w:val="0"/>
      <w:marTop w:val="0"/>
      <w:marBottom w:val="0"/>
      <w:divBdr>
        <w:top w:val="none" w:sz="0" w:space="0" w:color="auto"/>
        <w:left w:val="none" w:sz="0" w:space="0" w:color="auto"/>
        <w:bottom w:val="none" w:sz="0" w:space="0" w:color="auto"/>
        <w:right w:val="none" w:sz="0" w:space="0" w:color="auto"/>
      </w:divBdr>
    </w:div>
    <w:div w:id="1657957807">
      <w:bodyDiv w:val="1"/>
      <w:marLeft w:val="0"/>
      <w:marRight w:val="0"/>
      <w:marTop w:val="0"/>
      <w:marBottom w:val="0"/>
      <w:divBdr>
        <w:top w:val="none" w:sz="0" w:space="0" w:color="auto"/>
        <w:left w:val="none" w:sz="0" w:space="0" w:color="auto"/>
        <w:bottom w:val="none" w:sz="0" w:space="0" w:color="auto"/>
        <w:right w:val="none" w:sz="0" w:space="0" w:color="auto"/>
      </w:divBdr>
    </w:div>
    <w:div w:id="1736126097">
      <w:bodyDiv w:val="1"/>
      <w:marLeft w:val="0"/>
      <w:marRight w:val="0"/>
      <w:marTop w:val="0"/>
      <w:marBottom w:val="0"/>
      <w:divBdr>
        <w:top w:val="none" w:sz="0" w:space="0" w:color="auto"/>
        <w:left w:val="none" w:sz="0" w:space="0" w:color="auto"/>
        <w:bottom w:val="none" w:sz="0" w:space="0" w:color="auto"/>
        <w:right w:val="none" w:sz="0" w:space="0" w:color="auto"/>
      </w:divBdr>
    </w:div>
    <w:div w:id="1748188181">
      <w:bodyDiv w:val="1"/>
      <w:marLeft w:val="0"/>
      <w:marRight w:val="0"/>
      <w:marTop w:val="0"/>
      <w:marBottom w:val="0"/>
      <w:divBdr>
        <w:top w:val="none" w:sz="0" w:space="0" w:color="auto"/>
        <w:left w:val="none" w:sz="0" w:space="0" w:color="auto"/>
        <w:bottom w:val="none" w:sz="0" w:space="0" w:color="auto"/>
        <w:right w:val="none" w:sz="0" w:space="0" w:color="auto"/>
      </w:divBdr>
    </w:div>
    <w:div w:id="17890082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41AC02-09D3-45FC-AF58-563178EF30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9410</Words>
  <Characters>53640</Characters>
  <Application>Microsoft Office Word</Application>
  <DocSecurity>0</DocSecurity>
  <Lines>447</Lines>
  <Paragraphs>125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Nhyira Yaw  Adjei-Banuah</dc:creator>
  <cp:keywords/>
  <dc:description/>
  <cp:lastModifiedBy>Trupti Sudge</cp:lastModifiedBy>
  <cp:revision>2</cp:revision>
  <dcterms:created xsi:type="dcterms:W3CDTF">2024-10-04T15:45:00Z</dcterms:created>
  <dcterms:modified xsi:type="dcterms:W3CDTF">2024-10-04T15:45:00Z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40d7c2e6-c014-4ab4-8d7a-bd8ef5d00a06</vt:lpwstr>
  </property>
  <property fmtid="{D5CDD505-2E9C-101B-9397-08002B2CF9AE}" pid="3" name="ZOTERO_PREF_1">
    <vt:lpwstr>&lt;data data-version="3" zotero-version="7.0.0-beta.101+220bb4383"&gt;&lt;session id="vJ88cXGi"/&gt;&lt;style id="http://www.zotero.org/styles/vancouver" locale="en-US" hasBibliography="1" bibliographyStyleHasBeenSet="1"/&gt;&lt;prefs&gt;&lt;pref name="fieldType" value="Field"/&gt;&lt;p</vt:lpwstr>
  </property>
  <property fmtid="{D5CDD505-2E9C-101B-9397-08002B2CF9AE}" pid="4" name="ZOTERO_PREF_2">
    <vt:lpwstr>ref name="dontAskDelayCitationUpdates" value="true"/&gt;&lt;/prefs&gt;&lt;/data&gt;</vt:lpwstr>
  </property>
</Properties>
</file>