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177785" w14:textId="77777777" w:rsidR="005D3E3E" w:rsidRPr="00221C29" w:rsidRDefault="005D3E3E" w:rsidP="005D3E3E">
      <w:pPr>
        <w:pStyle w:val="Titre"/>
        <w:jc w:val="both"/>
        <w:rPr>
          <w:sz w:val="36"/>
          <w:lang w:val="en-GB"/>
        </w:rPr>
      </w:pPr>
      <w:r w:rsidRPr="00221C29">
        <w:rPr>
          <w:sz w:val="36"/>
          <w:lang w:val="en-GB"/>
        </w:rPr>
        <w:t>Parental germline mosaicism in genome-wide phased de novo variants: recurrence risk assessment and implications for precision genetic counselling</w:t>
      </w:r>
    </w:p>
    <w:p w14:paraId="3650D29A" w14:textId="77777777" w:rsidR="005D3E3E" w:rsidRPr="00221C29" w:rsidRDefault="005D3E3E" w:rsidP="005D3E3E">
      <w:pPr>
        <w:pStyle w:val="Titre"/>
        <w:rPr>
          <w:lang w:val="en-GB"/>
        </w:rPr>
      </w:pPr>
    </w:p>
    <w:p w14:paraId="55AC3B02" w14:textId="2D6AC474" w:rsidR="005D3E3E" w:rsidRPr="00640060" w:rsidRDefault="005D3E3E" w:rsidP="005D3E3E">
      <w:pPr>
        <w:pStyle w:val="Titre"/>
        <w:rPr>
          <w:lang w:val="en-GB"/>
        </w:rPr>
      </w:pPr>
      <w:r w:rsidRPr="00640060">
        <w:rPr>
          <w:lang w:val="en-GB"/>
        </w:rPr>
        <w:t>Suppplementary Information</w:t>
      </w:r>
    </w:p>
    <w:p w14:paraId="35FA092E" w14:textId="36F62DFE" w:rsidR="005D3E3E" w:rsidRDefault="005D3E3E">
      <w:pPr>
        <w:rPr>
          <w:rStyle w:val="lev"/>
          <w:lang w:val="en-GB"/>
        </w:rPr>
      </w:pPr>
    </w:p>
    <w:p w14:paraId="533385DB" w14:textId="332BE4EC" w:rsidR="00884969" w:rsidRPr="00070B06" w:rsidRDefault="00884969">
      <w:pPr>
        <w:rPr>
          <w:rStyle w:val="lev"/>
          <w:lang w:val="en-GB"/>
        </w:rPr>
      </w:pPr>
      <w:r w:rsidRPr="00884969">
        <w:rPr>
          <w:rStyle w:val="lev"/>
          <w:lang w:val="en-GB"/>
        </w:rPr>
        <w:t xml:space="preserve">Prediction of recurrence risk using </w:t>
      </w:r>
      <w:r w:rsidRPr="00070B06">
        <w:rPr>
          <w:rStyle w:val="lev"/>
          <w:lang w:val="en-GB"/>
        </w:rPr>
        <w:t>Decode</w:t>
      </w:r>
      <w:r w:rsidR="00070B06">
        <w:rPr>
          <w:rStyle w:val="lev"/>
          <w:lang w:val="en-GB"/>
        </w:rPr>
        <w:t xml:space="preserve"> Genetics</w:t>
      </w:r>
      <w:r w:rsidRPr="00070B06">
        <w:rPr>
          <w:rStyle w:val="lev"/>
          <w:lang w:val="en-GB"/>
        </w:rPr>
        <w:t xml:space="preserve">’ </w:t>
      </w:r>
      <w:r w:rsidR="00070B06" w:rsidRPr="00070B06">
        <w:rPr>
          <w:rStyle w:val="lev"/>
          <w:lang w:val="en-GB"/>
        </w:rPr>
        <w:t>De Novo Mutation Recurrence Calculator</w:t>
      </w:r>
    </w:p>
    <w:p w14:paraId="5459D3D2" w14:textId="77777777" w:rsidR="00A96FF9" w:rsidRDefault="00F85952" w:rsidP="004C2C2D">
      <w:pPr>
        <w:jc w:val="both"/>
        <w:rPr>
          <w:lang w:val="en-GB"/>
        </w:rPr>
      </w:pPr>
      <w:r>
        <w:rPr>
          <w:lang w:val="en-GB"/>
        </w:rPr>
        <w:t xml:space="preserve">With </w:t>
      </w:r>
      <w:r w:rsidR="00884969">
        <w:rPr>
          <w:lang w:val="en-GB"/>
        </w:rPr>
        <w:t xml:space="preserve">the aim of comparing our detected recurrence risk for paternally phased variants to available predictors, we used Decode’s </w:t>
      </w:r>
      <w:r w:rsidR="00070B06" w:rsidRPr="00070B06">
        <w:rPr>
          <w:lang w:val="en-GB"/>
        </w:rPr>
        <w:t>De Novo Mutation Recurrence Calculator</w:t>
      </w:r>
      <w:r w:rsidR="00884969">
        <w:rPr>
          <w:lang w:val="en-GB"/>
        </w:rPr>
        <w:t xml:space="preserve">: </w:t>
      </w:r>
    </w:p>
    <w:p w14:paraId="07B08CA3" w14:textId="77777777" w:rsidR="00A96FF9" w:rsidRDefault="00290D36" w:rsidP="004C2C2D">
      <w:pPr>
        <w:jc w:val="both"/>
        <w:rPr>
          <w:lang w:val="en-GB"/>
        </w:rPr>
      </w:pPr>
      <w:hyperlink r:id="rId5" w:history="1">
        <w:r w:rsidR="00884969" w:rsidRPr="00D8223F">
          <w:rPr>
            <w:rStyle w:val="Lienhypertexte"/>
            <w:lang w:val="en-GB"/>
          </w:rPr>
          <w:t>https://de-novo-risk.decode.is/</w:t>
        </w:r>
      </w:hyperlink>
      <w:r w:rsidR="00884969">
        <w:rPr>
          <w:lang w:val="en-GB"/>
        </w:rPr>
        <w:t xml:space="preserve">. </w:t>
      </w:r>
    </w:p>
    <w:p w14:paraId="7AA2F666" w14:textId="14D92F45" w:rsidR="00884969" w:rsidRDefault="00884969" w:rsidP="004C2C2D">
      <w:pPr>
        <w:jc w:val="both"/>
        <w:rPr>
          <w:lang w:val="en-GB"/>
        </w:rPr>
      </w:pPr>
      <w:r>
        <w:rPr>
          <w:lang w:val="en-GB"/>
        </w:rPr>
        <w:t>This software take</w:t>
      </w:r>
      <w:r w:rsidR="00A96FF9">
        <w:rPr>
          <w:lang w:val="en-GB"/>
        </w:rPr>
        <w:t>s as an input a genomic variant</w:t>
      </w:r>
      <w:r>
        <w:rPr>
          <w:lang w:val="en-GB"/>
        </w:rPr>
        <w:t xml:space="preserve"> and information regarding presence of variants in siblings, parent of ori</w:t>
      </w:r>
      <w:r w:rsidR="00A96FF9">
        <w:rPr>
          <w:lang w:val="en-GB"/>
        </w:rPr>
        <w:t xml:space="preserve">gin, parental age at conception, </w:t>
      </w:r>
      <w:r>
        <w:rPr>
          <w:lang w:val="en-GB"/>
        </w:rPr>
        <w:t>sequencing depth and alt read count in parental genomes. It outputs a mean recurrence risk estimation. We con</w:t>
      </w:r>
      <w:r w:rsidR="00F85952">
        <w:rPr>
          <w:lang w:val="en-GB"/>
        </w:rPr>
        <w:t>s</w:t>
      </w:r>
      <w:r>
        <w:rPr>
          <w:lang w:val="en-GB"/>
        </w:rPr>
        <w:t xml:space="preserve">idered the mean paternal age of 30 years at conception in our five probands. </w:t>
      </w:r>
      <w:r w:rsidR="00F85952">
        <w:rPr>
          <w:lang w:val="en-GB"/>
        </w:rPr>
        <w:t xml:space="preserve">Overall, </w:t>
      </w:r>
      <w:r>
        <w:rPr>
          <w:lang w:val="en-GB"/>
        </w:rPr>
        <w:t xml:space="preserve">237 variants were identified with 0 alt reads in a mean of 41x fathers, 5 variants were identified with 1 alt read in a mean of 41x, and 2 reads were identified with 2 alt reads in 38x. These three situations translated to 0.43%, 2.68% and </w:t>
      </w:r>
      <w:r w:rsidRPr="00884969">
        <w:rPr>
          <w:lang w:val="en-GB"/>
        </w:rPr>
        <w:t>9.27%</w:t>
      </w:r>
      <w:r>
        <w:rPr>
          <w:lang w:val="en-GB"/>
        </w:rPr>
        <w:t xml:space="preserve"> recurrence risk, which averaged at 0.55%.</w:t>
      </w:r>
    </w:p>
    <w:p w14:paraId="64ABDA04" w14:textId="5D7D0E6A" w:rsidR="00AE1134" w:rsidRDefault="00AE1134" w:rsidP="004C2C2D">
      <w:pPr>
        <w:jc w:val="both"/>
        <w:rPr>
          <w:lang w:val="en-GB"/>
        </w:rPr>
      </w:pPr>
    </w:p>
    <w:p w14:paraId="219ECD8E" w14:textId="2AA3B002" w:rsidR="003844FB" w:rsidRPr="00E12B23" w:rsidRDefault="003844FB" w:rsidP="004C2C2D">
      <w:pPr>
        <w:jc w:val="both"/>
        <w:rPr>
          <w:b/>
          <w:lang w:val="en-GB"/>
        </w:rPr>
      </w:pPr>
      <w:r w:rsidRPr="00E12B23">
        <w:rPr>
          <w:b/>
          <w:lang w:val="en-GB"/>
        </w:rPr>
        <w:t>How to assess the risk of recurrence for maternally derived variants?</w:t>
      </w:r>
    </w:p>
    <w:p w14:paraId="4B24FBA5" w14:textId="1F495E1E" w:rsidR="00290D36" w:rsidRDefault="00290D36" w:rsidP="00290D36">
      <w:pPr>
        <w:jc w:val="both"/>
        <w:rPr>
          <w:lang w:val="en-GB"/>
        </w:rPr>
      </w:pPr>
      <w:r>
        <w:rPr>
          <w:lang w:val="en-GB"/>
        </w:rPr>
        <w:t>We define the parental recurrence risks as follows:</w:t>
      </w:r>
    </w:p>
    <w:p w14:paraId="1D5CA479" w14:textId="2D2316BB" w:rsidR="00290D36" w:rsidRDefault="00290D36" w:rsidP="00290D36">
      <w:pPr>
        <w:jc w:val="both"/>
        <w:rPr>
          <w:lang w:val="en-GB"/>
        </w:rPr>
      </w:pPr>
      <w:r w:rsidRPr="008E15AA">
        <w:rPr>
          <w:noProof/>
          <w:lang w:eastAsia="fr-FR"/>
        </w:rPr>
        <w:drawing>
          <wp:inline distT="0" distB="0" distL="0" distR="0" wp14:anchorId="13E1172F" wp14:editId="7D728346">
            <wp:extent cx="5759145" cy="380213"/>
            <wp:effectExtent l="0" t="0" r="0" b="127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9946" b="76084"/>
                    <a:stretch/>
                  </pic:blipFill>
                  <pic:spPr bwMode="auto">
                    <a:xfrm>
                      <a:off x="0" y="0"/>
                      <a:ext cx="5760720" cy="3803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1EF91F" w14:textId="5CAC6BC7" w:rsidR="00290D36" w:rsidRDefault="00290D36" w:rsidP="00290D36">
      <w:pPr>
        <w:autoSpaceDE w:val="0"/>
        <w:autoSpaceDN w:val="0"/>
        <w:adjustRightInd w:val="0"/>
        <w:spacing w:after="0" w:line="240" w:lineRule="auto"/>
        <w:jc w:val="both"/>
        <w:rPr>
          <w:rFonts w:ascii="Carlito" w:hAnsi="Carlito" w:cs="Carlito"/>
          <w:sz w:val="20"/>
          <w:szCs w:val="20"/>
          <w:lang w:val="en-GB"/>
        </w:rPr>
      </w:pPr>
      <w:r>
        <w:rPr>
          <w:lang w:val="en-GB"/>
        </w:rPr>
        <w:t xml:space="preserve">where </w:t>
      </w:r>
      <w:r w:rsidRPr="008E15AA">
        <w:rPr>
          <w:noProof/>
          <w:lang w:eastAsia="fr-FR"/>
        </w:rPr>
        <w:drawing>
          <wp:inline distT="0" distB="0" distL="0" distR="0" wp14:anchorId="14070246" wp14:editId="38AE271B">
            <wp:extent cx="461925" cy="182170"/>
            <wp:effectExtent l="0" t="0" r="0" b="889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7619" t="26353" r="84352" b="66947"/>
                    <a:stretch/>
                  </pic:blipFill>
                  <pic:spPr bwMode="auto">
                    <a:xfrm>
                      <a:off x="0" y="0"/>
                      <a:ext cx="462494" cy="1823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lang w:val="en-GB"/>
        </w:rPr>
        <w:t xml:space="preserve"> and </w:t>
      </w:r>
      <w:r w:rsidRPr="008E15AA">
        <w:rPr>
          <w:noProof/>
          <w:lang w:eastAsia="fr-FR"/>
        </w:rPr>
        <w:drawing>
          <wp:inline distT="0" distB="0" distL="0" distR="0" wp14:anchorId="54AEB1B9" wp14:editId="71A4D36A">
            <wp:extent cx="515788" cy="181610"/>
            <wp:effectExtent l="0" t="0" r="0" b="889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9827" t="26353" r="71181" b="66947"/>
                    <a:stretch/>
                  </pic:blipFill>
                  <pic:spPr bwMode="auto">
                    <a:xfrm>
                      <a:off x="0" y="0"/>
                      <a:ext cx="518015" cy="1823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lang w:val="en-GB"/>
        </w:rPr>
        <w:t xml:space="preserve"> </w:t>
      </w:r>
      <w:r w:rsidRPr="00290D36">
        <w:rPr>
          <w:rFonts w:ascii="Carlito" w:hAnsi="Carlito" w:cs="Carlito"/>
          <w:sz w:val="20"/>
          <w:szCs w:val="20"/>
          <w:lang w:val="en-GB"/>
        </w:rPr>
        <w:t>represent the average VAF observed in sperm</w:t>
      </w:r>
      <w:r>
        <w:rPr>
          <w:rFonts w:ascii="Carlito" w:hAnsi="Carlito" w:cs="Carlito"/>
          <w:sz w:val="20"/>
          <w:szCs w:val="20"/>
          <w:lang w:val="en-GB"/>
        </w:rPr>
        <w:t xml:space="preserve"> and ovocytes respectively. For </w:t>
      </w:r>
      <w:r w:rsidRPr="00290D36">
        <w:rPr>
          <w:rFonts w:ascii="Carlito" w:hAnsi="Carlito" w:cs="Carlito"/>
          <w:sz w:val="20"/>
          <w:szCs w:val="20"/>
          <w:lang w:val="en-GB"/>
        </w:rPr>
        <w:t>the paternal branch, all parameters can be observed and retrieved from our da</w:t>
      </w:r>
      <w:r>
        <w:rPr>
          <w:rFonts w:ascii="Carlito" w:hAnsi="Carlito" w:cs="Carlito"/>
          <w:sz w:val="20"/>
          <w:szCs w:val="20"/>
          <w:lang w:val="en-GB"/>
        </w:rPr>
        <w:t xml:space="preserve">ta. Since maternal and paternal </w:t>
      </w:r>
      <w:r w:rsidRPr="00290D36">
        <w:rPr>
          <w:rFonts w:ascii="Carlito" w:hAnsi="Carlito" w:cs="Carlito"/>
          <w:sz w:val="20"/>
          <w:szCs w:val="20"/>
          <w:lang w:val="en-GB"/>
        </w:rPr>
        <w:t>mosaic events are intended to occur independently from sex differentiation,</w:t>
      </w:r>
      <w:r>
        <w:rPr>
          <w:rFonts w:ascii="Carlito" w:hAnsi="Carlito" w:cs="Carlito"/>
          <w:sz w:val="20"/>
          <w:szCs w:val="20"/>
          <w:lang w:val="en-GB"/>
        </w:rPr>
        <w:t xml:space="preserve"> it is likely that the absolute </w:t>
      </w:r>
      <w:r w:rsidRPr="00290D36">
        <w:rPr>
          <w:rFonts w:ascii="Carlito" w:hAnsi="Carlito" w:cs="Carlito"/>
          <w:sz w:val="20"/>
          <w:szCs w:val="20"/>
          <w:lang w:val="en-GB"/>
        </w:rPr>
        <w:t>count of oocyte mosaics are similar to sperm mosaics, with similar VAFs</w:t>
      </w:r>
      <w:r>
        <w:rPr>
          <w:rFonts w:ascii="Carlito" w:hAnsi="Carlito" w:cs="Carlito"/>
          <w:sz w:val="20"/>
          <w:szCs w:val="20"/>
          <w:lang w:val="en-GB"/>
        </w:rPr>
        <w:t xml:space="preserve">. Therefore, we can assume that </w:t>
      </w:r>
      <w:r w:rsidRPr="00290D36">
        <w:rPr>
          <w:rFonts w:ascii="CMMI10" w:hAnsi="CMMI10" w:cs="CMMI10"/>
          <w:i/>
          <w:iCs/>
          <w:sz w:val="20"/>
          <w:szCs w:val="20"/>
          <w:lang w:val="en-GB"/>
        </w:rPr>
        <w:t>N</w:t>
      </w:r>
      <w:r w:rsidRPr="00290D36">
        <w:rPr>
          <w:rFonts w:ascii="Carlito" w:hAnsi="Carlito" w:cs="Carlito"/>
          <w:sz w:val="14"/>
          <w:szCs w:val="14"/>
          <w:lang w:val="en-GB"/>
        </w:rPr>
        <w:t xml:space="preserve">at risk DNM from mother </w:t>
      </w:r>
      <w:r w:rsidRPr="00290D36">
        <w:rPr>
          <w:rFonts w:ascii="Carlito" w:hAnsi="Carlito" w:cs="Carlito"/>
          <w:sz w:val="20"/>
          <w:szCs w:val="20"/>
          <w:lang w:val="en-GB"/>
        </w:rPr>
        <w:t xml:space="preserve">and </w:t>
      </w:r>
      <w:r>
        <w:rPr>
          <w:rFonts w:ascii="CMMI10" w:hAnsi="CMMI10" w:cs="CMMI10"/>
          <w:i/>
          <w:iCs/>
          <w:sz w:val="20"/>
          <w:szCs w:val="20"/>
        </w:rPr>
        <w:t>μ</w:t>
      </w:r>
      <w:r w:rsidRPr="00290D36">
        <w:rPr>
          <w:rFonts w:ascii="Carlito" w:hAnsi="Carlito" w:cs="Carlito"/>
          <w:sz w:val="14"/>
          <w:szCs w:val="14"/>
          <w:lang w:val="en-GB"/>
        </w:rPr>
        <w:t xml:space="preserve">oocytes </w:t>
      </w:r>
      <w:r w:rsidRPr="00290D36">
        <w:rPr>
          <w:rFonts w:ascii="Carlito" w:hAnsi="Carlito" w:cs="Carlito"/>
          <w:sz w:val="20"/>
          <w:szCs w:val="20"/>
          <w:lang w:val="en-GB"/>
        </w:rPr>
        <w:t>can be retrieved from the paternal branch, namely:</w:t>
      </w:r>
    </w:p>
    <w:p w14:paraId="534B2EB1" w14:textId="77777777" w:rsidR="00290D36" w:rsidRDefault="00290D36" w:rsidP="00290D36">
      <w:pPr>
        <w:autoSpaceDE w:val="0"/>
        <w:autoSpaceDN w:val="0"/>
        <w:adjustRightInd w:val="0"/>
        <w:spacing w:after="0" w:line="240" w:lineRule="auto"/>
        <w:jc w:val="both"/>
        <w:rPr>
          <w:rFonts w:ascii="Carlito" w:hAnsi="Carlito" w:cs="Carlito"/>
          <w:sz w:val="20"/>
          <w:szCs w:val="20"/>
          <w:lang w:val="en-GB"/>
        </w:rPr>
      </w:pPr>
    </w:p>
    <w:p w14:paraId="6A41F034" w14:textId="064B1E9C" w:rsidR="00290D36" w:rsidRDefault="00290D36" w:rsidP="00290D36">
      <w:pPr>
        <w:autoSpaceDE w:val="0"/>
        <w:autoSpaceDN w:val="0"/>
        <w:adjustRightInd w:val="0"/>
        <w:spacing w:after="0" w:line="240" w:lineRule="auto"/>
        <w:jc w:val="both"/>
        <w:rPr>
          <w:rFonts w:ascii="Carlito" w:hAnsi="Carlito" w:cs="Carlito"/>
          <w:sz w:val="20"/>
          <w:szCs w:val="20"/>
          <w:lang w:val="en-GB"/>
        </w:rPr>
      </w:pPr>
      <w:r w:rsidRPr="008E15AA">
        <w:rPr>
          <w:noProof/>
          <w:lang w:eastAsia="fr-FR"/>
        </w:rPr>
        <w:drawing>
          <wp:inline distT="0" distB="0" distL="0" distR="0" wp14:anchorId="30546052" wp14:editId="75874EA0">
            <wp:extent cx="5758067" cy="344032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58367" b="28989"/>
                    <a:stretch/>
                  </pic:blipFill>
                  <pic:spPr bwMode="auto">
                    <a:xfrm>
                      <a:off x="0" y="0"/>
                      <a:ext cx="5760720" cy="344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E20624" w14:textId="7ABD6CC2" w:rsidR="00290D36" w:rsidRDefault="00290D36" w:rsidP="00290D36">
      <w:pPr>
        <w:autoSpaceDE w:val="0"/>
        <w:autoSpaceDN w:val="0"/>
        <w:adjustRightInd w:val="0"/>
        <w:spacing w:after="0" w:line="240" w:lineRule="auto"/>
        <w:jc w:val="both"/>
        <w:rPr>
          <w:rFonts w:ascii="Carlito" w:hAnsi="Carlito" w:cs="Carlito"/>
          <w:sz w:val="20"/>
          <w:szCs w:val="20"/>
          <w:lang w:val="en-GB"/>
        </w:rPr>
      </w:pPr>
    </w:p>
    <w:p w14:paraId="50025A38" w14:textId="4BEB5C86" w:rsidR="00290D36" w:rsidRPr="00290D36" w:rsidRDefault="00290D36" w:rsidP="00290D36">
      <w:pPr>
        <w:autoSpaceDE w:val="0"/>
        <w:autoSpaceDN w:val="0"/>
        <w:adjustRightInd w:val="0"/>
        <w:spacing w:after="0" w:line="240" w:lineRule="auto"/>
        <w:jc w:val="both"/>
        <w:rPr>
          <w:rFonts w:ascii="Carlito" w:hAnsi="Carlito" w:cs="Carlito"/>
          <w:sz w:val="20"/>
          <w:szCs w:val="20"/>
          <w:lang w:val="en-GB"/>
        </w:rPr>
      </w:pPr>
      <w:r w:rsidRPr="00290D36">
        <w:rPr>
          <w:rFonts w:ascii="Carlito" w:hAnsi="Carlito" w:cs="Carlito"/>
          <w:sz w:val="20"/>
          <w:szCs w:val="20"/>
          <w:lang w:val="en-GB"/>
        </w:rPr>
        <w:t>Eventually, only the paternal and maternal denominators vary between both equations, which leads to:</w:t>
      </w:r>
    </w:p>
    <w:p w14:paraId="31CE4609" w14:textId="6A85F6CC" w:rsidR="004F304C" w:rsidRPr="00290D36" w:rsidRDefault="008E15AA" w:rsidP="004C2C2D">
      <w:pPr>
        <w:jc w:val="both"/>
        <w:rPr>
          <w:lang w:val="en-GB"/>
        </w:rPr>
      </w:pPr>
      <w:r w:rsidRPr="008E15AA">
        <w:rPr>
          <w:noProof/>
          <w:lang w:eastAsia="fr-FR"/>
        </w:rPr>
        <w:drawing>
          <wp:inline distT="0" distB="0" distL="0" distR="0" wp14:anchorId="5EA7C945" wp14:editId="26F476D8">
            <wp:extent cx="5760290" cy="353085"/>
            <wp:effectExtent l="0" t="0" r="0" b="889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81314" b="5715"/>
                    <a:stretch/>
                  </pic:blipFill>
                  <pic:spPr bwMode="auto">
                    <a:xfrm>
                      <a:off x="0" y="0"/>
                      <a:ext cx="5760720" cy="3531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304C" w:rsidRPr="00290D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rlito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MI1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60868"/>
    <w:multiLevelType w:val="hybridMultilevel"/>
    <w:tmpl w:val="383CC2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fr-FR" w:vendorID="64" w:dllVersion="131078" w:nlCheck="1" w:checkStyle="0"/>
  <w:activeWritingStyle w:appName="MSWord" w:lang="en-GB" w:vendorID="64" w:dllVersion="131078" w:nlCheck="1" w:checkStyle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A2C"/>
    <w:rsid w:val="00070B06"/>
    <w:rsid w:val="00290D36"/>
    <w:rsid w:val="00306F5F"/>
    <w:rsid w:val="0033370A"/>
    <w:rsid w:val="003844FB"/>
    <w:rsid w:val="00435886"/>
    <w:rsid w:val="004378A6"/>
    <w:rsid w:val="004B5CE9"/>
    <w:rsid w:val="004C2C2D"/>
    <w:rsid w:val="004F304C"/>
    <w:rsid w:val="004F4F11"/>
    <w:rsid w:val="0054750A"/>
    <w:rsid w:val="005D3E3E"/>
    <w:rsid w:val="00640060"/>
    <w:rsid w:val="007D1A20"/>
    <w:rsid w:val="00802A2C"/>
    <w:rsid w:val="00884969"/>
    <w:rsid w:val="00885D0C"/>
    <w:rsid w:val="008E15AA"/>
    <w:rsid w:val="00A0413E"/>
    <w:rsid w:val="00A96FF9"/>
    <w:rsid w:val="00AC08EA"/>
    <w:rsid w:val="00AE1134"/>
    <w:rsid w:val="00B00FA5"/>
    <w:rsid w:val="00C71894"/>
    <w:rsid w:val="00DE5955"/>
    <w:rsid w:val="00E12B23"/>
    <w:rsid w:val="00EF1483"/>
    <w:rsid w:val="00F21DBC"/>
    <w:rsid w:val="00F85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40671"/>
  <w15:chartTrackingRefBased/>
  <w15:docId w15:val="{80139E02-C414-4705-A66B-3C8B99F72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84969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884969"/>
    <w:rPr>
      <w:b/>
      <w:bCs/>
    </w:rPr>
  </w:style>
  <w:style w:type="character" w:styleId="Marquedecommentaire">
    <w:name w:val="annotation reference"/>
    <w:basedOn w:val="Policepardfaut"/>
    <w:uiPriority w:val="99"/>
    <w:semiHidden/>
    <w:unhideWhenUsed/>
    <w:rsid w:val="0088496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8496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8496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8496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84969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849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84969"/>
    <w:rPr>
      <w:rFonts w:ascii="Segoe UI" w:hAnsi="Segoe UI" w:cs="Segoe UI"/>
      <w:sz w:val="18"/>
      <w:szCs w:val="18"/>
    </w:rPr>
  </w:style>
  <w:style w:type="character" w:customStyle="1" w:styleId="qv3wpe">
    <w:name w:val="qv3wpe"/>
    <w:basedOn w:val="Policepardfaut"/>
    <w:rsid w:val="00A0413E"/>
  </w:style>
  <w:style w:type="paragraph" w:styleId="Paragraphedeliste">
    <w:name w:val="List Paragraph"/>
    <w:basedOn w:val="Normal"/>
    <w:uiPriority w:val="34"/>
    <w:qFormat/>
    <w:rsid w:val="007D1A20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5D3E3E"/>
    <w:pPr>
      <w:spacing w:after="0" w:line="240" w:lineRule="auto"/>
      <w:contextualSpacing/>
    </w:pPr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D3E3E"/>
    <w:rPr>
      <w:rFonts w:ascii="Calibri Light" w:eastAsia="Times New Roman" w:hAnsi="Calibri Light" w:cs="Times New Roman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de-novo-risk.decode.i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Rouen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LECOQUIERRE, Francois</dc:creator>
  <cp:keywords/>
  <dc:description/>
  <cp:lastModifiedBy>LECOQUIERRE, Francois</cp:lastModifiedBy>
  <cp:revision>2</cp:revision>
  <dcterms:created xsi:type="dcterms:W3CDTF">2024-08-05T12:56:00Z</dcterms:created>
  <dcterms:modified xsi:type="dcterms:W3CDTF">2024-08-05T12:56:00Z</dcterms:modified>
</cp:coreProperties>
</file>