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rPr>
          <w:rFonts w:ascii="Arial" w:hAnsi="Arial" w:cs="Arial"/>
          <w:b/>
          <w:bCs/>
          <w:sz w:val="22"/>
          <w:szCs w:val="22"/>
        </w:rPr>
      </w:pPr>
      <w:bookmarkStart w:id="0" w:name="_GoBack"/>
      <w:bookmarkEnd w:id="0"/>
      <w:r>
        <w:rPr>
          <w:rFonts w:ascii="Arial" w:hAnsi="Arial" w:cs="Arial"/>
          <w:b/>
          <w:bCs/>
          <w:sz w:val="22"/>
          <w:szCs w:val="22"/>
        </w:rPr>
        <w:t>Supplementary figures</w:t>
      </w:r>
    </w:p>
    <w:p>
      <w:pPr>
        <w:spacing w:line="276" w:lineRule="auto"/>
        <w:rPr>
          <w:rFonts w:ascii="Arial" w:hAnsi="Arial" w:cs="Arial"/>
          <w:b/>
          <w:bCs/>
          <w:sz w:val="22"/>
          <w:szCs w:val="22"/>
        </w:rPr>
      </w:pPr>
      <w:r>
        <w:rPr>
          <w:rFonts w:ascii="Arial" w:hAnsi="Arial" w:cs="Arial"/>
          <w:b/>
          <w:bCs/>
          <w:sz w:val="22"/>
          <w:szCs w:val="22"/>
        </w:rPr>
        <w:drawing>
          <wp:inline distT="0" distB="0" distL="114300" distR="114300">
            <wp:extent cx="5707380" cy="8251825"/>
            <wp:effectExtent l="0" t="0" r="7620" b="8255"/>
            <wp:docPr id="1" name="图片 1" descr="D:\Users\wangy\Documents\WeChat Files\wxid_0ty2og6feeml22\FileStorage\File\2021-03\20210316\Figure-S1.pngFigur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Users\wangy\Documents\WeChat Files\wxid_0ty2og6feeml22\FileStorage\File\2021-03\20210316\Figure-S1.pngFigure-S1"/>
                    <pic:cNvPicPr>
                      <a:picLocks noChangeAspect="1"/>
                    </pic:cNvPicPr>
                  </pic:nvPicPr>
                  <pic:blipFill>
                    <a:blip r:embed="rId6"/>
                    <a:srcRect/>
                    <a:stretch>
                      <a:fillRect/>
                    </a:stretch>
                  </pic:blipFill>
                  <pic:spPr>
                    <a:xfrm>
                      <a:off x="0" y="0"/>
                      <a:ext cx="5707380" cy="8251825"/>
                    </a:xfrm>
                    <a:prstGeom prst="rect">
                      <a:avLst/>
                    </a:prstGeom>
                  </pic:spPr>
                </pic:pic>
              </a:graphicData>
            </a:graphic>
          </wp:inline>
        </w:drawing>
      </w:r>
    </w:p>
    <w:p>
      <w:pPr>
        <w:spacing w:line="276" w:lineRule="auto"/>
        <w:rPr>
          <w:rFonts w:ascii="Arial" w:hAnsi="Arial" w:cs="Arial"/>
          <w:sz w:val="22"/>
          <w:szCs w:val="22"/>
        </w:rPr>
      </w:pPr>
      <w:r>
        <w:rPr>
          <w:rFonts w:ascii="Arial" w:hAnsi="Arial" w:cs="Arial"/>
          <w:b/>
          <w:bCs/>
          <w:sz w:val="22"/>
          <w:szCs w:val="22"/>
        </w:rPr>
        <w:t>Figure S1. Spontaneous recovery of gut microbiota following antibiotics treatment in young mice, related to Figure 1.</w:t>
      </w:r>
      <w:r>
        <w:rPr>
          <w:rFonts w:hint="eastAsia" w:ascii="Arial" w:hAnsi="Arial" w:cs="Arial"/>
          <w:b/>
          <w:bCs/>
          <w:sz w:val="22"/>
          <w:szCs w:val="22"/>
        </w:rPr>
        <w:t xml:space="preserve"> </w:t>
      </w:r>
      <w:r>
        <w:rPr>
          <w:rFonts w:hint="eastAsia" w:ascii="Arial" w:hAnsi="Arial" w:cs="Arial"/>
          <w:bCs/>
          <w:sz w:val="22"/>
          <w:szCs w:val="22"/>
        </w:rPr>
        <w:t>(</w:t>
      </w:r>
      <w:r>
        <w:rPr>
          <w:rFonts w:hint="eastAsia" w:ascii="Arial" w:hAnsi="Arial" w:cs="Arial"/>
          <w:b/>
          <w:bCs/>
          <w:sz w:val="22"/>
          <w:szCs w:val="22"/>
        </w:rPr>
        <w:t>A</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 xml:space="preserve">Young mice were treated with the antibiotic cocktail on Day 1. Ctrl, Control; ABH, antibiotics-high dose; ABL, antibiotics-low dose; 20mo: 20-month-old mice. Circles are marked by time points (Day) of fecal sample collection. </w:t>
      </w:r>
      <w:r>
        <w:rPr>
          <w:rFonts w:hint="eastAsia" w:ascii="Arial" w:hAnsi="Arial" w:cs="Arial"/>
          <w:bCs/>
          <w:sz w:val="22"/>
          <w:szCs w:val="22"/>
        </w:rPr>
        <w:t>(</w:t>
      </w:r>
      <w:r>
        <w:rPr>
          <w:rFonts w:hint="eastAsia" w:ascii="Arial" w:hAnsi="Arial" w:cs="Arial"/>
          <w:b/>
          <w:bCs/>
          <w:sz w:val="22"/>
          <w:szCs w:val="22"/>
        </w:rPr>
        <w:t>B</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Total microbial load</w:t>
      </w:r>
      <w:r>
        <w:rPr>
          <w:rFonts w:hint="eastAsia" w:ascii="Arial" w:hAnsi="Arial" w:cs="Arial"/>
          <w:sz w:val="22"/>
          <w:szCs w:val="22"/>
        </w:rPr>
        <w:t xml:space="preserve"> (16S copy number log/gram)</w:t>
      </w:r>
      <w:r>
        <w:rPr>
          <w:rFonts w:ascii="Arial" w:hAnsi="Arial" w:cs="Arial"/>
          <w:sz w:val="22"/>
          <w:szCs w:val="22"/>
        </w:rPr>
        <w:t xml:space="preserve"> in fecal samples assayed by qPCR. </w:t>
      </w:r>
      <w:r>
        <w:rPr>
          <w:rFonts w:hint="eastAsia" w:ascii="Arial" w:hAnsi="Arial" w:cs="Arial"/>
          <w:bCs/>
          <w:sz w:val="22"/>
          <w:szCs w:val="22"/>
        </w:rPr>
        <w:t>(</w:t>
      </w:r>
      <w:r>
        <w:rPr>
          <w:rFonts w:hint="eastAsia" w:ascii="Arial" w:hAnsi="Arial" w:cs="Arial"/>
          <w:b/>
          <w:bCs/>
          <w:sz w:val="22"/>
          <w:szCs w:val="22"/>
        </w:rPr>
        <w:t>C</w:t>
      </w:r>
      <w:r>
        <w:rPr>
          <w:rFonts w:ascii="Arial" w:hAnsi="Arial" w:cs="Arial"/>
          <w:b/>
          <w:bCs/>
          <w:sz w:val="22"/>
          <w:szCs w:val="22"/>
        </w:rPr>
        <w:t>-</w:t>
      </w:r>
      <w:r>
        <w:rPr>
          <w:rFonts w:hint="eastAsia" w:ascii="Arial" w:hAnsi="Arial" w:cs="Arial"/>
          <w:b/>
          <w:bCs/>
          <w:sz w:val="22"/>
          <w:szCs w:val="22"/>
        </w:rPr>
        <w:t>D</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The number of observed species (</w:t>
      </w:r>
      <w:r>
        <w:rPr>
          <w:rFonts w:hint="eastAsia" w:ascii="Arial" w:hAnsi="Arial" w:cs="Arial"/>
          <w:b/>
          <w:bCs/>
          <w:sz w:val="22"/>
          <w:szCs w:val="22"/>
        </w:rPr>
        <w:t>C</w:t>
      </w:r>
      <w:r>
        <w:rPr>
          <w:rFonts w:ascii="Arial" w:hAnsi="Arial" w:cs="Arial"/>
          <w:sz w:val="22"/>
          <w:szCs w:val="22"/>
        </w:rPr>
        <w:t>) and the Shannon diversity index (</w:t>
      </w:r>
      <w:r>
        <w:rPr>
          <w:rFonts w:hint="eastAsia" w:ascii="Arial" w:hAnsi="Arial" w:cs="Arial"/>
          <w:b/>
          <w:bCs/>
          <w:sz w:val="22"/>
          <w:szCs w:val="22"/>
        </w:rPr>
        <w:t>D</w:t>
      </w:r>
      <w:r>
        <w:rPr>
          <w:rFonts w:ascii="Arial" w:hAnsi="Arial" w:cs="Arial"/>
          <w:sz w:val="22"/>
          <w:szCs w:val="22"/>
        </w:rPr>
        <w:t xml:space="preserve">) did not recover to the baseline level. Colored asterisks indicate statistically significant difference between the experimental groups and the control group. </w:t>
      </w:r>
      <w:r>
        <w:rPr>
          <w:rFonts w:hint="eastAsia" w:ascii="Arial" w:hAnsi="Arial" w:cs="Arial"/>
          <w:sz w:val="22"/>
          <w:szCs w:val="22"/>
        </w:rPr>
        <w:t xml:space="preserve">Error bar= SEM. </w:t>
      </w:r>
      <w:r>
        <w:rPr>
          <w:rFonts w:hint="eastAsia" w:ascii="Arial" w:hAnsi="Arial" w:cs="Arial"/>
          <w:bCs/>
          <w:sz w:val="22"/>
          <w:szCs w:val="22"/>
        </w:rPr>
        <w:t>(</w:t>
      </w:r>
      <w:r>
        <w:rPr>
          <w:rFonts w:hint="eastAsia" w:ascii="Arial" w:hAnsi="Arial" w:cs="Arial"/>
          <w:b/>
          <w:bCs/>
          <w:sz w:val="22"/>
          <w:szCs w:val="22"/>
        </w:rPr>
        <w:t>E-G</w:t>
      </w:r>
      <w:r>
        <w:rPr>
          <w:rFonts w:hint="eastAsia" w:ascii="Arial" w:hAnsi="Arial" w:cs="Arial"/>
          <w:bCs/>
          <w:sz w:val="22"/>
          <w:szCs w:val="22"/>
        </w:rPr>
        <w:t>)</w:t>
      </w:r>
      <w:r>
        <w:rPr>
          <w:rFonts w:ascii="Arial" w:hAnsi="Arial" w:cs="Arial"/>
          <w:sz w:val="22"/>
          <w:szCs w:val="22"/>
        </w:rPr>
        <w:t xml:space="preserve"> Changes in the relative abundance of microbial taxa during spontaneous recovery. </w:t>
      </w:r>
      <w:r>
        <w:rPr>
          <w:rFonts w:hint="eastAsia" w:ascii="Arial" w:hAnsi="Arial" w:cs="Arial"/>
          <w:sz w:val="22"/>
          <w:szCs w:val="22"/>
        </w:rPr>
        <w:t xml:space="preserve">O, order, F, family, G, genus. </w:t>
      </w:r>
      <w:r>
        <w:rPr>
          <w:rFonts w:hint="eastAsia" w:ascii="Arial" w:hAnsi="Arial" w:cs="Arial"/>
          <w:bCs/>
          <w:sz w:val="22"/>
          <w:szCs w:val="22"/>
        </w:rPr>
        <w:t>(</w:t>
      </w:r>
      <w:r>
        <w:rPr>
          <w:rFonts w:hint="eastAsia" w:ascii="Arial" w:hAnsi="Arial" w:cs="Arial"/>
          <w:b/>
          <w:bCs/>
          <w:sz w:val="22"/>
          <w:szCs w:val="22"/>
        </w:rPr>
        <w:t>H</w:t>
      </w:r>
      <w:r>
        <w:rPr>
          <w:rFonts w:ascii="Arial" w:hAnsi="Arial" w:cs="Arial"/>
          <w:b/>
          <w:bCs/>
          <w:sz w:val="22"/>
          <w:szCs w:val="22"/>
        </w:rPr>
        <w:t>-</w:t>
      </w:r>
      <w:r>
        <w:rPr>
          <w:rFonts w:hint="eastAsia" w:ascii="Arial" w:hAnsi="Arial" w:cs="Arial"/>
          <w:b/>
          <w:bCs/>
          <w:sz w:val="22"/>
          <w:szCs w:val="22"/>
        </w:rPr>
        <w:t>I</w:t>
      </w:r>
      <w:r>
        <w:rPr>
          <w:rFonts w:hint="eastAsia" w:ascii="Arial" w:hAnsi="Arial" w:cs="Arial"/>
          <w:bCs/>
          <w:sz w:val="22"/>
          <w:szCs w:val="22"/>
        </w:rPr>
        <w:t>)</w:t>
      </w:r>
      <w:r>
        <w:rPr>
          <w:rFonts w:ascii="Arial" w:hAnsi="Arial" w:cs="Arial"/>
          <w:sz w:val="22"/>
          <w:szCs w:val="22"/>
        </w:rPr>
        <w:t xml:space="preserve"> Principal Coordinate Analysis (PCoA) based on Bray-Curtis dissimilarity, showing the trajectory of microbiota composition for ABH (</w:t>
      </w:r>
      <w:r>
        <w:rPr>
          <w:rFonts w:hint="eastAsia" w:ascii="Arial" w:hAnsi="Arial" w:cs="Arial"/>
          <w:b/>
          <w:bCs/>
          <w:sz w:val="22"/>
          <w:szCs w:val="22"/>
        </w:rPr>
        <w:t>H</w:t>
      </w:r>
      <w:r>
        <w:rPr>
          <w:rFonts w:ascii="Arial" w:hAnsi="Arial" w:cs="Arial"/>
          <w:sz w:val="22"/>
          <w:szCs w:val="22"/>
        </w:rPr>
        <w:t>) and ABL (</w:t>
      </w:r>
      <w:r>
        <w:rPr>
          <w:rFonts w:hint="eastAsia" w:ascii="Arial" w:hAnsi="Arial" w:cs="Arial"/>
          <w:b/>
          <w:bCs/>
          <w:sz w:val="22"/>
          <w:szCs w:val="22"/>
        </w:rPr>
        <w:t>I</w:t>
      </w:r>
      <w:r>
        <w:rPr>
          <w:rFonts w:ascii="Arial" w:hAnsi="Arial" w:cs="Arial"/>
          <w:sz w:val="22"/>
          <w:szCs w:val="22"/>
        </w:rPr>
        <w:t>) groups. Baseline (black</w:t>
      </w:r>
      <w:r>
        <w:rPr>
          <w:rFonts w:hint="eastAsia" w:ascii="Arial" w:hAnsi="Arial" w:cs="Arial"/>
          <w:sz w:val="22"/>
          <w:szCs w:val="22"/>
        </w:rPr>
        <w:t xml:space="preserve"> cross</w:t>
      </w:r>
      <w:r>
        <w:rPr>
          <w:rFonts w:ascii="Arial" w:hAnsi="Arial" w:cs="Arial"/>
          <w:sz w:val="22"/>
          <w:szCs w:val="22"/>
        </w:rPr>
        <w:t xml:space="preserve">) indicates the microbiota composition averaged over young mice in the control group from </w:t>
      </w:r>
      <w:r>
        <w:rPr>
          <w:rFonts w:hint="eastAsia" w:ascii="Arial" w:hAnsi="Arial" w:cs="Arial"/>
          <w:sz w:val="22"/>
          <w:szCs w:val="22"/>
        </w:rPr>
        <w:t>D</w:t>
      </w:r>
      <w:r>
        <w:rPr>
          <w:rFonts w:ascii="Arial" w:hAnsi="Arial" w:cs="Arial"/>
          <w:sz w:val="22"/>
          <w:szCs w:val="22"/>
        </w:rPr>
        <w:t>ay</w:t>
      </w:r>
      <w:r>
        <w:rPr>
          <w:rFonts w:hint="eastAsia" w:ascii="Arial" w:hAnsi="Arial" w:cs="Arial"/>
          <w:sz w:val="22"/>
          <w:szCs w:val="22"/>
        </w:rPr>
        <w:t xml:space="preserve"> </w:t>
      </w:r>
      <w:r>
        <w:rPr>
          <w:rFonts w:ascii="Arial" w:hAnsi="Arial" w:cs="Arial"/>
          <w:sz w:val="22"/>
          <w:szCs w:val="22"/>
        </w:rPr>
        <w:t xml:space="preserve">1 to </w:t>
      </w:r>
      <w:r>
        <w:rPr>
          <w:rFonts w:hint="eastAsia" w:ascii="Arial" w:hAnsi="Arial" w:cs="Arial"/>
          <w:sz w:val="22"/>
          <w:szCs w:val="22"/>
        </w:rPr>
        <w:t>D</w:t>
      </w:r>
      <w:r>
        <w:rPr>
          <w:rFonts w:ascii="Arial" w:hAnsi="Arial" w:cs="Arial"/>
          <w:sz w:val="22"/>
          <w:szCs w:val="22"/>
        </w:rPr>
        <w:t>ay</w:t>
      </w:r>
      <w:r>
        <w:rPr>
          <w:rFonts w:hint="eastAsia" w:ascii="Arial" w:hAnsi="Arial" w:cs="Arial"/>
          <w:sz w:val="22"/>
          <w:szCs w:val="22"/>
        </w:rPr>
        <w:t xml:space="preserve"> 56</w:t>
      </w:r>
      <w:r>
        <w:rPr>
          <w:rFonts w:ascii="Arial" w:hAnsi="Arial" w:cs="Arial"/>
          <w:sz w:val="22"/>
          <w:szCs w:val="22"/>
        </w:rPr>
        <w:t xml:space="preserve">. </w:t>
      </w:r>
      <w:r>
        <w:rPr>
          <w:rFonts w:hint="eastAsia" w:ascii="Arial" w:hAnsi="Arial" w:cs="Arial"/>
          <w:sz w:val="22"/>
          <w:szCs w:val="22"/>
        </w:rPr>
        <w:t xml:space="preserve">For each time point, the central </w:t>
      </w:r>
      <w:r>
        <w:rPr>
          <w:rFonts w:ascii="Arial" w:hAnsi="Arial" w:cs="Arial"/>
          <w:sz w:val="22"/>
          <w:szCs w:val="22"/>
        </w:rPr>
        <w:t xml:space="preserve">black </w:t>
      </w:r>
      <w:r>
        <w:rPr>
          <w:rFonts w:hint="eastAsia" w:ascii="Arial" w:hAnsi="Arial" w:cs="Arial"/>
          <w:sz w:val="22"/>
          <w:szCs w:val="22"/>
        </w:rPr>
        <w:t>dot i</w:t>
      </w:r>
      <w:r>
        <w:rPr>
          <w:rFonts w:ascii="Arial" w:hAnsi="Arial" w:cs="Arial"/>
          <w:sz w:val="22"/>
          <w:szCs w:val="22"/>
        </w:rPr>
        <w:t>ndicates</w:t>
      </w:r>
      <w:r>
        <w:rPr>
          <w:rFonts w:hint="eastAsia" w:ascii="Arial" w:hAnsi="Arial" w:cs="Arial"/>
          <w:sz w:val="22"/>
          <w:szCs w:val="22"/>
        </w:rPr>
        <w:t xml:space="preserve"> the average of 5 mice</w:t>
      </w:r>
      <w:r>
        <w:rPr>
          <w:rFonts w:ascii="Arial" w:hAnsi="Arial" w:cs="Arial"/>
          <w:sz w:val="22"/>
          <w:szCs w:val="22"/>
        </w:rPr>
        <w:t xml:space="preserve"> and</w:t>
      </w:r>
      <w:r>
        <w:rPr>
          <w:rFonts w:hint="eastAsia" w:ascii="Arial" w:hAnsi="Arial" w:cs="Arial"/>
          <w:sz w:val="22"/>
          <w:szCs w:val="22"/>
        </w:rPr>
        <w:t xml:space="preserve"> the </w:t>
      </w:r>
      <w:r>
        <w:rPr>
          <w:rFonts w:ascii="Arial" w:hAnsi="Arial" w:cs="Arial"/>
          <w:sz w:val="22"/>
          <w:szCs w:val="22"/>
        </w:rPr>
        <w:t xml:space="preserve">colored </w:t>
      </w:r>
      <w:r>
        <w:rPr>
          <w:rFonts w:hint="eastAsia" w:ascii="Arial" w:hAnsi="Arial" w:cs="Arial"/>
          <w:sz w:val="22"/>
          <w:szCs w:val="22"/>
        </w:rPr>
        <w:t>lin</w:t>
      </w:r>
      <w:r>
        <w:rPr>
          <w:rFonts w:ascii="Arial" w:hAnsi="Arial" w:cs="Arial"/>
          <w:sz w:val="22"/>
          <w:szCs w:val="22"/>
        </w:rPr>
        <w:t>es</w:t>
      </w:r>
      <w:r>
        <w:rPr>
          <w:rFonts w:hint="eastAsia" w:ascii="Arial" w:hAnsi="Arial" w:cs="Arial"/>
          <w:sz w:val="22"/>
          <w:szCs w:val="22"/>
        </w:rPr>
        <w:t xml:space="preserve"> connect replicate samples.</w:t>
      </w:r>
      <w:r>
        <w:rPr>
          <w:rFonts w:ascii="Arial" w:hAnsi="Arial" w:cs="Arial"/>
          <w:sz w:val="22"/>
          <w:szCs w:val="22"/>
        </w:rPr>
        <w:t xml:space="preserve"> </w:t>
      </w:r>
      <w:r>
        <w:rPr>
          <w:rFonts w:hint="eastAsia" w:ascii="Arial" w:hAnsi="Arial" w:cs="Arial"/>
          <w:bCs/>
          <w:sz w:val="22"/>
          <w:szCs w:val="22"/>
        </w:rPr>
        <w:t>(</w:t>
      </w:r>
      <w:r>
        <w:rPr>
          <w:rFonts w:hint="eastAsia" w:ascii="Arial" w:hAnsi="Arial" w:cs="Arial"/>
          <w:b/>
          <w:bCs/>
          <w:sz w:val="22"/>
          <w:szCs w:val="22"/>
        </w:rPr>
        <w:t>J</w:t>
      </w:r>
      <w:r>
        <w:rPr>
          <w:rFonts w:hint="eastAsia" w:ascii="Arial" w:hAnsi="Arial" w:cs="Arial"/>
          <w:bCs/>
          <w:sz w:val="22"/>
          <w:szCs w:val="22"/>
        </w:rPr>
        <w:t>)</w:t>
      </w:r>
      <w:r>
        <w:rPr>
          <w:rFonts w:ascii="Arial" w:hAnsi="Arial" w:cs="Arial"/>
          <w:sz w:val="22"/>
          <w:szCs w:val="22"/>
        </w:rPr>
        <w:t xml:space="preserve"> </w:t>
      </w:r>
      <w:r>
        <w:rPr>
          <w:rFonts w:hint="eastAsia" w:ascii="Arial" w:hAnsi="Arial" w:cs="Arial"/>
          <w:sz w:val="22"/>
          <w:szCs w:val="22"/>
        </w:rPr>
        <w:t>Bray-Curtis dissimilarit</w:t>
      </w:r>
      <w:r>
        <w:rPr>
          <w:rFonts w:ascii="Arial" w:hAnsi="Arial" w:cs="Arial"/>
          <w:sz w:val="22"/>
          <w:szCs w:val="22"/>
        </w:rPr>
        <w:t>y between the gut microbiota composition on Day 56 and the Baseline composition. N=5 for each time points. The FDR-adjusted P values are shown between various treatment groups (two-sided Wilcoxon signed-rank test). *</w:t>
      </w:r>
      <w:r>
        <w:rPr>
          <w:rFonts w:ascii="Arial" w:hAnsi="Arial" w:cs="Arial"/>
          <w:i/>
          <w:iCs/>
          <w:sz w:val="22"/>
          <w:szCs w:val="22"/>
        </w:rPr>
        <w:t>P</w:t>
      </w:r>
      <w:r>
        <w:rPr>
          <w:rFonts w:ascii="Arial" w:hAnsi="Arial" w:cs="Arial"/>
          <w:sz w:val="22"/>
          <w:szCs w:val="22"/>
        </w:rPr>
        <w:t xml:space="preserve"> &lt; 0.05 **</w:t>
      </w:r>
      <w:r>
        <w:rPr>
          <w:rFonts w:ascii="Arial" w:hAnsi="Arial" w:cs="Arial"/>
          <w:i/>
          <w:iCs/>
          <w:sz w:val="22"/>
          <w:szCs w:val="22"/>
        </w:rPr>
        <w:t>P</w:t>
      </w:r>
      <w:r>
        <w:rPr>
          <w:rFonts w:ascii="Arial" w:hAnsi="Arial" w:cs="Arial"/>
          <w:sz w:val="22"/>
          <w:szCs w:val="22"/>
        </w:rPr>
        <w:t>&lt;0.01, ***</w:t>
      </w:r>
      <w:r>
        <w:rPr>
          <w:rFonts w:ascii="Arial" w:hAnsi="Arial" w:cs="Arial"/>
          <w:i/>
          <w:iCs/>
          <w:sz w:val="22"/>
          <w:szCs w:val="22"/>
        </w:rPr>
        <w:t>P</w:t>
      </w:r>
      <w:r>
        <w:rPr>
          <w:rFonts w:ascii="Arial" w:hAnsi="Arial" w:cs="Arial"/>
          <w:sz w:val="22"/>
          <w:szCs w:val="22"/>
        </w:rPr>
        <w:t>&lt;0.001. Some differences were observed between the restoration process in young and aged mice. For example, there were no difference in the effects on microbiota diversity between high-dose and low-dose antibiotics in aged mice (</w:t>
      </w:r>
      <w:r>
        <w:rPr>
          <w:rFonts w:ascii="Arial" w:hAnsi="Arial" w:cs="Arial"/>
          <w:b/>
          <w:bCs/>
          <w:sz w:val="22"/>
          <w:szCs w:val="22"/>
        </w:rPr>
        <w:t>Fig</w:t>
      </w:r>
      <w:r>
        <w:rPr>
          <w:rFonts w:hint="eastAsia" w:ascii="Arial" w:hAnsi="Arial" w:cs="Arial"/>
          <w:b/>
          <w:bCs/>
          <w:sz w:val="22"/>
          <w:szCs w:val="22"/>
        </w:rPr>
        <w:t xml:space="preserve">ure </w:t>
      </w:r>
      <w:r>
        <w:rPr>
          <w:rFonts w:ascii="Arial" w:hAnsi="Arial" w:cs="Arial"/>
          <w:b/>
          <w:bCs/>
          <w:sz w:val="22"/>
          <w:szCs w:val="22"/>
        </w:rPr>
        <w:t>1</w:t>
      </w:r>
      <w:r>
        <w:rPr>
          <w:rFonts w:hint="eastAsia" w:ascii="Arial" w:hAnsi="Arial" w:cs="Arial"/>
          <w:b/>
          <w:bCs/>
          <w:sz w:val="22"/>
          <w:szCs w:val="22"/>
        </w:rPr>
        <w:t>C</w:t>
      </w:r>
      <w:r>
        <w:rPr>
          <w:rFonts w:ascii="Arial" w:hAnsi="Arial" w:cs="Arial"/>
          <w:b/>
          <w:bCs/>
          <w:sz w:val="22"/>
          <w:szCs w:val="22"/>
        </w:rPr>
        <w:t>-</w:t>
      </w:r>
      <w:r>
        <w:rPr>
          <w:rFonts w:hint="eastAsia" w:ascii="Arial" w:hAnsi="Arial" w:cs="Arial"/>
          <w:b/>
          <w:bCs/>
          <w:sz w:val="22"/>
          <w:szCs w:val="22"/>
        </w:rPr>
        <w:t>D</w:t>
      </w:r>
      <w:r>
        <w:rPr>
          <w:rFonts w:ascii="Arial" w:hAnsi="Arial" w:cs="Arial"/>
          <w:sz w:val="22"/>
          <w:szCs w:val="22"/>
        </w:rPr>
        <w:t>). By contrast, in young mice, the reduction and recovery of microbiota diversity in ABH and ABL groups were different (</w:t>
      </w:r>
      <w:r>
        <w:rPr>
          <w:rFonts w:ascii="Arial" w:hAnsi="Arial" w:cs="Arial"/>
          <w:b/>
          <w:bCs/>
          <w:sz w:val="22"/>
          <w:szCs w:val="22"/>
        </w:rPr>
        <w:t>Fig</w:t>
      </w:r>
      <w:r>
        <w:rPr>
          <w:rFonts w:hint="eastAsia" w:ascii="Arial" w:hAnsi="Arial" w:cs="Arial"/>
          <w:b/>
          <w:bCs/>
          <w:sz w:val="22"/>
          <w:szCs w:val="22"/>
        </w:rPr>
        <w:t xml:space="preserve">ure </w:t>
      </w:r>
      <w:r>
        <w:rPr>
          <w:rFonts w:ascii="Arial" w:hAnsi="Arial" w:cs="Arial"/>
          <w:b/>
          <w:bCs/>
          <w:sz w:val="22"/>
          <w:szCs w:val="22"/>
        </w:rPr>
        <w:t>S1</w:t>
      </w:r>
      <w:r>
        <w:rPr>
          <w:rFonts w:hint="eastAsia" w:ascii="Arial" w:hAnsi="Arial" w:cs="Arial"/>
          <w:b/>
          <w:bCs/>
          <w:sz w:val="22"/>
          <w:szCs w:val="22"/>
        </w:rPr>
        <w:t>C</w:t>
      </w:r>
      <w:r>
        <w:rPr>
          <w:rFonts w:ascii="Arial" w:hAnsi="Arial" w:cs="Arial"/>
          <w:b/>
          <w:bCs/>
          <w:sz w:val="22"/>
          <w:szCs w:val="22"/>
        </w:rPr>
        <w:t>-</w:t>
      </w:r>
      <w:r>
        <w:rPr>
          <w:rFonts w:hint="eastAsia" w:ascii="Arial" w:hAnsi="Arial" w:cs="Arial"/>
          <w:b/>
          <w:bCs/>
          <w:sz w:val="22"/>
          <w:szCs w:val="22"/>
        </w:rPr>
        <w:t>D</w:t>
      </w:r>
      <w:r>
        <w:rPr>
          <w:rFonts w:ascii="Arial" w:hAnsi="Arial" w:cs="Arial"/>
          <w:sz w:val="22"/>
          <w:szCs w:val="22"/>
        </w:rPr>
        <w:t>). However, in young mice the gut microbiota after spontaneous recovery showed no differences between AB</w:t>
      </w:r>
      <w:r>
        <w:rPr>
          <w:rFonts w:hint="eastAsia" w:ascii="Arial" w:hAnsi="Arial" w:cs="Arial"/>
          <w:sz w:val="22"/>
          <w:szCs w:val="22"/>
        </w:rPr>
        <w:t>H</w:t>
      </w:r>
      <w:r>
        <w:rPr>
          <w:rFonts w:ascii="Arial" w:hAnsi="Arial" w:cs="Arial"/>
          <w:sz w:val="22"/>
          <w:szCs w:val="22"/>
        </w:rPr>
        <w:t xml:space="preserve"> and AB</w:t>
      </w:r>
      <w:r>
        <w:rPr>
          <w:rFonts w:hint="eastAsia" w:ascii="Arial" w:hAnsi="Arial" w:cs="Arial"/>
          <w:sz w:val="22"/>
          <w:szCs w:val="22"/>
        </w:rPr>
        <w:t>L</w:t>
      </w:r>
      <w:r>
        <w:rPr>
          <w:rFonts w:ascii="Arial" w:hAnsi="Arial" w:cs="Arial"/>
          <w:sz w:val="22"/>
          <w:szCs w:val="22"/>
        </w:rPr>
        <w:t xml:space="preserve"> groups on Day 56 (</w:t>
      </w:r>
      <w:r>
        <w:rPr>
          <w:rFonts w:ascii="Arial" w:hAnsi="Arial" w:cs="Arial"/>
          <w:b/>
          <w:bCs/>
          <w:sz w:val="22"/>
          <w:szCs w:val="22"/>
        </w:rPr>
        <w:t>Fig</w:t>
      </w:r>
      <w:r>
        <w:rPr>
          <w:rFonts w:hint="eastAsia" w:ascii="Arial" w:hAnsi="Arial" w:cs="Arial"/>
          <w:b/>
          <w:bCs/>
          <w:sz w:val="22"/>
          <w:szCs w:val="22"/>
        </w:rPr>
        <w:t xml:space="preserve">ure </w:t>
      </w:r>
      <w:r>
        <w:rPr>
          <w:rFonts w:ascii="Arial" w:hAnsi="Arial" w:cs="Arial"/>
          <w:b/>
          <w:bCs/>
          <w:sz w:val="22"/>
          <w:szCs w:val="22"/>
        </w:rPr>
        <w:t>S1</w:t>
      </w:r>
      <w:r>
        <w:rPr>
          <w:rFonts w:hint="eastAsia" w:ascii="Arial" w:hAnsi="Arial" w:cs="Arial"/>
          <w:b/>
          <w:bCs/>
          <w:sz w:val="22"/>
          <w:szCs w:val="22"/>
        </w:rPr>
        <w:t>G</w:t>
      </w:r>
      <w:r>
        <w:rPr>
          <w:rFonts w:ascii="Arial" w:hAnsi="Arial" w:cs="Arial"/>
          <w:sz w:val="22"/>
          <w:szCs w:val="22"/>
        </w:rPr>
        <w:t>), whereas in aged mice the difference is significant (</w:t>
      </w:r>
      <w:r>
        <w:rPr>
          <w:rFonts w:ascii="Arial" w:hAnsi="Arial" w:cs="Arial"/>
          <w:b/>
          <w:bCs/>
          <w:sz w:val="22"/>
          <w:szCs w:val="22"/>
        </w:rPr>
        <w:t>Fig</w:t>
      </w:r>
      <w:r>
        <w:rPr>
          <w:rFonts w:hint="eastAsia" w:ascii="Arial" w:hAnsi="Arial" w:cs="Arial"/>
          <w:b/>
          <w:bCs/>
          <w:sz w:val="22"/>
          <w:szCs w:val="22"/>
        </w:rPr>
        <w:t xml:space="preserve">ure </w:t>
      </w:r>
      <w:r>
        <w:rPr>
          <w:rFonts w:ascii="Arial" w:hAnsi="Arial" w:cs="Arial"/>
          <w:b/>
          <w:bCs/>
          <w:sz w:val="22"/>
          <w:szCs w:val="22"/>
        </w:rPr>
        <w:t>1</w:t>
      </w:r>
      <w:r>
        <w:rPr>
          <w:rFonts w:hint="eastAsia" w:ascii="Arial" w:hAnsi="Arial" w:cs="Arial"/>
          <w:b/>
          <w:bCs/>
          <w:sz w:val="22"/>
          <w:szCs w:val="22"/>
        </w:rPr>
        <w:t>G</w:t>
      </w:r>
      <w:r>
        <w:rPr>
          <w:rFonts w:ascii="Arial" w:hAnsi="Arial" w:cs="Arial"/>
          <w:sz w:val="22"/>
          <w:szCs w:val="22"/>
        </w:rPr>
        <w:t xml:space="preserve">). </w:t>
      </w:r>
      <w:r>
        <w:rPr>
          <w:rFonts w:ascii="Arial" w:hAnsi="Arial" w:cs="Arial"/>
          <w:sz w:val="22"/>
          <w:szCs w:val="22"/>
        </w:rPr>
        <w:br w:type="page"/>
      </w:r>
      <w:r>
        <w:rPr>
          <w:rFonts w:ascii="Arial" w:hAnsi="Arial" w:cs="Arial"/>
          <w:sz w:val="22"/>
          <w:szCs w:val="22"/>
        </w:rPr>
        <w:drawing>
          <wp:inline distT="0" distB="0" distL="114300" distR="114300">
            <wp:extent cx="5767070" cy="1903730"/>
            <wp:effectExtent l="0" t="0" r="8890" b="1270"/>
            <wp:docPr id="7" name="图片 7" descr="D:\Users\wangy\Documents\WeChat Files\wxid_0ty2og6feeml22\FileStorage\File\2021-03\20210316\Figure-S2.pngFigur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Users\wangy\Documents\WeChat Files\wxid_0ty2og6feeml22\FileStorage\File\2021-03\20210316\Figure-S2.pngFigure-S2"/>
                    <pic:cNvPicPr>
                      <a:picLocks noChangeAspect="1"/>
                    </pic:cNvPicPr>
                  </pic:nvPicPr>
                  <pic:blipFill>
                    <a:blip r:embed="rId7"/>
                    <a:srcRect b="17402"/>
                    <a:stretch>
                      <a:fillRect/>
                    </a:stretch>
                  </pic:blipFill>
                  <pic:spPr>
                    <a:xfrm>
                      <a:off x="0" y="0"/>
                      <a:ext cx="5767070" cy="1903730"/>
                    </a:xfrm>
                    <a:prstGeom prst="rect">
                      <a:avLst/>
                    </a:prstGeom>
                  </pic:spPr>
                </pic:pic>
              </a:graphicData>
            </a:graphic>
          </wp:inline>
        </w:drawing>
      </w:r>
    </w:p>
    <w:p>
      <w:pPr>
        <w:spacing w:line="276" w:lineRule="auto"/>
        <w:rPr>
          <w:rFonts w:ascii="Arial" w:hAnsi="Arial" w:cs="Arial"/>
          <w:sz w:val="22"/>
          <w:szCs w:val="22"/>
        </w:rPr>
      </w:pPr>
      <w:r>
        <w:rPr>
          <w:rFonts w:ascii="Arial" w:hAnsi="Arial" w:cs="Arial"/>
          <w:b/>
          <w:bCs/>
          <w:sz w:val="22"/>
          <w:szCs w:val="22"/>
        </w:rPr>
        <w:t xml:space="preserve">Figure S2. Changes in the absolute abundance of bacteria taxa following antibiotics treatment, related to Figure 1. </w:t>
      </w:r>
      <w:r>
        <w:rPr>
          <w:rFonts w:ascii="Arial" w:hAnsi="Arial" w:cs="Arial"/>
          <w:sz w:val="22"/>
          <w:szCs w:val="22"/>
        </w:rPr>
        <w:t>The absolute abundance of bacteria taxa in the AB</w:t>
      </w:r>
      <w:r>
        <w:rPr>
          <w:rFonts w:hint="eastAsia" w:ascii="Arial" w:hAnsi="Arial" w:cs="Arial"/>
          <w:sz w:val="22"/>
          <w:szCs w:val="22"/>
        </w:rPr>
        <w:t>H</w:t>
      </w:r>
      <w:r>
        <w:rPr>
          <w:rFonts w:ascii="Arial" w:hAnsi="Arial" w:cs="Arial"/>
          <w:sz w:val="22"/>
          <w:szCs w:val="22"/>
        </w:rPr>
        <w:t xml:space="preserve"> (high-dose antibiotics)</w:t>
      </w:r>
      <w:r>
        <w:rPr>
          <w:rFonts w:ascii="Arial" w:hAnsi="Arial" w:cs="Arial"/>
          <w:b/>
          <w:bCs/>
          <w:sz w:val="22"/>
          <w:szCs w:val="22"/>
        </w:rPr>
        <w:t xml:space="preserve"> </w:t>
      </w:r>
      <w:r>
        <w:rPr>
          <w:rFonts w:hint="eastAsia" w:ascii="Arial" w:hAnsi="Arial" w:cs="Arial"/>
          <w:bCs/>
          <w:sz w:val="22"/>
          <w:szCs w:val="22"/>
        </w:rPr>
        <w:t>(</w:t>
      </w:r>
      <w:r>
        <w:rPr>
          <w:rFonts w:hint="eastAsia" w:ascii="Arial" w:hAnsi="Arial" w:cs="Arial"/>
          <w:b/>
          <w:bCs/>
          <w:sz w:val="22"/>
          <w:szCs w:val="22"/>
        </w:rPr>
        <w:t>A</w:t>
      </w:r>
      <w:r>
        <w:rPr>
          <w:rFonts w:hint="eastAsia" w:ascii="Arial" w:hAnsi="Arial" w:cs="Arial"/>
          <w:bCs/>
          <w:sz w:val="22"/>
          <w:szCs w:val="22"/>
        </w:rPr>
        <w:t>)</w:t>
      </w:r>
      <w:r>
        <w:rPr>
          <w:rFonts w:ascii="Arial" w:hAnsi="Arial" w:cs="Arial"/>
          <w:sz w:val="22"/>
          <w:szCs w:val="22"/>
        </w:rPr>
        <w:t xml:space="preserve"> and AB</w:t>
      </w:r>
      <w:r>
        <w:rPr>
          <w:rFonts w:hint="eastAsia" w:ascii="Arial" w:hAnsi="Arial" w:cs="Arial"/>
          <w:sz w:val="22"/>
          <w:szCs w:val="22"/>
        </w:rPr>
        <w:t>L</w:t>
      </w:r>
      <w:r>
        <w:rPr>
          <w:rFonts w:ascii="Arial" w:hAnsi="Arial" w:cs="Arial"/>
          <w:sz w:val="22"/>
          <w:szCs w:val="22"/>
        </w:rPr>
        <w:t xml:space="preserve"> (low-dose antibiotics) </w:t>
      </w:r>
      <w:r>
        <w:rPr>
          <w:rFonts w:hint="eastAsia" w:ascii="Arial" w:hAnsi="Arial" w:cs="Arial"/>
          <w:bCs/>
          <w:sz w:val="22"/>
          <w:szCs w:val="22"/>
        </w:rPr>
        <w:t>(</w:t>
      </w:r>
      <w:r>
        <w:rPr>
          <w:rFonts w:hint="eastAsia" w:ascii="Arial" w:hAnsi="Arial" w:cs="Arial"/>
          <w:b/>
          <w:bCs/>
          <w:sz w:val="22"/>
          <w:szCs w:val="22"/>
        </w:rPr>
        <w:t>B</w:t>
      </w:r>
      <w:r>
        <w:rPr>
          <w:rFonts w:hint="eastAsia" w:ascii="Arial" w:hAnsi="Arial" w:cs="Arial"/>
          <w:bCs/>
          <w:sz w:val="22"/>
          <w:szCs w:val="22"/>
        </w:rPr>
        <w:t>)</w:t>
      </w:r>
      <w:r>
        <w:rPr>
          <w:rFonts w:ascii="Arial" w:hAnsi="Arial" w:cs="Arial"/>
          <w:sz w:val="22"/>
          <w:szCs w:val="22"/>
        </w:rPr>
        <w:t xml:space="preserve"> groups. The absolute abundance was calculated by multiplying the relative abundance of each bacterial taxa with the total bacteria load (see Methods). A recent investigation by Chng et al. showed that the microbiota recovery after antibiotics treatment followed a “secondary succession” pattern in which primary species degrading complex substrates like polysaccharide grows fast and enables the increases of secondary species that produces short-chain fatty acid, followed by the final increase of tertiary species that promotes the diversity of the microbiota during the later stages of succession</w:t>
      </w:r>
      <w:r>
        <w:rPr>
          <w:rFonts w:hint="eastAsia" w:ascii="Arial" w:hAnsi="Arial" w:cs="Arial"/>
          <w:sz w:val="22"/>
          <w:szCs w:val="22"/>
          <w:vertAlign w:val="superscript"/>
        </w:rPr>
        <w:t>25,26</w:t>
      </w:r>
      <w:r>
        <w:rPr>
          <w:rFonts w:ascii="Arial" w:hAnsi="Arial" w:cs="Arial"/>
          <w:sz w:val="22"/>
          <w:szCs w:val="22"/>
        </w:rPr>
        <w:t xml:space="preserve">. Based on the conditional co-occurrence analysis, the investigators identified some taxa as “recovery associated bacterial (RAB) species” whose presence were indispensable for the recovery. Some of the RAB species were also seen in our present study of aged and young mice, such as an early increase in </w:t>
      </w:r>
      <w:r>
        <w:rPr>
          <w:rFonts w:ascii="Arial" w:hAnsi="Arial" w:cs="Arial"/>
          <w:i/>
          <w:iCs/>
          <w:sz w:val="22"/>
          <w:szCs w:val="22"/>
        </w:rPr>
        <w:t>Bacteroides</w:t>
      </w:r>
      <w:r>
        <w:rPr>
          <w:rFonts w:ascii="Arial" w:hAnsi="Arial" w:cs="Arial"/>
          <w:sz w:val="22"/>
          <w:szCs w:val="22"/>
        </w:rPr>
        <w:t xml:space="preserve"> and </w:t>
      </w:r>
      <w:r>
        <w:rPr>
          <w:rFonts w:ascii="Arial" w:hAnsi="Arial" w:cs="Arial"/>
          <w:i/>
          <w:iCs/>
          <w:sz w:val="22"/>
          <w:szCs w:val="22"/>
        </w:rPr>
        <w:t>Alistipes</w:t>
      </w:r>
      <w:r>
        <w:rPr>
          <w:rFonts w:ascii="Arial" w:hAnsi="Arial" w:cs="Arial"/>
          <w:sz w:val="22"/>
          <w:szCs w:val="22"/>
        </w:rPr>
        <w:t xml:space="preserve"> (</w:t>
      </w:r>
      <w:r>
        <w:rPr>
          <w:rFonts w:ascii="Arial" w:hAnsi="Arial" w:cs="Arial"/>
          <w:b/>
          <w:bCs/>
          <w:sz w:val="22"/>
          <w:szCs w:val="22"/>
        </w:rPr>
        <w:t>Fig</w:t>
      </w:r>
      <w:r>
        <w:rPr>
          <w:rFonts w:hint="eastAsia" w:ascii="Arial" w:hAnsi="Arial" w:cs="Arial"/>
          <w:b/>
          <w:bCs/>
          <w:sz w:val="22"/>
          <w:szCs w:val="22"/>
        </w:rPr>
        <w:t>ure</w:t>
      </w:r>
      <w:r>
        <w:rPr>
          <w:rFonts w:ascii="Arial" w:hAnsi="Arial" w:cs="Arial"/>
          <w:b/>
          <w:bCs/>
          <w:sz w:val="22"/>
          <w:szCs w:val="22"/>
        </w:rPr>
        <w:t xml:space="preserve"> 1, Fig</w:t>
      </w:r>
      <w:r>
        <w:rPr>
          <w:rFonts w:hint="eastAsia" w:ascii="Arial" w:hAnsi="Arial" w:cs="Arial"/>
          <w:b/>
          <w:bCs/>
          <w:sz w:val="22"/>
          <w:szCs w:val="22"/>
        </w:rPr>
        <w:t>ure</w:t>
      </w:r>
      <w:r>
        <w:rPr>
          <w:rFonts w:ascii="Arial" w:hAnsi="Arial" w:cs="Arial"/>
          <w:b/>
          <w:bCs/>
          <w:sz w:val="22"/>
          <w:szCs w:val="22"/>
        </w:rPr>
        <w:t xml:space="preserve"> S1-S2</w:t>
      </w:r>
      <w:r>
        <w:rPr>
          <w:rFonts w:ascii="Arial" w:hAnsi="Arial" w:cs="Arial"/>
          <w:sz w:val="22"/>
          <w:szCs w:val="22"/>
        </w:rPr>
        <w:t xml:space="preserve">). The absolute abundance of </w:t>
      </w:r>
      <w:r>
        <w:rPr>
          <w:rFonts w:ascii="Arial" w:hAnsi="Arial" w:cs="Arial"/>
          <w:i/>
          <w:iCs/>
          <w:sz w:val="22"/>
          <w:szCs w:val="22"/>
        </w:rPr>
        <w:t>Bacteroides</w:t>
      </w:r>
      <w:r>
        <w:rPr>
          <w:rFonts w:ascii="Arial" w:hAnsi="Arial" w:cs="Arial"/>
          <w:sz w:val="22"/>
          <w:szCs w:val="22"/>
        </w:rPr>
        <w:t xml:space="preserve"> briefly dominated the gut microbiota of mice in the AB</w:t>
      </w:r>
      <w:r>
        <w:rPr>
          <w:rFonts w:hint="eastAsia" w:ascii="Arial" w:hAnsi="Arial" w:cs="Arial"/>
          <w:sz w:val="22"/>
          <w:szCs w:val="22"/>
        </w:rPr>
        <w:t>H</w:t>
      </w:r>
      <w:r>
        <w:rPr>
          <w:rFonts w:ascii="Arial" w:hAnsi="Arial" w:cs="Arial"/>
          <w:sz w:val="22"/>
          <w:szCs w:val="22"/>
        </w:rPr>
        <w:t xml:space="preserve"> (or AB</w:t>
      </w:r>
      <w:r>
        <w:rPr>
          <w:rFonts w:hint="eastAsia" w:ascii="Arial" w:hAnsi="Arial" w:cs="Arial"/>
          <w:sz w:val="22"/>
          <w:szCs w:val="22"/>
        </w:rPr>
        <w:t>L</w:t>
      </w:r>
      <w:r>
        <w:rPr>
          <w:rFonts w:ascii="Arial" w:hAnsi="Arial" w:cs="Arial"/>
          <w:sz w:val="22"/>
          <w:szCs w:val="22"/>
        </w:rPr>
        <w:t xml:space="preserve">) group on Day 4 (or Day 7, respectively), then quickly decreased and stabilized. Other taxa, e.g., </w:t>
      </w:r>
      <w:r>
        <w:rPr>
          <w:rFonts w:ascii="Arial" w:hAnsi="Arial" w:cs="Arial"/>
          <w:i/>
          <w:iCs/>
          <w:sz w:val="22"/>
          <w:szCs w:val="22"/>
        </w:rPr>
        <w:t xml:space="preserve">Escherichia-Shigella, Parasutterella, Parabacteroides </w:t>
      </w:r>
      <w:r>
        <w:rPr>
          <w:rFonts w:ascii="Arial" w:hAnsi="Arial" w:cs="Arial"/>
          <w:sz w:val="22"/>
          <w:szCs w:val="22"/>
        </w:rPr>
        <w:t>and</w:t>
      </w:r>
      <w:r>
        <w:rPr>
          <w:rFonts w:ascii="Arial" w:hAnsi="Arial" w:cs="Arial"/>
          <w:i/>
          <w:iCs/>
          <w:sz w:val="22"/>
          <w:szCs w:val="22"/>
        </w:rPr>
        <w:t xml:space="preserve"> Akkermansia</w:t>
      </w:r>
      <w:r>
        <w:rPr>
          <w:rFonts w:ascii="Arial" w:hAnsi="Arial" w:cs="Arial"/>
          <w:sz w:val="22"/>
          <w:szCs w:val="22"/>
        </w:rPr>
        <w:t>, also showed similar “transient peaks”</w:t>
      </w:r>
      <w:r>
        <w:rPr>
          <w:rFonts w:ascii="Arial" w:hAnsi="Arial" w:cs="Arial"/>
          <w:i/>
          <w:iCs/>
          <w:sz w:val="22"/>
          <w:szCs w:val="22"/>
        </w:rPr>
        <w:t xml:space="preserve"> </w:t>
      </w:r>
      <w:r>
        <w:rPr>
          <w:rFonts w:ascii="Arial" w:hAnsi="Arial" w:cs="Arial"/>
          <w:sz w:val="22"/>
          <w:szCs w:val="22"/>
        </w:rPr>
        <w:t>in their</w:t>
      </w:r>
      <w:r>
        <w:rPr>
          <w:rFonts w:ascii="Arial" w:hAnsi="Arial" w:cs="Arial"/>
          <w:i/>
          <w:iCs/>
          <w:sz w:val="22"/>
          <w:szCs w:val="22"/>
        </w:rPr>
        <w:t xml:space="preserve"> </w:t>
      </w:r>
      <w:r>
        <w:rPr>
          <w:rFonts w:ascii="Arial" w:hAnsi="Arial" w:cs="Arial"/>
          <w:sz w:val="22"/>
          <w:szCs w:val="22"/>
        </w:rPr>
        <w:t>absolute abundances (</w:t>
      </w:r>
      <w:r>
        <w:rPr>
          <w:rFonts w:ascii="Arial" w:hAnsi="Arial" w:cs="Arial"/>
          <w:b/>
          <w:bCs/>
          <w:sz w:val="22"/>
          <w:szCs w:val="22"/>
        </w:rPr>
        <w:t>Fig</w:t>
      </w:r>
      <w:r>
        <w:rPr>
          <w:rFonts w:hint="eastAsia" w:ascii="Arial" w:hAnsi="Arial" w:cs="Arial"/>
          <w:b/>
          <w:bCs/>
          <w:sz w:val="22"/>
          <w:szCs w:val="22"/>
        </w:rPr>
        <w:t xml:space="preserve">ure </w:t>
      </w:r>
      <w:r>
        <w:rPr>
          <w:rFonts w:ascii="Arial" w:hAnsi="Arial" w:cs="Arial"/>
          <w:b/>
          <w:bCs/>
          <w:sz w:val="22"/>
          <w:szCs w:val="22"/>
        </w:rPr>
        <w:t>S2</w:t>
      </w:r>
      <w:r>
        <w:rPr>
          <w:rFonts w:ascii="Arial" w:hAnsi="Arial" w:cs="Arial"/>
          <w:sz w:val="22"/>
          <w:szCs w:val="22"/>
        </w:rPr>
        <w:t>). Most of these peaks appeared during Day 1- Day 7, suggesting that the first week after antibiotic treatment may be a critical time window for microbiota recovery. Further studies are needed to understand the interaction network between the host environment and the RAB species during the ecological succession following antibiotics treatment.</w:t>
      </w:r>
    </w:p>
    <w:p>
      <w:pPr>
        <w:spacing w:line="276" w:lineRule="auto"/>
        <w:rPr>
          <w:rFonts w:ascii="Arial" w:hAnsi="Arial" w:cs="Arial"/>
          <w:sz w:val="22"/>
          <w:szCs w:val="22"/>
        </w:rPr>
      </w:pPr>
      <w:r>
        <w:rPr>
          <w:rFonts w:ascii="Arial" w:hAnsi="Arial" w:cs="Arial"/>
          <w:sz w:val="22"/>
          <w:szCs w:val="22"/>
        </w:rPr>
        <w:br w:type="page"/>
      </w:r>
    </w:p>
    <w:p>
      <w:pPr>
        <w:spacing w:line="276" w:lineRule="auto"/>
        <w:rPr>
          <w:rFonts w:ascii="Arial" w:hAnsi="Arial" w:cs="Arial"/>
          <w:sz w:val="22"/>
          <w:szCs w:val="22"/>
        </w:rPr>
      </w:pPr>
      <w:r>
        <w:rPr>
          <w:rFonts w:ascii="Arial" w:hAnsi="Arial" w:cs="Arial"/>
          <w:sz w:val="22"/>
          <w:szCs w:val="22"/>
        </w:rPr>
        <w:drawing>
          <wp:inline distT="0" distB="0" distL="114300" distR="114300">
            <wp:extent cx="5685790" cy="5051425"/>
            <wp:effectExtent l="0" t="0" r="13970" b="8255"/>
            <wp:docPr id="8" name="图片 8" descr="D:\Users\wangy\Documents\WeChat Files\wxid_0ty2og6feeml22\FileStorage\File\2021-03\20210316\Figure-S3.pngFigur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Users\wangy\Documents\WeChat Files\wxid_0ty2og6feeml22\FileStorage\File\2021-03\20210316\Figure-S3.pngFigure-S3"/>
                    <pic:cNvPicPr>
                      <a:picLocks noChangeAspect="1"/>
                    </pic:cNvPicPr>
                  </pic:nvPicPr>
                  <pic:blipFill>
                    <a:blip r:embed="rId8"/>
                    <a:srcRect r="5509" b="9659"/>
                    <a:stretch>
                      <a:fillRect/>
                    </a:stretch>
                  </pic:blipFill>
                  <pic:spPr>
                    <a:xfrm>
                      <a:off x="0" y="0"/>
                      <a:ext cx="5685790" cy="5051425"/>
                    </a:xfrm>
                    <a:prstGeom prst="rect">
                      <a:avLst/>
                    </a:prstGeom>
                  </pic:spPr>
                </pic:pic>
              </a:graphicData>
            </a:graphic>
          </wp:inline>
        </w:drawing>
      </w:r>
    </w:p>
    <w:p>
      <w:pPr>
        <w:pStyle w:val="2"/>
        <w:rPr>
          <w:rFonts w:ascii="Arial" w:hAnsi="Arial" w:cs="Arial"/>
          <w:sz w:val="22"/>
          <w:szCs w:val="22"/>
        </w:rPr>
      </w:pPr>
      <w:r>
        <w:rPr>
          <w:rFonts w:ascii="Arial" w:hAnsi="Arial" w:cs="Arial"/>
          <w:b/>
          <w:bCs/>
          <w:sz w:val="22"/>
          <w:szCs w:val="22"/>
        </w:rPr>
        <w:t xml:space="preserve">Figure S3. The baseline gut microbiota of young and aged mice, related to Figure 2. </w:t>
      </w:r>
      <w:r>
        <w:rPr>
          <w:rFonts w:hint="eastAsia" w:ascii="Arial" w:hAnsi="Arial" w:cs="Arial"/>
          <w:bCs/>
          <w:sz w:val="22"/>
          <w:szCs w:val="22"/>
        </w:rPr>
        <w:t>(</w:t>
      </w:r>
      <w:r>
        <w:rPr>
          <w:rFonts w:hint="eastAsia" w:ascii="Arial" w:hAnsi="Arial" w:cs="Arial"/>
          <w:b/>
          <w:sz w:val="22"/>
          <w:szCs w:val="22"/>
        </w:rPr>
        <w:t>A</w:t>
      </w:r>
      <w:r>
        <w:rPr>
          <w:rFonts w:hint="eastAsia" w:ascii="Arial" w:hAnsi="Arial" w:cs="Arial"/>
          <w:bCs/>
          <w:sz w:val="22"/>
          <w:szCs w:val="22"/>
        </w:rPr>
        <w:t>)</w:t>
      </w:r>
      <w:r>
        <w:rPr>
          <w:rFonts w:ascii="Arial" w:hAnsi="Arial" w:cs="Arial"/>
          <w:b/>
          <w:bCs/>
          <w:sz w:val="22"/>
          <w:szCs w:val="22"/>
        </w:rPr>
        <w:t xml:space="preserve"> </w:t>
      </w:r>
      <w:r>
        <w:rPr>
          <w:rFonts w:hint="eastAsia" w:ascii="Arial" w:hAnsi="Arial" w:cs="Arial"/>
          <w:sz w:val="22"/>
          <w:szCs w:val="22"/>
        </w:rPr>
        <w:t xml:space="preserve">stacking bar plots showing the </w:t>
      </w:r>
      <w:r>
        <w:rPr>
          <w:rFonts w:ascii="Arial" w:hAnsi="Arial" w:cs="Arial"/>
          <w:sz w:val="22"/>
          <w:szCs w:val="22"/>
        </w:rPr>
        <w:t>relative abundance of microbial taxa</w:t>
      </w:r>
      <w:r>
        <w:rPr>
          <w:rFonts w:hint="eastAsia" w:ascii="Arial" w:hAnsi="Arial" w:cs="Arial"/>
          <w:sz w:val="22"/>
          <w:szCs w:val="22"/>
        </w:rPr>
        <w:t xml:space="preserve"> in young and aged mice. O, order, F, family, G, genus. </w:t>
      </w:r>
      <w:r>
        <w:rPr>
          <w:rFonts w:hint="eastAsia" w:ascii="Arial" w:hAnsi="Arial" w:cs="Arial"/>
          <w:bCs/>
          <w:sz w:val="22"/>
          <w:szCs w:val="22"/>
        </w:rPr>
        <w:t>(</w:t>
      </w:r>
      <w:r>
        <w:rPr>
          <w:rFonts w:hint="eastAsia" w:ascii="Arial" w:hAnsi="Arial" w:cs="Arial"/>
          <w:b/>
          <w:bCs/>
          <w:sz w:val="22"/>
          <w:szCs w:val="22"/>
        </w:rPr>
        <w:t>B</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 xml:space="preserve">Principal coordinate analysis based on </w:t>
      </w:r>
      <w:r>
        <w:rPr>
          <w:rFonts w:hint="eastAsia" w:ascii="Arial" w:hAnsi="Arial" w:cs="Arial"/>
          <w:sz w:val="22"/>
          <w:szCs w:val="22"/>
        </w:rPr>
        <w:t>Bray-Curtis dissimilarities</w:t>
      </w:r>
      <w:r>
        <w:rPr>
          <w:rFonts w:ascii="Arial" w:hAnsi="Arial" w:cs="Arial"/>
          <w:sz w:val="22"/>
          <w:szCs w:val="22"/>
        </w:rPr>
        <w:t xml:space="preserve"> of gut microbiota composition of young mice (2-month-old) and aged mice (20-month-old). Aged mice were used as matched donors for FMT (FMT-M group). Young mice were used as unmatched donors for FMT (FMT-UM group). N=5 for each group at each time point. There was a minor shift in the gut microbiota composition of young mice, most likely due to the natural aging process. Overall, the gut microbiota composition of young and aged mice was found to be stable over </w:t>
      </w:r>
      <w:r>
        <w:rPr>
          <w:rFonts w:hint="eastAsia" w:ascii="Arial" w:hAnsi="Arial" w:cs="Arial"/>
          <w:sz w:val="22"/>
          <w:szCs w:val="22"/>
        </w:rPr>
        <w:t>6-</w:t>
      </w:r>
      <w:r>
        <w:rPr>
          <w:rFonts w:ascii="Arial" w:hAnsi="Arial" w:cs="Arial"/>
          <w:sz w:val="22"/>
          <w:szCs w:val="22"/>
        </w:rPr>
        <w:t>8 weeks</w:t>
      </w:r>
      <w:r>
        <w:rPr>
          <w:rFonts w:ascii="Arial" w:hAnsi="Arial" w:cs="Arial"/>
          <w:b/>
          <w:bCs/>
          <w:sz w:val="22"/>
          <w:szCs w:val="22"/>
        </w:rPr>
        <w:t xml:space="preserve"> </w:t>
      </w:r>
      <w:r>
        <w:rPr>
          <w:rFonts w:hint="eastAsia" w:ascii="Arial" w:hAnsi="Arial" w:cs="Arial"/>
          <w:bCs/>
          <w:sz w:val="22"/>
          <w:szCs w:val="22"/>
        </w:rPr>
        <w:t>(</w:t>
      </w:r>
      <w:r>
        <w:rPr>
          <w:rFonts w:ascii="Arial" w:hAnsi="Arial" w:cs="Arial"/>
          <w:b/>
          <w:bCs/>
          <w:sz w:val="22"/>
          <w:szCs w:val="22"/>
        </w:rPr>
        <w:t>Fig</w:t>
      </w:r>
      <w:r>
        <w:rPr>
          <w:rFonts w:hint="eastAsia" w:ascii="Arial" w:hAnsi="Arial" w:cs="Arial"/>
          <w:b/>
          <w:bCs/>
          <w:sz w:val="22"/>
          <w:szCs w:val="22"/>
        </w:rPr>
        <w:t xml:space="preserve">ure 1E, Figure </w:t>
      </w:r>
      <w:r>
        <w:rPr>
          <w:rFonts w:ascii="Arial" w:hAnsi="Arial" w:cs="Arial"/>
          <w:b/>
          <w:bCs/>
          <w:sz w:val="22"/>
          <w:szCs w:val="22"/>
        </w:rPr>
        <w:t>S1</w:t>
      </w:r>
      <w:r>
        <w:rPr>
          <w:rFonts w:hint="eastAsia" w:ascii="Arial" w:hAnsi="Arial" w:cs="Arial"/>
          <w:b/>
          <w:bCs/>
          <w:sz w:val="22"/>
          <w:szCs w:val="22"/>
        </w:rPr>
        <w:t>E</w:t>
      </w:r>
      <w:r>
        <w:rPr>
          <w:rFonts w:hint="eastAsia" w:ascii="Arial" w:hAnsi="Arial" w:cs="Arial"/>
          <w:bCs/>
          <w:sz w:val="22"/>
          <w:szCs w:val="22"/>
        </w:rPr>
        <w:t>)</w:t>
      </w:r>
      <w:r>
        <w:rPr>
          <w:rFonts w:ascii="Arial" w:hAnsi="Arial" w:cs="Arial"/>
          <w:sz w:val="22"/>
          <w:szCs w:val="22"/>
        </w:rPr>
        <w:t xml:space="preserve">. </w:t>
      </w:r>
      <w:r>
        <w:rPr>
          <w:rFonts w:hint="eastAsia" w:ascii="Arial" w:hAnsi="Arial" w:cs="Arial"/>
          <w:bCs/>
          <w:sz w:val="22"/>
          <w:szCs w:val="22"/>
        </w:rPr>
        <w:t>(</w:t>
      </w:r>
      <w:r>
        <w:rPr>
          <w:rFonts w:hint="eastAsia" w:ascii="Arial" w:hAnsi="Arial" w:cs="Arial"/>
          <w:b/>
          <w:bCs/>
          <w:sz w:val="22"/>
          <w:szCs w:val="22"/>
        </w:rPr>
        <w:t>C</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Bacterial taxa enriched in the gut microbiota of young mice (black</w:t>
      </w:r>
      <w:r>
        <w:rPr>
          <w:rFonts w:hint="eastAsia" w:ascii="Arial" w:hAnsi="Arial" w:cs="Arial"/>
          <w:sz w:val="22"/>
          <w:szCs w:val="22"/>
        </w:rPr>
        <w:t>)</w:t>
      </w:r>
      <w:r>
        <w:rPr>
          <w:rFonts w:ascii="Arial" w:hAnsi="Arial" w:cs="Arial"/>
          <w:sz w:val="22"/>
          <w:szCs w:val="22"/>
        </w:rPr>
        <w:t xml:space="preserve"> versus aged mice (white) were identified by L</w:t>
      </w:r>
      <w:r>
        <w:rPr>
          <w:rFonts w:hint="eastAsia" w:ascii="Arial" w:hAnsi="Arial" w:cs="Arial"/>
          <w:sz w:val="22"/>
          <w:szCs w:val="22"/>
        </w:rPr>
        <w:t>E</w:t>
      </w:r>
      <w:r>
        <w:rPr>
          <w:rFonts w:ascii="Arial" w:hAnsi="Arial" w:cs="Arial"/>
          <w:sz w:val="22"/>
          <w:szCs w:val="22"/>
        </w:rPr>
        <w:t>f</w:t>
      </w:r>
      <w:r>
        <w:rPr>
          <w:rFonts w:hint="eastAsia" w:ascii="Arial" w:hAnsi="Arial" w:cs="Arial"/>
          <w:sz w:val="22"/>
          <w:szCs w:val="22"/>
        </w:rPr>
        <w:t>Se</w:t>
      </w:r>
      <w:r>
        <w:rPr>
          <w:rFonts w:ascii="Arial" w:hAnsi="Arial" w:cs="Arial"/>
          <w:sz w:val="22"/>
          <w:szCs w:val="22"/>
        </w:rPr>
        <w:t xml:space="preserve"> analysis. </w:t>
      </w:r>
    </w:p>
    <w:p>
      <w:pPr>
        <w:spacing w:line="276" w:lineRule="auto"/>
        <w:rPr>
          <w:rFonts w:ascii="Arial" w:hAnsi="Arial" w:cs="Arial"/>
          <w:sz w:val="22"/>
          <w:szCs w:val="22"/>
        </w:rPr>
      </w:pPr>
      <w:r>
        <w:rPr>
          <w:rFonts w:ascii="Arial" w:hAnsi="Arial" w:cs="Arial"/>
          <w:sz w:val="22"/>
          <w:szCs w:val="22"/>
        </w:rPr>
        <w:drawing>
          <wp:inline distT="0" distB="0" distL="114300" distR="114300">
            <wp:extent cx="5903595" cy="2541270"/>
            <wp:effectExtent l="0" t="0" r="9525" b="3810"/>
            <wp:docPr id="9" name="图片 9" descr="D:\Users\wangy\Documents\WeChat Files\wxid_0ty2og6feeml22\FileStorage\File\2021-03\20210316\Figure-S4.pngFigure-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Users\wangy\Documents\WeChat Files\wxid_0ty2og6feeml22\FileStorage\File\2021-03\20210316\Figure-S4.pngFigure-S4"/>
                    <pic:cNvPicPr>
                      <a:picLocks noChangeAspect="1"/>
                    </pic:cNvPicPr>
                  </pic:nvPicPr>
                  <pic:blipFill>
                    <a:blip r:embed="rId9"/>
                    <a:srcRect/>
                    <a:stretch>
                      <a:fillRect/>
                    </a:stretch>
                  </pic:blipFill>
                  <pic:spPr>
                    <a:xfrm>
                      <a:off x="0" y="0"/>
                      <a:ext cx="5903595" cy="2546487"/>
                    </a:xfrm>
                    <a:prstGeom prst="rect">
                      <a:avLst/>
                    </a:prstGeom>
                  </pic:spPr>
                </pic:pic>
              </a:graphicData>
            </a:graphic>
          </wp:inline>
        </w:drawing>
      </w:r>
    </w:p>
    <w:p>
      <w:pPr>
        <w:spacing w:line="276" w:lineRule="auto"/>
        <w:rPr>
          <w:rFonts w:ascii="Arial" w:hAnsi="Arial" w:cs="Arial"/>
          <w:sz w:val="22"/>
          <w:szCs w:val="22"/>
        </w:rPr>
      </w:pPr>
      <w:r>
        <w:rPr>
          <w:rFonts w:ascii="Arial" w:hAnsi="Arial" w:cs="Arial"/>
          <w:b/>
          <w:bCs/>
          <w:sz w:val="22"/>
          <w:szCs w:val="22"/>
        </w:rPr>
        <w:t>Figure S4.</w:t>
      </w:r>
      <w:r>
        <w:rPr>
          <w:rFonts w:ascii="Arial" w:hAnsi="Arial" w:cs="Arial"/>
          <w:sz w:val="22"/>
          <w:szCs w:val="22"/>
        </w:rPr>
        <w:t xml:space="preserve"> </w:t>
      </w:r>
      <w:r>
        <w:rPr>
          <w:rFonts w:ascii="Arial" w:hAnsi="Arial" w:cs="Arial"/>
          <w:b/>
          <w:bCs/>
          <w:sz w:val="22"/>
          <w:szCs w:val="22"/>
        </w:rPr>
        <w:t>The gut microbiota compositions of FMT</w:t>
      </w:r>
      <w:r>
        <w:rPr>
          <w:rFonts w:hint="eastAsia" w:ascii="Arial" w:hAnsi="Arial" w:cs="Arial"/>
          <w:b/>
          <w:bCs/>
          <w:sz w:val="22"/>
          <w:szCs w:val="22"/>
        </w:rPr>
        <w:t>-M</w:t>
      </w:r>
      <w:r>
        <w:rPr>
          <w:rFonts w:ascii="Arial" w:hAnsi="Arial" w:cs="Arial"/>
          <w:b/>
          <w:bCs/>
          <w:sz w:val="22"/>
          <w:szCs w:val="22"/>
        </w:rPr>
        <w:t xml:space="preserve"> and FMT</w:t>
      </w:r>
      <w:r>
        <w:rPr>
          <w:rFonts w:hint="eastAsia" w:ascii="Arial" w:hAnsi="Arial" w:cs="Arial"/>
          <w:b/>
          <w:bCs/>
          <w:sz w:val="22"/>
          <w:szCs w:val="22"/>
        </w:rPr>
        <w:t>-UM</w:t>
      </w:r>
      <w:r>
        <w:rPr>
          <w:rFonts w:ascii="Arial" w:hAnsi="Arial" w:cs="Arial"/>
          <w:b/>
          <w:bCs/>
          <w:sz w:val="22"/>
          <w:szCs w:val="22"/>
        </w:rPr>
        <w:t xml:space="preserve"> groups on Day 21, related to Figure 2. </w:t>
      </w:r>
      <w:r>
        <w:rPr>
          <w:rFonts w:ascii="Arial" w:hAnsi="Arial" w:cs="Arial"/>
          <w:sz w:val="22"/>
          <w:szCs w:val="22"/>
        </w:rPr>
        <w:t>The relative abundance of gut microbial taxa in aged mice received FMT</w:t>
      </w:r>
      <w:r>
        <w:rPr>
          <w:rFonts w:hint="eastAsia" w:ascii="Arial" w:hAnsi="Arial" w:cs="Arial"/>
          <w:sz w:val="22"/>
          <w:szCs w:val="22"/>
        </w:rPr>
        <w:t>-M</w:t>
      </w:r>
      <w:r>
        <w:rPr>
          <w:rFonts w:ascii="Arial" w:hAnsi="Arial" w:cs="Arial"/>
          <w:sz w:val="22"/>
          <w:szCs w:val="22"/>
        </w:rPr>
        <w:t xml:space="preserve"> </w:t>
      </w:r>
      <w:r>
        <w:rPr>
          <w:rFonts w:hint="eastAsia" w:ascii="Arial" w:hAnsi="Arial" w:cs="Arial"/>
          <w:bCs/>
          <w:sz w:val="22"/>
          <w:szCs w:val="22"/>
        </w:rPr>
        <w:t>(</w:t>
      </w:r>
      <w:r>
        <w:rPr>
          <w:rFonts w:hint="eastAsia" w:ascii="Arial" w:hAnsi="Arial" w:cs="Arial"/>
          <w:b/>
          <w:bCs/>
          <w:sz w:val="22"/>
          <w:szCs w:val="22"/>
        </w:rPr>
        <w:t>A</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or FMT</w:t>
      </w:r>
      <w:r>
        <w:rPr>
          <w:rFonts w:hint="eastAsia" w:ascii="Arial" w:hAnsi="Arial" w:cs="Arial"/>
          <w:sz w:val="22"/>
          <w:szCs w:val="22"/>
        </w:rPr>
        <w:t>-UM</w:t>
      </w:r>
      <w:r>
        <w:rPr>
          <w:rFonts w:ascii="Arial" w:hAnsi="Arial" w:cs="Arial"/>
          <w:b/>
          <w:bCs/>
          <w:sz w:val="22"/>
          <w:szCs w:val="22"/>
        </w:rPr>
        <w:t xml:space="preserve"> </w:t>
      </w:r>
      <w:r>
        <w:rPr>
          <w:rFonts w:hint="eastAsia" w:ascii="Arial" w:hAnsi="Arial" w:cs="Arial"/>
          <w:bCs/>
          <w:sz w:val="22"/>
          <w:szCs w:val="22"/>
        </w:rPr>
        <w:t>(</w:t>
      </w:r>
      <w:r>
        <w:rPr>
          <w:rFonts w:hint="eastAsia" w:ascii="Arial" w:hAnsi="Arial" w:cs="Arial"/>
          <w:b/>
          <w:bCs/>
          <w:sz w:val="22"/>
          <w:szCs w:val="22"/>
        </w:rPr>
        <w:t>B</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 xml:space="preserve">on day 21. The first column is the average composition of donor samples: MD, matched donors; UMD, unmatched donors. Samples are ordered based on their Bray-Curtis dissimilarity to the donor. Mice housed in the same cage (3 ages labelled as A, </w:t>
      </w:r>
      <w:r>
        <w:rPr>
          <w:rFonts w:hint="eastAsia" w:ascii="Arial" w:hAnsi="Arial" w:cs="Arial"/>
          <w:sz w:val="22"/>
          <w:szCs w:val="22"/>
        </w:rPr>
        <w:t>B</w:t>
      </w:r>
      <w:r>
        <w:rPr>
          <w:rFonts w:ascii="Arial" w:hAnsi="Arial" w:cs="Arial"/>
          <w:sz w:val="22"/>
          <w:szCs w:val="22"/>
        </w:rPr>
        <w:t xml:space="preserve">, C) are indicated at the bottom of each column. The difference among individual gut microbiota is not fully attributable to the cage effect. </w:t>
      </w:r>
      <w:r>
        <w:rPr>
          <w:rFonts w:ascii="Arial" w:hAnsi="Arial" w:cs="Arial"/>
          <w:sz w:val="22"/>
          <w:szCs w:val="22"/>
        </w:rPr>
        <w:br w:type="page"/>
      </w:r>
    </w:p>
    <w:p>
      <w:pPr>
        <w:spacing w:line="276" w:lineRule="auto"/>
        <w:rPr>
          <w:rFonts w:ascii="Arial" w:hAnsi="Arial" w:cs="Arial"/>
          <w:sz w:val="22"/>
          <w:szCs w:val="22"/>
        </w:rPr>
      </w:pPr>
      <w:r>
        <w:rPr>
          <w:rFonts w:ascii="Arial" w:hAnsi="Arial" w:cs="Arial"/>
          <w:sz w:val="22"/>
          <w:szCs w:val="22"/>
        </w:rPr>
        <w:drawing>
          <wp:inline distT="0" distB="0" distL="114300" distR="114300">
            <wp:extent cx="5715000" cy="5598795"/>
            <wp:effectExtent l="0" t="0" r="0" b="9525"/>
            <wp:docPr id="10" name="图片 10" descr="D:\Users\wangy\Documents\WeChat Files\wxid_0ty2og6feeml22\FileStorage\File\2021-03\20210316\Figure-S5.pngFigure-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Users\wangy\Documents\WeChat Files\wxid_0ty2og6feeml22\FileStorage\File\2021-03\20210316\Figure-S5.pngFigure-S5"/>
                    <pic:cNvPicPr>
                      <a:picLocks noChangeAspect="1"/>
                    </pic:cNvPicPr>
                  </pic:nvPicPr>
                  <pic:blipFill>
                    <a:blip r:embed="rId10"/>
                    <a:srcRect/>
                    <a:stretch>
                      <a:fillRect/>
                    </a:stretch>
                  </pic:blipFill>
                  <pic:spPr>
                    <a:xfrm>
                      <a:off x="0" y="0"/>
                      <a:ext cx="5715000" cy="5598795"/>
                    </a:xfrm>
                    <a:prstGeom prst="rect">
                      <a:avLst/>
                    </a:prstGeom>
                  </pic:spPr>
                </pic:pic>
              </a:graphicData>
            </a:graphic>
          </wp:inline>
        </w:drawing>
      </w:r>
    </w:p>
    <w:p>
      <w:pPr>
        <w:spacing w:line="276" w:lineRule="auto"/>
        <w:rPr>
          <w:rFonts w:ascii="Arial" w:hAnsi="Arial" w:cs="Arial"/>
          <w:sz w:val="22"/>
          <w:szCs w:val="22"/>
        </w:rPr>
      </w:pPr>
      <w:r>
        <w:rPr>
          <w:rFonts w:ascii="Arial" w:hAnsi="Arial" w:cs="Arial"/>
          <w:b/>
          <w:bCs/>
          <w:sz w:val="22"/>
          <w:szCs w:val="22"/>
        </w:rPr>
        <w:t>Figure S5.</w:t>
      </w:r>
      <w:r>
        <w:rPr>
          <w:rFonts w:ascii="Arial" w:hAnsi="Arial" w:cs="Arial"/>
          <w:sz w:val="22"/>
          <w:szCs w:val="22"/>
        </w:rPr>
        <w:t xml:space="preserve"> </w:t>
      </w:r>
      <w:r>
        <w:rPr>
          <w:rFonts w:ascii="Arial" w:hAnsi="Arial" w:cs="Arial"/>
          <w:b/>
          <w:bCs/>
          <w:sz w:val="22"/>
          <w:szCs w:val="22"/>
        </w:rPr>
        <w:t xml:space="preserve">The gut microbiota compositions throughout the long-term recovery, related to Figure 2. </w:t>
      </w:r>
      <w:r>
        <w:rPr>
          <w:rFonts w:hint="eastAsia" w:ascii="Arial" w:hAnsi="Arial" w:cs="Arial"/>
          <w:bCs/>
          <w:sz w:val="22"/>
          <w:szCs w:val="22"/>
        </w:rPr>
        <w:t>(</w:t>
      </w:r>
      <w:r>
        <w:rPr>
          <w:rFonts w:hint="eastAsia" w:ascii="Arial" w:hAnsi="Arial" w:cs="Arial"/>
          <w:b/>
          <w:bCs/>
          <w:sz w:val="22"/>
          <w:szCs w:val="22"/>
        </w:rPr>
        <w:t>A</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The weighted Unifrac distance</w:t>
      </w:r>
      <w:r>
        <w:rPr>
          <w:rFonts w:hint="eastAsia" w:ascii="Arial" w:hAnsi="Arial" w:cs="Arial"/>
          <w:b/>
          <w:bCs/>
          <w:sz w:val="22"/>
          <w:szCs w:val="22"/>
        </w:rPr>
        <w:t xml:space="preserve"> </w:t>
      </w:r>
      <w:r>
        <w:rPr>
          <w:rFonts w:ascii="Arial" w:hAnsi="Arial" w:cs="Arial"/>
          <w:sz w:val="22"/>
          <w:szCs w:val="22"/>
        </w:rPr>
        <w:t xml:space="preserve">between the gut microbiota of treatment groups and the baseline microbiota of aged mice throughout the long-term recovery. For FMT-M and FMT-UM groups, N=15 until Day 21 and N=5 afterwards. N=5 for SR group. </w:t>
      </w:r>
      <w:r>
        <w:rPr>
          <w:rFonts w:hint="eastAsia" w:ascii="Arial" w:hAnsi="Arial" w:cs="Arial"/>
          <w:bCs/>
          <w:sz w:val="22"/>
          <w:szCs w:val="22"/>
        </w:rPr>
        <w:t>(</w:t>
      </w:r>
      <w:r>
        <w:rPr>
          <w:rFonts w:hint="eastAsia" w:ascii="Arial" w:hAnsi="Arial" w:cs="Arial"/>
          <w:b/>
          <w:bCs/>
          <w:sz w:val="22"/>
          <w:szCs w:val="22"/>
        </w:rPr>
        <w:t>B-C</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The relative abundance of gut microbial taxa</w:t>
      </w:r>
      <w:r>
        <w:rPr>
          <w:rFonts w:hint="eastAsia" w:ascii="Arial" w:hAnsi="Arial" w:cs="Arial"/>
          <w:sz w:val="22"/>
          <w:szCs w:val="22"/>
        </w:rPr>
        <w:t xml:space="preserve"> </w:t>
      </w:r>
      <w:r>
        <w:rPr>
          <w:rFonts w:ascii="Arial" w:hAnsi="Arial" w:cs="Arial"/>
          <w:sz w:val="22"/>
          <w:szCs w:val="22"/>
        </w:rPr>
        <w:t>in aged mice received FMT</w:t>
      </w:r>
      <w:r>
        <w:rPr>
          <w:rFonts w:hint="eastAsia" w:ascii="Arial" w:hAnsi="Arial" w:cs="Arial"/>
          <w:sz w:val="22"/>
          <w:szCs w:val="22"/>
        </w:rPr>
        <w:t>-</w:t>
      </w:r>
      <w:r>
        <w:rPr>
          <w:rFonts w:ascii="Arial" w:hAnsi="Arial" w:cs="Arial"/>
          <w:sz w:val="22"/>
          <w:szCs w:val="22"/>
        </w:rPr>
        <w:t xml:space="preserve">M </w:t>
      </w:r>
      <w:r>
        <w:rPr>
          <w:rFonts w:hint="eastAsia" w:ascii="Arial" w:hAnsi="Arial" w:cs="Arial"/>
          <w:bCs/>
          <w:sz w:val="22"/>
          <w:szCs w:val="22"/>
        </w:rPr>
        <w:t>(</w:t>
      </w:r>
      <w:r>
        <w:rPr>
          <w:rFonts w:hint="eastAsia" w:ascii="Arial" w:hAnsi="Arial" w:cs="Arial"/>
          <w:b/>
          <w:bCs/>
          <w:sz w:val="22"/>
          <w:szCs w:val="22"/>
        </w:rPr>
        <w:t>B</w:t>
      </w:r>
      <w:r>
        <w:rPr>
          <w:rFonts w:hint="eastAsia" w:ascii="Arial" w:hAnsi="Arial" w:cs="Arial"/>
          <w:bCs/>
          <w:sz w:val="22"/>
          <w:szCs w:val="22"/>
        </w:rPr>
        <w:t>)</w:t>
      </w:r>
      <w:r>
        <w:rPr>
          <w:rFonts w:ascii="Arial" w:hAnsi="Arial" w:cs="Arial"/>
          <w:sz w:val="22"/>
          <w:szCs w:val="22"/>
        </w:rPr>
        <w:t xml:space="preserve"> or FMT</w:t>
      </w:r>
      <w:r>
        <w:rPr>
          <w:rFonts w:hint="eastAsia" w:ascii="Arial" w:hAnsi="Arial" w:cs="Arial"/>
          <w:sz w:val="22"/>
          <w:szCs w:val="22"/>
        </w:rPr>
        <w:t>-UM</w:t>
      </w:r>
      <w:r>
        <w:rPr>
          <w:rFonts w:ascii="Arial" w:hAnsi="Arial" w:cs="Arial"/>
          <w:sz w:val="22"/>
          <w:szCs w:val="22"/>
        </w:rPr>
        <w:t xml:space="preserve"> </w:t>
      </w:r>
      <w:r>
        <w:rPr>
          <w:rFonts w:hint="eastAsia" w:ascii="Arial" w:hAnsi="Arial" w:cs="Arial"/>
          <w:bCs/>
          <w:sz w:val="22"/>
          <w:szCs w:val="22"/>
        </w:rPr>
        <w:t>(</w:t>
      </w:r>
      <w:r>
        <w:rPr>
          <w:rFonts w:hint="eastAsia" w:ascii="Arial" w:hAnsi="Arial" w:cs="Arial"/>
          <w:b/>
          <w:bCs/>
          <w:sz w:val="22"/>
          <w:szCs w:val="22"/>
        </w:rPr>
        <w:t>C</w:t>
      </w:r>
      <w:r>
        <w:rPr>
          <w:rFonts w:hint="eastAsia" w:ascii="Arial" w:hAnsi="Arial" w:cs="Arial"/>
          <w:bCs/>
          <w:sz w:val="22"/>
          <w:szCs w:val="22"/>
        </w:rPr>
        <w:t>)</w:t>
      </w:r>
      <w:r>
        <w:rPr>
          <w:rFonts w:ascii="Arial" w:hAnsi="Arial" w:cs="Arial"/>
          <w:b/>
          <w:bCs/>
          <w:sz w:val="22"/>
          <w:szCs w:val="22"/>
        </w:rPr>
        <w:t xml:space="preserve">. </w:t>
      </w:r>
      <w:r>
        <w:rPr>
          <w:rFonts w:ascii="Arial" w:hAnsi="Arial" w:cs="Arial"/>
          <w:sz w:val="22"/>
          <w:szCs w:val="22"/>
        </w:rPr>
        <w:t>The first column is the average composition of donor samples: MD, matched donors; UMD, unmatched donors.</w:t>
      </w:r>
    </w:p>
    <w:p>
      <w:pPr>
        <w:rPr>
          <w:rFonts w:ascii="Arial" w:hAnsi="Arial" w:cs="Arial"/>
          <w:sz w:val="22"/>
          <w:szCs w:val="22"/>
        </w:rPr>
      </w:pPr>
      <w:r>
        <w:rPr>
          <w:rFonts w:ascii="Arial" w:hAnsi="Arial" w:cs="Arial"/>
          <w:sz w:val="22"/>
          <w:szCs w:val="22"/>
        </w:rPr>
        <w:br w:type="page"/>
      </w:r>
    </w:p>
    <w:p>
      <w:pPr>
        <w:pStyle w:val="2"/>
        <w:rPr>
          <w:rFonts w:ascii="Arial" w:hAnsi="Arial" w:cs="Arial"/>
          <w:b/>
          <w:bCs/>
          <w:sz w:val="22"/>
          <w:szCs w:val="22"/>
        </w:rPr>
      </w:pPr>
      <w:r>
        <w:rPr>
          <w:rFonts w:hint="eastAsia" w:ascii="Arial" w:hAnsi="Arial" w:cs="Arial"/>
          <w:b/>
          <w:bCs/>
          <w:sz w:val="22"/>
          <w:szCs w:val="22"/>
        </w:rPr>
        <w:drawing>
          <wp:inline distT="0" distB="0" distL="114300" distR="114300">
            <wp:extent cx="5726430" cy="4208145"/>
            <wp:effectExtent l="0" t="0" r="3810" b="13335"/>
            <wp:docPr id="3" name="图片 3" descr="Figure-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S6"/>
                    <pic:cNvPicPr>
                      <a:picLocks noChangeAspect="1"/>
                    </pic:cNvPicPr>
                  </pic:nvPicPr>
                  <pic:blipFill>
                    <a:blip r:embed="rId11"/>
                    <a:stretch>
                      <a:fillRect/>
                    </a:stretch>
                  </pic:blipFill>
                  <pic:spPr>
                    <a:xfrm>
                      <a:off x="0" y="0"/>
                      <a:ext cx="5726430" cy="4208145"/>
                    </a:xfrm>
                    <a:prstGeom prst="rect">
                      <a:avLst/>
                    </a:prstGeom>
                  </pic:spPr>
                </pic:pic>
              </a:graphicData>
            </a:graphic>
          </wp:inline>
        </w:drawing>
      </w:r>
    </w:p>
    <w:p>
      <w:pPr>
        <w:pStyle w:val="2"/>
        <w:rPr>
          <w:rFonts w:ascii="Arial" w:hAnsi="Arial" w:cs="Arial"/>
          <w:sz w:val="22"/>
          <w:szCs w:val="22"/>
        </w:rPr>
      </w:pPr>
      <w:r>
        <w:rPr>
          <w:rFonts w:hint="eastAsia" w:ascii="Arial" w:hAnsi="Arial" w:cs="Arial"/>
          <w:b/>
          <w:bCs/>
          <w:sz w:val="22"/>
          <w:szCs w:val="22"/>
        </w:rPr>
        <w:t>F</w:t>
      </w:r>
      <w:r>
        <w:rPr>
          <w:rFonts w:ascii="Arial" w:hAnsi="Arial" w:cs="Arial"/>
          <w:b/>
          <w:bCs/>
          <w:sz w:val="22"/>
          <w:szCs w:val="22"/>
        </w:rPr>
        <w:t>igure S6</w:t>
      </w:r>
      <w:r>
        <w:rPr>
          <w:rFonts w:hint="eastAsia" w:ascii="Arial" w:hAnsi="Arial" w:cs="Arial"/>
          <w:b/>
          <w:bCs/>
          <w:sz w:val="22"/>
          <w:szCs w:val="22"/>
        </w:rPr>
        <w:t xml:space="preserve">. </w:t>
      </w:r>
      <w:r>
        <w:rPr>
          <w:rFonts w:ascii="Arial" w:hAnsi="Arial" w:cs="Arial"/>
          <w:b/>
          <w:bCs/>
          <w:sz w:val="22"/>
          <w:szCs w:val="22"/>
        </w:rPr>
        <w:t>Principal coordinate analysis of the abundance of metagenomic gene pathways.</w:t>
      </w:r>
      <w:r>
        <w:rPr>
          <w:rFonts w:hint="eastAsia" w:ascii="Arial" w:hAnsi="Arial" w:cs="Arial"/>
          <w:b/>
          <w:bCs/>
          <w:sz w:val="22"/>
          <w:szCs w:val="22"/>
        </w:rPr>
        <w:t xml:space="preserve"> </w:t>
      </w:r>
      <w:r>
        <w:rPr>
          <w:rFonts w:hint="eastAsia" w:ascii="Arial" w:hAnsi="Arial" w:cs="Arial"/>
          <w:sz w:val="22"/>
          <w:szCs w:val="22"/>
        </w:rPr>
        <w:t>For each group, the central dot i</w:t>
      </w:r>
      <w:r>
        <w:rPr>
          <w:rFonts w:ascii="Arial" w:hAnsi="Arial" w:cs="Arial"/>
          <w:sz w:val="22"/>
          <w:szCs w:val="22"/>
        </w:rPr>
        <w:t>ndicates</w:t>
      </w:r>
      <w:r>
        <w:rPr>
          <w:rFonts w:hint="eastAsia" w:ascii="Arial" w:hAnsi="Arial" w:cs="Arial"/>
          <w:sz w:val="22"/>
          <w:szCs w:val="22"/>
        </w:rPr>
        <w:t xml:space="preserve"> the </w:t>
      </w:r>
      <w:r>
        <w:rPr>
          <w:rFonts w:ascii="Arial" w:hAnsi="Arial" w:cs="Arial"/>
          <w:sz w:val="22"/>
          <w:szCs w:val="22"/>
        </w:rPr>
        <w:t>mean (N=5) and</w:t>
      </w:r>
      <w:r>
        <w:rPr>
          <w:rFonts w:hint="eastAsia" w:ascii="Arial" w:hAnsi="Arial" w:cs="Arial"/>
          <w:sz w:val="22"/>
          <w:szCs w:val="22"/>
        </w:rPr>
        <w:t xml:space="preserve"> the lin</w:t>
      </w:r>
      <w:r>
        <w:rPr>
          <w:rFonts w:ascii="Arial" w:hAnsi="Arial" w:cs="Arial"/>
          <w:sz w:val="22"/>
          <w:szCs w:val="22"/>
        </w:rPr>
        <w:t>e</w:t>
      </w:r>
      <w:r>
        <w:rPr>
          <w:rFonts w:hint="eastAsia" w:ascii="Arial" w:hAnsi="Arial" w:cs="Arial"/>
          <w:sz w:val="22"/>
          <w:szCs w:val="22"/>
        </w:rPr>
        <w:t xml:space="preserve">s connect </w:t>
      </w:r>
      <w:r>
        <w:rPr>
          <w:rFonts w:ascii="Arial" w:hAnsi="Arial" w:cs="Arial"/>
          <w:sz w:val="22"/>
          <w:szCs w:val="22"/>
        </w:rPr>
        <w:t>individual</w:t>
      </w:r>
      <w:r>
        <w:rPr>
          <w:rFonts w:hint="eastAsia" w:ascii="Arial" w:hAnsi="Arial" w:cs="Arial"/>
          <w:sz w:val="22"/>
          <w:szCs w:val="22"/>
        </w:rPr>
        <w:t xml:space="preserve"> samples.</w:t>
      </w:r>
    </w:p>
    <w:p>
      <w:pPr>
        <w:rPr>
          <w:rFonts w:ascii="Arial" w:hAnsi="Arial" w:cs="Arial"/>
          <w:sz w:val="22"/>
          <w:szCs w:val="22"/>
        </w:rPr>
      </w:pPr>
      <w:r>
        <w:rPr>
          <w:rFonts w:hint="eastAsia" w:ascii="Arial" w:hAnsi="Arial" w:cs="Arial"/>
          <w:sz w:val="22"/>
          <w:szCs w:val="22"/>
        </w:rPr>
        <w:br w:type="page"/>
      </w:r>
    </w:p>
    <w:p>
      <w:pPr>
        <w:pStyle w:val="2"/>
        <w:rPr>
          <w:rFonts w:ascii="Arial" w:hAnsi="Arial" w:cs="Arial"/>
          <w:sz w:val="22"/>
          <w:szCs w:val="22"/>
        </w:rPr>
      </w:pPr>
      <w:r>
        <w:rPr>
          <w:rFonts w:hint="eastAsia" w:ascii="Arial" w:hAnsi="Arial" w:cs="Arial"/>
          <w:sz w:val="22"/>
          <w:szCs w:val="22"/>
        </w:rPr>
        <w:drawing>
          <wp:inline distT="0" distB="0" distL="114300" distR="114300">
            <wp:extent cx="5725795" cy="5293995"/>
            <wp:effectExtent l="0" t="0" r="4445" b="9525"/>
            <wp:docPr id="4" name="图片 4" descr="D:\Users\wangy\Documents\WeChat Files\wxid_0ty2og6feeml22\FileStorage\File\2021-03\20210316\Figure-S7.pngFigure-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Users\wangy\Documents\WeChat Files\wxid_0ty2og6feeml22\FileStorage\File\2021-03\20210316\Figure-S7.pngFigure-S7"/>
                    <pic:cNvPicPr>
                      <a:picLocks noChangeAspect="1"/>
                    </pic:cNvPicPr>
                  </pic:nvPicPr>
                  <pic:blipFill>
                    <a:blip r:embed="rId12"/>
                    <a:srcRect/>
                    <a:stretch>
                      <a:fillRect/>
                    </a:stretch>
                  </pic:blipFill>
                  <pic:spPr>
                    <a:xfrm>
                      <a:off x="0" y="0"/>
                      <a:ext cx="5725795" cy="5293995"/>
                    </a:xfrm>
                    <a:prstGeom prst="rect">
                      <a:avLst/>
                    </a:prstGeom>
                  </pic:spPr>
                </pic:pic>
              </a:graphicData>
            </a:graphic>
          </wp:inline>
        </w:drawing>
      </w:r>
    </w:p>
    <w:p>
      <w:pPr>
        <w:pStyle w:val="2"/>
        <w:rPr>
          <w:rFonts w:ascii="Arial" w:hAnsi="Arial" w:cs="Arial"/>
          <w:b/>
          <w:bCs/>
          <w:sz w:val="22"/>
          <w:szCs w:val="22"/>
          <w:highlight w:val="yellow"/>
        </w:rPr>
      </w:pPr>
      <w:r>
        <w:rPr>
          <w:rFonts w:hint="eastAsia" w:ascii="Arial" w:hAnsi="Arial" w:cs="Arial"/>
          <w:b/>
          <w:bCs/>
          <w:sz w:val="22"/>
          <w:szCs w:val="22"/>
        </w:rPr>
        <w:t>Figure S7. V</w:t>
      </w:r>
      <w:r>
        <w:rPr>
          <w:rFonts w:ascii="Arial" w:hAnsi="Arial" w:cs="Arial"/>
          <w:b/>
          <w:bCs/>
          <w:sz w:val="22"/>
          <w:szCs w:val="22"/>
        </w:rPr>
        <w:t xml:space="preserve">olcano plots of </w:t>
      </w:r>
      <w:r>
        <w:rPr>
          <w:rFonts w:hint="eastAsia" w:ascii="Arial" w:hAnsi="Arial" w:cs="Arial"/>
          <w:b/>
          <w:bCs/>
          <w:sz w:val="22"/>
          <w:szCs w:val="22"/>
        </w:rPr>
        <w:t xml:space="preserve">DEGs between each </w:t>
      </w:r>
      <w:r>
        <w:rPr>
          <w:rFonts w:ascii="Arial" w:hAnsi="Arial" w:cs="Arial"/>
          <w:b/>
          <w:bCs/>
          <w:sz w:val="22"/>
          <w:szCs w:val="22"/>
        </w:rPr>
        <w:t xml:space="preserve">treatment </w:t>
      </w:r>
      <w:r>
        <w:rPr>
          <w:rFonts w:hint="eastAsia" w:ascii="Arial" w:hAnsi="Arial" w:cs="Arial"/>
          <w:b/>
          <w:bCs/>
          <w:sz w:val="22"/>
          <w:szCs w:val="22"/>
        </w:rPr>
        <w:t xml:space="preserve">group and aged baseline. </w:t>
      </w:r>
      <w:r>
        <w:rPr>
          <w:rFonts w:hint="eastAsia" w:ascii="Arial" w:hAnsi="Arial" w:cs="Arial"/>
          <w:b w:val="0"/>
          <w:bCs w:val="0"/>
          <w:sz w:val="22"/>
          <w:szCs w:val="22"/>
          <w:lang w:val="en-US" w:eastAsia="zh-CN"/>
        </w:rPr>
        <w:t>DEG cutoffs: fold change &gt; 2, P value &gt; 0.05.</w:t>
      </w:r>
    </w:p>
    <w:p>
      <w:pPr>
        <w:pStyle w:val="2"/>
        <w:jc w:val="center"/>
        <w:rPr>
          <w:rFonts w:ascii="Arial" w:hAnsi="Arial" w:cs="Arial"/>
          <w:b/>
          <w:bCs/>
          <w:sz w:val="22"/>
          <w:szCs w:val="22"/>
        </w:rPr>
      </w:pPr>
      <w:r>
        <w:rPr>
          <w:rFonts w:hint="eastAsia" w:ascii="Arial" w:hAnsi="Arial" w:cs="Arial"/>
          <w:b/>
          <w:bCs/>
          <w:sz w:val="22"/>
          <w:szCs w:val="22"/>
        </w:rPr>
        <w:drawing>
          <wp:inline distT="0" distB="0" distL="114300" distR="114300">
            <wp:extent cx="3434715" cy="5840095"/>
            <wp:effectExtent l="0" t="0" r="9525" b="12065"/>
            <wp:docPr id="5" name="图片 5" descr="D:\Users\wangy\Documents\WeChat Files\wxid_0ty2og6feeml22\FileStorage\File\2021-03\20210316\Figure-S8.pngFigure-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Users\wangy\Documents\WeChat Files\wxid_0ty2og6feeml22\FileStorage\File\2021-03\20210316\Figure-S8.pngFigure-S8"/>
                    <pic:cNvPicPr>
                      <a:picLocks noChangeAspect="1"/>
                    </pic:cNvPicPr>
                  </pic:nvPicPr>
                  <pic:blipFill>
                    <a:blip r:embed="rId13"/>
                    <a:srcRect/>
                    <a:stretch>
                      <a:fillRect/>
                    </a:stretch>
                  </pic:blipFill>
                  <pic:spPr>
                    <a:xfrm>
                      <a:off x="0" y="0"/>
                      <a:ext cx="3434715" cy="5840095"/>
                    </a:xfrm>
                    <a:prstGeom prst="rect">
                      <a:avLst/>
                    </a:prstGeom>
                  </pic:spPr>
                </pic:pic>
              </a:graphicData>
            </a:graphic>
          </wp:inline>
        </w:drawing>
      </w:r>
    </w:p>
    <w:p>
      <w:pPr>
        <w:pStyle w:val="2"/>
      </w:pPr>
      <w:r>
        <w:rPr>
          <w:rFonts w:ascii="Arial" w:hAnsi="Arial" w:cs="Arial"/>
          <w:b/>
          <w:bCs/>
          <w:sz w:val="22"/>
          <w:szCs w:val="22"/>
        </w:rPr>
        <w:t>Figure S</w:t>
      </w:r>
      <w:r>
        <w:rPr>
          <w:rFonts w:hint="eastAsia" w:ascii="Arial" w:hAnsi="Arial" w:cs="Arial"/>
          <w:b/>
          <w:bCs/>
          <w:sz w:val="22"/>
          <w:szCs w:val="22"/>
        </w:rPr>
        <w:t>8</w:t>
      </w:r>
      <w:r>
        <w:rPr>
          <w:rFonts w:ascii="Arial" w:hAnsi="Arial" w:cs="Arial"/>
          <w:b/>
          <w:bCs/>
          <w:sz w:val="22"/>
          <w:szCs w:val="22"/>
        </w:rPr>
        <w:t xml:space="preserve">. </w:t>
      </w:r>
      <w:r>
        <w:rPr>
          <w:rFonts w:hint="eastAsia" w:ascii="Arial" w:hAnsi="Arial" w:cs="Arial"/>
          <w:b/>
          <w:bCs/>
          <w:sz w:val="22"/>
          <w:szCs w:val="22"/>
        </w:rPr>
        <w:t xml:space="preserve">DSS treatment induce acute and self-limiting colitis symptoms in aged recipients of FMT-M or FMT-UM. </w:t>
      </w:r>
      <w:r>
        <w:rPr>
          <w:rFonts w:hint="eastAsia" w:ascii="Arial" w:hAnsi="Arial" w:cs="Arial"/>
          <w:bCs/>
          <w:sz w:val="22"/>
          <w:szCs w:val="22"/>
        </w:rPr>
        <w:t>(</w:t>
      </w:r>
      <w:r>
        <w:rPr>
          <w:rFonts w:hint="eastAsia" w:ascii="Arial" w:hAnsi="Arial" w:cs="Arial"/>
          <w:b/>
          <w:bCs/>
          <w:sz w:val="22"/>
          <w:szCs w:val="22"/>
        </w:rPr>
        <w:t>A</w:t>
      </w:r>
      <w:r>
        <w:rPr>
          <w:rFonts w:hint="eastAsia" w:ascii="Arial" w:hAnsi="Arial" w:cs="Arial"/>
          <w:bCs/>
          <w:sz w:val="22"/>
          <w:szCs w:val="22"/>
        </w:rPr>
        <w:t>)</w:t>
      </w:r>
      <w:r>
        <w:rPr>
          <w:rFonts w:hint="eastAsia" w:ascii="Arial" w:hAnsi="Arial" w:cs="Arial"/>
          <w:sz w:val="22"/>
          <w:szCs w:val="22"/>
        </w:rPr>
        <w:t xml:space="preserve"> </w:t>
      </w:r>
      <w:r>
        <w:rPr>
          <w:rFonts w:ascii="Arial" w:hAnsi="Arial" w:cs="Arial"/>
          <w:sz w:val="22"/>
          <w:szCs w:val="22"/>
        </w:rPr>
        <w:t>Weight</w:t>
      </w:r>
      <w:r>
        <w:rPr>
          <w:rFonts w:hint="eastAsia" w:ascii="Arial" w:hAnsi="Arial" w:cs="Arial"/>
          <w:sz w:val="22"/>
          <w:szCs w:val="22"/>
        </w:rPr>
        <w:t xml:space="preserve"> changes. </w:t>
      </w:r>
      <w:r>
        <w:rPr>
          <w:rFonts w:hint="eastAsia" w:ascii="Arial" w:hAnsi="Arial" w:cs="Arial"/>
          <w:bCs/>
          <w:sz w:val="22"/>
          <w:szCs w:val="22"/>
        </w:rPr>
        <w:t>(</w:t>
      </w:r>
      <w:r>
        <w:rPr>
          <w:rFonts w:hint="eastAsia" w:ascii="Arial" w:hAnsi="Arial" w:cs="Arial"/>
          <w:b/>
          <w:bCs/>
          <w:sz w:val="22"/>
          <w:szCs w:val="22"/>
        </w:rPr>
        <w:t>B</w:t>
      </w:r>
      <w:r>
        <w:rPr>
          <w:rFonts w:hint="eastAsia" w:ascii="Arial" w:hAnsi="Arial" w:cs="Arial"/>
          <w:bCs/>
          <w:sz w:val="22"/>
          <w:szCs w:val="22"/>
        </w:rPr>
        <w:t>)</w:t>
      </w:r>
      <w:r>
        <w:rPr>
          <w:rFonts w:hint="eastAsia" w:ascii="Arial" w:hAnsi="Arial" w:cs="Arial"/>
          <w:sz w:val="22"/>
          <w:szCs w:val="22"/>
        </w:rPr>
        <w:t xml:space="preserve"> </w:t>
      </w:r>
      <w:r>
        <w:rPr>
          <w:rFonts w:ascii="Arial" w:hAnsi="Arial" w:cs="Arial"/>
          <w:sz w:val="22"/>
          <w:szCs w:val="22"/>
        </w:rPr>
        <w:t>D</w:t>
      </w:r>
      <w:r>
        <w:rPr>
          <w:rFonts w:hint="eastAsia" w:ascii="Arial" w:hAnsi="Arial" w:cs="Arial"/>
          <w:sz w:val="22"/>
          <w:szCs w:val="22"/>
        </w:rPr>
        <w:t xml:space="preserve">isease </w:t>
      </w:r>
      <w:r>
        <w:rPr>
          <w:rFonts w:ascii="Arial" w:hAnsi="Arial" w:cs="Arial"/>
          <w:sz w:val="22"/>
          <w:szCs w:val="22"/>
        </w:rPr>
        <w:t>A</w:t>
      </w:r>
      <w:r>
        <w:rPr>
          <w:rFonts w:hint="eastAsia" w:ascii="Arial" w:hAnsi="Arial" w:cs="Arial"/>
          <w:sz w:val="22"/>
          <w:szCs w:val="22"/>
        </w:rPr>
        <w:t xml:space="preserve">ctivity </w:t>
      </w:r>
      <w:r>
        <w:rPr>
          <w:rFonts w:ascii="Arial" w:hAnsi="Arial" w:cs="Arial"/>
          <w:sz w:val="22"/>
          <w:szCs w:val="22"/>
        </w:rPr>
        <w:t>I</w:t>
      </w:r>
      <w:r>
        <w:rPr>
          <w:rFonts w:hint="eastAsia" w:ascii="Arial" w:hAnsi="Arial" w:cs="Arial"/>
          <w:sz w:val="22"/>
          <w:szCs w:val="22"/>
        </w:rPr>
        <w:t>ndex</w:t>
      </w:r>
      <w:r>
        <w:rPr>
          <w:rFonts w:ascii="Arial" w:hAnsi="Arial" w:cs="Arial"/>
          <w:sz w:val="22"/>
          <w:szCs w:val="22"/>
        </w:rPr>
        <w:t>(DAI, see Methods)</w:t>
      </w:r>
      <w:r>
        <w:rPr>
          <w:rFonts w:hint="eastAsia" w:ascii="Arial" w:hAnsi="Arial" w:cs="Arial"/>
          <w:sz w:val="22"/>
          <w:szCs w:val="22"/>
        </w:rPr>
        <w:t xml:space="preserve">. N=4 (due to the death of one mouse) for FMT-M and N=5 for FMT-UM group on each time point. Error bar= SEM. </w:t>
      </w:r>
      <w:r>
        <w:rPr>
          <w:rFonts w:ascii="Arial" w:hAnsi="Arial" w:cs="Arial"/>
          <w:sz w:val="22"/>
          <w:szCs w:val="22"/>
        </w:rPr>
        <w:t xml:space="preserve">*indicates significant difference at </w:t>
      </w:r>
      <w:r>
        <w:rPr>
          <w:rFonts w:ascii="Arial" w:hAnsi="Arial" w:cs="Arial"/>
          <w:i/>
          <w:iCs/>
          <w:sz w:val="22"/>
          <w:szCs w:val="22"/>
        </w:rPr>
        <w:t>P</w:t>
      </w:r>
      <w:r>
        <w:rPr>
          <w:rFonts w:ascii="Arial" w:hAnsi="Arial" w:cs="Arial"/>
          <w:sz w:val="22"/>
          <w:szCs w:val="22"/>
        </w:rPr>
        <w:t xml:space="preserve"> &lt; 0.05, **, </w:t>
      </w:r>
      <w:r>
        <w:rPr>
          <w:rFonts w:ascii="Arial" w:hAnsi="Arial" w:cs="Arial"/>
          <w:i/>
          <w:iCs/>
          <w:sz w:val="22"/>
          <w:szCs w:val="22"/>
        </w:rPr>
        <w:t>P</w:t>
      </w:r>
      <w:r>
        <w:rPr>
          <w:rFonts w:ascii="Arial" w:hAnsi="Arial" w:cs="Arial"/>
          <w:sz w:val="22"/>
          <w:szCs w:val="22"/>
        </w:rPr>
        <w:t xml:space="preserve">&lt;0.01, ***, </w:t>
      </w:r>
      <w:r>
        <w:rPr>
          <w:rFonts w:ascii="Arial" w:hAnsi="Arial" w:cs="Arial"/>
          <w:i/>
          <w:iCs/>
          <w:sz w:val="22"/>
          <w:szCs w:val="22"/>
        </w:rPr>
        <w:t>P</w:t>
      </w:r>
      <w:r>
        <w:rPr>
          <w:rFonts w:ascii="Arial" w:hAnsi="Arial" w:cs="Arial"/>
          <w:sz w:val="22"/>
          <w:szCs w:val="22"/>
        </w:rPr>
        <w:t>&lt;0.001</w:t>
      </w:r>
      <w:r>
        <w:rPr>
          <w:rFonts w:hint="eastAsia" w:ascii="Arial" w:hAnsi="Arial" w:cs="Arial"/>
          <w:sz w:val="22"/>
          <w:szCs w:val="22"/>
        </w:rPr>
        <w:t xml:space="preserve"> analyzed by</w:t>
      </w:r>
      <w:r>
        <w:rPr>
          <w:rFonts w:ascii="Arial" w:hAnsi="Arial" w:cs="Arial"/>
          <w:sz w:val="22"/>
          <w:szCs w:val="22"/>
        </w:rPr>
        <w:t xml:space="preserve"> FDR-adjusted </w:t>
      </w:r>
      <w:r>
        <w:rPr>
          <w:rFonts w:ascii="Arial" w:hAnsi="Arial" w:cs="Arial"/>
          <w:i/>
          <w:iCs/>
          <w:sz w:val="22"/>
          <w:szCs w:val="22"/>
        </w:rPr>
        <w:t>P</w:t>
      </w:r>
      <w:r>
        <w:rPr>
          <w:rFonts w:ascii="Arial" w:hAnsi="Arial" w:cs="Arial"/>
          <w:sz w:val="22"/>
          <w:szCs w:val="22"/>
        </w:rPr>
        <w:t xml:space="preserve"> values (two-sided Wilcoxon signed-rank test).</w:t>
      </w:r>
    </w:p>
    <w:sectPr>
      <w:footerReference r:id="rId3" w:type="default"/>
      <w:footerReference r:id="rId4" w:type="even"/>
      <w:pgSz w:w="11906" w:h="16838"/>
      <w:pgMar w:top="1440" w:right="1440" w:bottom="1800" w:left="1440" w:header="850" w:footer="994"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1389067946"/>
    </w:sdtPr>
    <w:sdtEndPr>
      <w:rPr>
        <w:rStyle w:val="9"/>
      </w:rPr>
    </w:sdtEndPr>
    <w:sdtContent>
      <w:p>
        <w:pPr>
          <w:pStyle w:val="4"/>
          <w:framePr w:wrap="around" w:vAnchor="text" w:hAnchor="margin" w:xAlign="right" w:y="1"/>
          <w:rPr>
            <w:rStyle w:val="9"/>
            <w:szCs w:val="24"/>
          </w:rPr>
        </w:pPr>
        <w:r>
          <w:rPr>
            <w:rStyle w:val="9"/>
          </w:rPr>
          <w:fldChar w:fldCharType="begin"/>
        </w:r>
        <w:r>
          <w:rPr>
            <w:rStyle w:val="9"/>
          </w:rPr>
          <w:instrText xml:space="preserve"> PAGE </w:instrText>
        </w:r>
        <w:r>
          <w:rPr>
            <w:rStyle w:val="9"/>
          </w:rPr>
          <w:fldChar w:fldCharType="separate"/>
        </w:r>
        <w:r>
          <w:rPr>
            <w:rStyle w:val="9"/>
          </w:rPr>
          <w:t>1</w:t>
        </w:r>
        <w:r>
          <w:rPr>
            <w:rStyle w:val="9"/>
          </w:rPr>
          <w:fldChar w:fldCharType="end"/>
        </w:r>
      </w:p>
    </w:sdtContent>
  </w:sdt>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969247403"/>
    </w:sdtPr>
    <w:sdtEndPr>
      <w:rPr>
        <w:rStyle w:val="9"/>
      </w:rPr>
    </w:sdtEndPr>
    <w:sdtContent>
      <w:p>
        <w:pPr>
          <w:pStyle w:val="4"/>
          <w:framePr w:wrap="around" w:vAnchor="text" w:hAnchor="margin" w:xAlign="right" w:y="1"/>
          <w:rPr>
            <w:rStyle w:val="9"/>
            <w:szCs w:val="24"/>
          </w:rPr>
        </w:pPr>
        <w:r>
          <w:rPr>
            <w:rStyle w:val="9"/>
          </w:rPr>
          <w:fldChar w:fldCharType="begin"/>
        </w:r>
        <w:r>
          <w:rPr>
            <w:rStyle w:val="9"/>
          </w:rPr>
          <w:instrText xml:space="preserve"> PAGE </w:instrText>
        </w:r>
        <w:r>
          <w:rPr>
            <w:rStyle w:val="9"/>
          </w:rPr>
          <w:fldChar w:fldCharType="end"/>
        </w:r>
      </w:p>
    </w:sdtContent>
  </w:sdt>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GytDQyNDc0NDM0NTBU0lEKTi0uzszPAymwqAUAjzWVnywAAAA="/>
  </w:docVars>
  <w:rsids>
    <w:rsidRoot w:val="00731BF8"/>
    <w:rsid w:val="00007BE9"/>
    <w:rsid w:val="00024C03"/>
    <w:rsid w:val="00026D45"/>
    <w:rsid w:val="00043A81"/>
    <w:rsid w:val="00090314"/>
    <w:rsid w:val="00090971"/>
    <w:rsid w:val="000C3941"/>
    <w:rsid w:val="000D6D73"/>
    <w:rsid w:val="000E6A74"/>
    <w:rsid w:val="00115729"/>
    <w:rsid w:val="00176B5E"/>
    <w:rsid w:val="001D3283"/>
    <w:rsid w:val="0020453B"/>
    <w:rsid w:val="00211E20"/>
    <w:rsid w:val="0024538F"/>
    <w:rsid w:val="002A2475"/>
    <w:rsid w:val="003137DB"/>
    <w:rsid w:val="00331B81"/>
    <w:rsid w:val="003D1A1C"/>
    <w:rsid w:val="0046124D"/>
    <w:rsid w:val="004F2CE5"/>
    <w:rsid w:val="00542CE4"/>
    <w:rsid w:val="00543008"/>
    <w:rsid w:val="005A3510"/>
    <w:rsid w:val="005B7B0C"/>
    <w:rsid w:val="005C2BA2"/>
    <w:rsid w:val="00615E86"/>
    <w:rsid w:val="006216FB"/>
    <w:rsid w:val="006619D0"/>
    <w:rsid w:val="006803F9"/>
    <w:rsid w:val="006A08F8"/>
    <w:rsid w:val="00703A2C"/>
    <w:rsid w:val="00731BF8"/>
    <w:rsid w:val="007A7F6A"/>
    <w:rsid w:val="007C2ED3"/>
    <w:rsid w:val="008A1C10"/>
    <w:rsid w:val="008B23E8"/>
    <w:rsid w:val="0094520B"/>
    <w:rsid w:val="00950BBB"/>
    <w:rsid w:val="00973C8F"/>
    <w:rsid w:val="009A7E70"/>
    <w:rsid w:val="009C35FC"/>
    <w:rsid w:val="009D3A7F"/>
    <w:rsid w:val="00A44978"/>
    <w:rsid w:val="00B576BB"/>
    <w:rsid w:val="00B72525"/>
    <w:rsid w:val="00B904DE"/>
    <w:rsid w:val="00C83116"/>
    <w:rsid w:val="00DB0EC8"/>
    <w:rsid w:val="00E0765B"/>
    <w:rsid w:val="00EC6950"/>
    <w:rsid w:val="00EE4A03"/>
    <w:rsid w:val="00F557DC"/>
    <w:rsid w:val="00FF3C3A"/>
    <w:rsid w:val="27C779B6"/>
    <w:rsid w:val="410B3277"/>
    <w:rsid w:val="4DAE1948"/>
    <w:rsid w:val="5FC66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qFormat="1"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rPr>
      <w:sz w:val="20"/>
      <w:szCs w:val="20"/>
    </w:rPr>
  </w:style>
  <w:style w:type="paragraph" w:styleId="3">
    <w:name w:val="Balloon Text"/>
    <w:basedOn w:val="1"/>
    <w:link w:val="12"/>
    <w:semiHidden/>
    <w:unhideWhenUsed/>
    <w:qFormat/>
    <w:uiPriority w:val="99"/>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pPr>
      <w:jc w:val="left"/>
    </w:pPr>
    <w:rPr>
      <w:b/>
      <w:bCs/>
      <w:sz w:val="21"/>
      <w:szCs w:val="24"/>
    </w:rPr>
  </w:style>
  <w:style w:type="character" w:styleId="9">
    <w:name w:val="page number"/>
    <w:basedOn w:val="8"/>
    <w:qFormat/>
    <w:uiPriority w:val="0"/>
  </w:style>
  <w:style w:type="character" w:styleId="10">
    <w:name w:val="line number"/>
    <w:basedOn w:val="8"/>
    <w:semiHidden/>
    <w:unhideWhenUsed/>
    <w:qFormat/>
    <w:uiPriority w:val="99"/>
  </w:style>
  <w:style w:type="character" w:styleId="11">
    <w:name w:val="annotation reference"/>
    <w:basedOn w:val="8"/>
    <w:unhideWhenUsed/>
    <w:qFormat/>
    <w:uiPriority w:val="0"/>
    <w:rPr>
      <w:sz w:val="21"/>
      <w:szCs w:val="21"/>
    </w:rPr>
  </w:style>
  <w:style w:type="character" w:customStyle="1" w:styleId="12">
    <w:name w:val="批注框文本 字符"/>
    <w:basedOn w:val="8"/>
    <w:link w:val="3"/>
    <w:semiHidden/>
    <w:qFormat/>
    <w:uiPriority w:val="99"/>
    <w:rPr>
      <w:sz w:val="18"/>
      <w:szCs w:val="18"/>
    </w:rPr>
  </w:style>
  <w:style w:type="character" w:customStyle="1" w:styleId="13">
    <w:name w:val="批注文字 字符"/>
    <w:basedOn w:val="8"/>
    <w:link w:val="2"/>
    <w:qFormat/>
    <w:uiPriority w:val="0"/>
    <w:rPr>
      <w:sz w:val="20"/>
      <w:szCs w:val="20"/>
    </w:rPr>
  </w:style>
  <w:style w:type="character" w:customStyle="1" w:styleId="14">
    <w:name w:val="页脚 字符"/>
    <w:basedOn w:val="8"/>
    <w:link w:val="4"/>
    <w:qFormat/>
    <w:uiPriority w:val="0"/>
    <w:rPr>
      <w:sz w:val="18"/>
      <w:szCs w:val="18"/>
    </w:rPr>
  </w:style>
  <w:style w:type="character" w:customStyle="1" w:styleId="15">
    <w:name w:val="批注主题 字符"/>
    <w:basedOn w:val="13"/>
    <w:link w:val="6"/>
    <w:semiHidden/>
    <w:qFormat/>
    <w:uiPriority w:val="99"/>
    <w:rPr>
      <w:b/>
      <w:bCs/>
      <w:sz w:val="20"/>
      <w:szCs w:val="24"/>
    </w:rPr>
  </w:style>
  <w:style w:type="character" w:customStyle="1" w:styleId="16">
    <w:name w:val="页眉 字符"/>
    <w:basedOn w:val="8"/>
    <w:link w:val="5"/>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1D2EAF-C595-4E93-AF2E-2B09E3E101C2}">
  <ds:schemaRefs/>
</ds:datastoreItem>
</file>

<file path=docProps/app.xml><?xml version="1.0" encoding="utf-8"?>
<Properties xmlns="http://schemas.openxmlformats.org/officeDocument/2006/extended-properties" xmlns:vt="http://schemas.openxmlformats.org/officeDocument/2006/docPropsVTypes">
  <Template>Normal</Template>
  <Pages>1</Pages>
  <Words>3357</Words>
  <Characters>3459</Characters>
  <Lines>192</Lines>
  <Paragraphs>158</Paragraphs>
  <TotalTime>11</TotalTime>
  <ScaleCrop>false</ScaleCrop>
  <LinksUpToDate>false</LinksUpToDate>
  <CharactersWithSpaces>6658</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2021-03-17T15:47:00Z</dcterms:created>
  <dc:creator>戴 磊</dc:creator>
  <cp:lastModifiedBy>王莹</cp:lastModifiedBy>
  <dcterms:modified xsi:type="dcterms:W3CDTF">2021-04-14T03:53:25Z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E104D1AA5FEE4403AD71F6314F59A0BC</vt:lpwstr>
  </property>
</Properties>
</file>