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default"/>
          <w:u w:val="none"/>
          <w:lang w:val="en-US" w:eastAsia="zh-CN"/>
        </w:rPr>
      </w:pPr>
      <w:r>
        <w:rPr>
          <w:rFonts w:hint="default"/>
          <w:u w:val="none"/>
          <w:lang w:val="en-US"/>
        </w:rPr>
        <w:t>S</w:t>
      </w:r>
      <w:r>
        <w:rPr>
          <w:rFonts w:hint="eastAsia"/>
          <w:u w:val="none"/>
          <w:lang w:val="en-US" w:eastAsia="zh-CN"/>
        </w:rPr>
        <w:t>upplementary material</w:t>
      </w:r>
      <w:bookmarkStart w:id="0" w:name="_GoBack"/>
      <w:bookmarkEnd w:id="0"/>
    </w:p>
    <w:p>
      <w:pPr>
        <w:jc w:val="both"/>
        <w:rPr>
          <w:rFonts w:hint="default"/>
          <w:u w:val="none"/>
          <w:lang w:val="en-US" w:eastAsia="zh-CN"/>
        </w:rPr>
      </w:pPr>
    </w:p>
    <w:p>
      <w:pPr>
        <w:jc w:val="both"/>
        <w:rPr>
          <w:rFonts w:hint="default"/>
          <w:u w:val="none"/>
          <w:lang w:val="en-US" w:eastAsia="zh-CN"/>
        </w:rPr>
      </w:pPr>
      <w:r>
        <w:rPr>
          <w:rFonts w:hint="default"/>
          <w:u w:val="none"/>
          <w:lang w:val="en-US" w:eastAsia="zh-CN"/>
        </w:rPr>
        <w:drawing>
          <wp:inline distT="0" distB="0" distL="114300" distR="114300">
            <wp:extent cx="5266690" cy="3625850"/>
            <wp:effectExtent l="0" t="0" r="0" b="0"/>
            <wp:docPr id="1" name="图片 1" descr="演示文稿1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演示文稿1_03"/>
                    <pic:cNvPicPr>
                      <a:picLocks noChangeAspect="1"/>
                    </pic:cNvPicPr>
                  </pic:nvPicPr>
                  <pic:blipFill>
                    <a:blip r:embed="rId4"/>
                    <a:srcRect t="7178" b="2227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2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 Regular" w:hAnsi="Times New Roman Regular" w:cs="Times New Roman Regular"/>
          <w:sz w:val="21"/>
          <w:szCs w:val="21"/>
          <w:u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sz w:val="21"/>
          <w:szCs w:val="21"/>
          <w:u w:val="none"/>
          <w:lang w:val="en-US" w:eastAsia="zh-CN"/>
        </w:rPr>
        <w:t>Fig.S1. Receiver operating characteristic (ROC) curve of TabCI in patients with severe ischemic stroke</w:t>
      </w:r>
    </w:p>
    <w:p>
      <w:pPr>
        <w:numPr>
          <w:ilvl w:val="0"/>
          <w:numId w:val="1"/>
        </w:numPr>
        <w:jc w:val="both"/>
        <w:rPr>
          <w:rFonts w:hint="default" w:ascii="Times New Roman Regular" w:hAnsi="Times New Roman Regular" w:cs="Times New Roman Regular"/>
          <w:sz w:val="21"/>
          <w:szCs w:val="21"/>
          <w:u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sz w:val="21"/>
          <w:szCs w:val="21"/>
          <w:u w:val="none"/>
          <w:lang w:val="en-US" w:eastAsia="zh-CN"/>
        </w:rPr>
        <w:t>90 days. B. 180 days. C. 1 year</w:t>
      </w:r>
    </w:p>
    <w:p>
      <w:pPr>
        <w:jc w:val="both"/>
        <w:rPr>
          <w:rFonts w:hint="eastAsia"/>
          <w:u w:val="none"/>
          <w:lang w:val="en-US" w:eastAsia="zh-CN"/>
        </w:rPr>
      </w:pPr>
    </w:p>
    <w:p>
      <w:pPr>
        <w:jc w:val="center"/>
        <w:rPr>
          <w:rFonts w:hint="default"/>
          <w:u w:val="none"/>
          <w:lang w:val="en-US" w:eastAsia="zh-CN"/>
        </w:rPr>
      </w:pPr>
      <w:r>
        <w:rPr>
          <w:rFonts w:hint="default"/>
          <w:u w:val="none"/>
          <w:lang w:val="en-US" w:eastAsia="zh-CN"/>
        </w:rPr>
        <w:drawing>
          <wp:inline distT="0" distB="0" distL="114300" distR="114300">
            <wp:extent cx="5266690" cy="1562100"/>
            <wp:effectExtent l="0" t="0" r="16510" b="12700"/>
            <wp:docPr id="2" name="图片 2" descr="演示文稿1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演示文稿1_02"/>
                    <pic:cNvPicPr>
                      <a:picLocks noChangeAspect="1"/>
                    </pic:cNvPicPr>
                  </pic:nvPicPr>
                  <pic:blipFill>
                    <a:blip r:embed="rId5"/>
                    <a:srcRect t="31740" b="3786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 Regular" w:hAnsi="Times New Roman Regular" w:cs="Times New Roman Regular"/>
          <w:sz w:val="21"/>
          <w:szCs w:val="21"/>
          <w:u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sz w:val="21"/>
          <w:szCs w:val="21"/>
          <w:u w:val="none"/>
          <w:lang w:val="en-US" w:eastAsia="zh-CN"/>
        </w:rPr>
        <w:t>Fig.S</w:t>
      </w:r>
      <w:r>
        <w:rPr>
          <w:rFonts w:hint="eastAsia" w:ascii="Times New Roman Regular" w:hAnsi="Times New Roman Regular" w:cs="Times New Roman Regular"/>
          <w:sz w:val="21"/>
          <w:szCs w:val="21"/>
          <w:u w:val="none"/>
          <w:lang w:val="en-US" w:eastAsia="zh-CN"/>
        </w:rPr>
        <w:t>2</w:t>
      </w:r>
      <w:r>
        <w:rPr>
          <w:rFonts w:hint="default" w:ascii="Times New Roman Regular" w:hAnsi="Times New Roman Regular" w:cs="Times New Roman Regular"/>
          <w:sz w:val="21"/>
          <w:szCs w:val="21"/>
          <w:u w:val="none"/>
          <w:lang w:val="en-US" w:eastAsia="zh-CN"/>
        </w:rPr>
        <w:t>. Receiver operating characteristic (ROC) curve of T</w:t>
      </w:r>
      <w:r>
        <w:rPr>
          <w:rFonts w:hint="eastAsia" w:ascii="Times New Roman Regular" w:hAnsi="Times New Roman Regular" w:cs="Times New Roman Regular"/>
          <w:sz w:val="21"/>
          <w:szCs w:val="21"/>
          <w:u w:val="none"/>
          <w:lang w:val="en-US" w:eastAsia="zh-CN"/>
        </w:rPr>
        <w:t>y</w:t>
      </w:r>
      <w:r>
        <w:rPr>
          <w:rFonts w:hint="default" w:ascii="Times New Roman Regular" w:hAnsi="Times New Roman Regular" w:cs="Times New Roman Regular"/>
          <w:sz w:val="21"/>
          <w:szCs w:val="21"/>
          <w:u w:val="none"/>
          <w:lang w:val="en-US" w:eastAsia="zh-CN"/>
        </w:rPr>
        <w:t>G in patients with severe ischemic stroke</w:t>
      </w:r>
    </w:p>
    <w:p>
      <w:pPr>
        <w:numPr>
          <w:ilvl w:val="0"/>
          <w:numId w:val="1"/>
        </w:numPr>
        <w:jc w:val="both"/>
        <w:rPr>
          <w:rFonts w:hint="default" w:ascii="Times New Roman Regular" w:hAnsi="Times New Roman Regular" w:cs="Times New Roman Regular"/>
          <w:sz w:val="21"/>
          <w:szCs w:val="21"/>
          <w:u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sz w:val="21"/>
          <w:szCs w:val="21"/>
          <w:u w:val="none"/>
          <w:lang w:val="en-US" w:eastAsia="zh-CN"/>
        </w:rPr>
        <w:t>90 days. B. 180 days. C. 1 year</w:t>
      </w:r>
    </w:p>
    <w:p>
      <w:pPr>
        <w:numPr>
          <w:numId w:val="0"/>
        </w:numPr>
        <w:jc w:val="both"/>
        <w:rPr>
          <w:rFonts w:hint="default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D776AF"/>
    <w:multiLevelType w:val="singleLevel"/>
    <w:tmpl w:val="FFD776AF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D62B3D"/>
    <w:rsid w:val="37EB9B00"/>
    <w:rsid w:val="60FDC450"/>
    <w:rsid w:val="7FAF252B"/>
    <w:rsid w:val="7FBF21C6"/>
    <w:rsid w:val="FDD62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u w:val="single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2024-06-24T20:31:00Z</dcterms:created>
  <dc:creator>HF</dc:creator>
  <cp:lastModifiedBy>HF</cp:lastModifiedBy>
  <dcterms:modified xsi:type="dcterms:W3CDTF">2024-08-02T10:45:52Z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9D7BD2A02ADFC4DBBDF67866A01D76DC_41</vt:lpwstr>
  </property>
</Properties>
</file>