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41B9" w:rsidRDefault="006C41B9">
      <w:pPr>
        <w:rPr>
          <w:lang w:val="en-US"/>
        </w:rPr>
      </w:pPr>
      <w:r w:rsidRPr="006C41B9">
        <w:rPr>
          <w:sz w:val="28"/>
          <w:szCs w:val="28"/>
          <w:lang w:val="en-US"/>
        </w:rPr>
        <w:t xml:space="preserve">Supplements </w:t>
      </w:r>
      <w:r w:rsidR="00B6266F">
        <w:rPr>
          <w:sz w:val="28"/>
          <w:szCs w:val="28"/>
          <w:lang w:val="en-US"/>
        </w:rPr>
        <w:t>7</w:t>
      </w:r>
      <w:bookmarkStart w:id="0" w:name="_GoBack"/>
      <w:bookmarkEnd w:id="0"/>
      <w:r w:rsidRPr="006C41B9">
        <w:rPr>
          <w:sz w:val="28"/>
          <w:szCs w:val="28"/>
          <w:lang w:val="en-US"/>
        </w:rPr>
        <w:t xml:space="preserve"> </w:t>
      </w:r>
      <w:r w:rsidRPr="006C41B9">
        <w:rPr>
          <w:lang w:val="en-US"/>
        </w:rPr>
        <w:t xml:space="preserve"> </w:t>
      </w:r>
    </w:p>
    <w:p w:rsidR="002B6959" w:rsidRPr="00EF6D7D" w:rsidRDefault="006C41B9" w:rsidP="00EF6D7D">
      <w:pPr>
        <w:pStyle w:val="Overskrift2"/>
        <w:rPr>
          <w:color w:val="auto"/>
          <w:lang w:val="en-US"/>
        </w:rPr>
      </w:pPr>
      <w:r w:rsidRPr="00EF6D7D">
        <w:rPr>
          <w:color w:val="auto"/>
          <w:lang w:val="en-US"/>
        </w:rPr>
        <w:t>Intraclass correlation coefficients</w:t>
      </w:r>
      <w:r w:rsidR="006F08B6" w:rsidRPr="00EF6D7D">
        <w:rPr>
          <w:color w:val="auto"/>
          <w:lang w:val="en-US"/>
        </w:rPr>
        <w:t xml:space="preserve"> (ICC)</w:t>
      </w:r>
      <w:r w:rsidRPr="00EF6D7D">
        <w:rPr>
          <w:color w:val="auto"/>
          <w:lang w:val="en-US"/>
        </w:rPr>
        <w:t xml:space="preserve"> and weighted Kappa tables</w:t>
      </w:r>
    </w:p>
    <w:p w:rsidR="006C41B9" w:rsidRDefault="006C41B9">
      <w:pPr>
        <w:rPr>
          <w:lang w:val="en-US"/>
        </w:rPr>
      </w:pPr>
    </w:p>
    <w:tbl>
      <w:tblPr>
        <w:tblW w:w="9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100"/>
        <w:gridCol w:w="2380"/>
      </w:tblGrid>
      <w:tr w:rsidR="006C41B9" w:rsidRPr="006C41B9" w:rsidTr="006C41B9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US measure</w:t>
            </w:r>
          </w:p>
        </w:tc>
        <w:tc>
          <w:tcPr>
            <w:tcW w:w="4100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Intraclass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Correlation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Coefficient</w:t>
            </w:r>
            <w:proofErr w:type="spellEnd"/>
          </w:p>
        </w:tc>
        <w:tc>
          <w:tcPr>
            <w:tcW w:w="2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CI 95 %</w:t>
            </w:r>
          </w:p>
        </w:tc>
      </w:tr>
      <w:tr w:rsidR="006C41B9" w:rsidRPr="006C41B9" w:rsidTr="006C41B9">
        <w:trPr>
          <w:trHeight w:val="300"/>
        </w:trPr>
        <w:tc>
          <w:tcPr>
            <w:tcW w:w="322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ext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ensor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</w:t>
            </w: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endon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thickness</w:t>
            </w:r>
            <w:proofErr w:type="spellEnd"/>
          </w:p>
        </w:tc>
        <w:tc>
          <w:tcPr>
            <w:tcW w:w="4100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</w:t>
            </w:r>
            <w:r w:rsidR="00324547">
              <w:rPr>
                <w:rFonts w:ascii="Calibri" w:eastAsia="Times New Roman" w:hAnsi="Calibri" w:cs="Calibri"/>
                <w:color w:val="000000"/>
                <w:lang w:eastAsia="da-DK"/>
              </w:rPr>
              <w:t>.</w:t>
            </w: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da-DK"/>
              </w:rPr>
              <w:t>4</w:t>
            </w:r>
          </w:p>
        </w:tc>
        <w:tc>
          <w:tcPr>
            <w:tcW w:w="2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0,46 to 0,76</w:t>
            </w:r>
          </w:p>
        </w:tc>
      </w:tr>
      <w:tr w:rsidR="006C41B9" w:rsidRPr="006C41B9" w:rsidTr="006C41B9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Flex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or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</w:t>
            </w: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endon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thickness</w:t>
            </w:r>
            <w:proofErr w:type="spellEnd"/>
          </w:p>
        </w:tc>
        <w:tc>
          <w:tcPr>
            <w:tcW w:w="410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0.72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0.59 to 0.81</w:t>
            </w:r>
          </w:p>
        </w:tc>
      </w:tr>
      <w:tr w:rsidR="006C41B9" w:rsidRPr="006C41B9" w:rsidTr="006C41B9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nail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matrix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thickness</w:t>
            </w:r>
            <w:proofErr w:type="spellEnd"/>
          </w:p>
        </w:tc>
        <w:tc>
          <w:tcPr>
            <w:tcW w:w="410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0.73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0.48 to 0.84</w:t>
            </w:r>
          </w:p>
        </w:tc>
      </w:tr>
      <w:tr w:rsidR="006C41B9" w:rsidRPr="006C41B9" w:rsidTr="006C41B9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nail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bed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thickness</w:t>
            </w:r>
            <w:proofErr w:type="spellEnd"/>
          </w:p>
        </w:tc>
        <w:tc>
          <w:tcPr>
            <w:tcW w:w="410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0.95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0.92 to 0.96</w:t>
            </w:r>
          </w:p>
        </w:tc>
      </w:tr>
      <w:tr w:rsidR="006C41B9" w:rsidRPr="006C41B9" w:rsidTr="006C41B9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nail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thickness</w:t>
            </w:r>
            <w:proofErr w:type="spellEnd"/>
          </w:p>
        </w:tc>
        <w:tc>
          <w:tcPr>
            <w:tcW w:w="4100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0.81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0.71 to 0.87</w:t>
            </w:r>
          </w:p>
        </w:tc>
      </w:tr>
    </w:tbl>
    <w:p w:rsidR="006C41B9" w:rsidRDefault="006C41B9">
      <w:pPr>
        <w:rPr>
          <w:lang w:val="en-US"/>
        </w:rPr>
      </w:pPr>
    </w:p>
    <w:p w:rsidR="006C41B9" w:rsidRDefault="006C41B9">
      <w:pPr>
        <w:rPr>
          <w:lang w:val="en-US"/>
        </w:rPr>
      </w:pPr>
    </w:p>
    <w:tbl>
      <w:tblPr>
        <w:tblW w:w="96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6419"/>
      </w:tblGrid>
      <w:tr w:rsidR="006C41B9" w:rsidRPr="006C41B9" w:rsidTr="00F95E2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US measure</w:t>
            </w:r>
          </w:p>
        </w:tc>
        <w:tc>
          <w:tcPr>
            <w:tcW w:w="6419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Weighted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Kappa (standard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error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)</w:t>
            </w:r>
          </w:p>
        </w:tc>
      </w:tr>
      <w:tr w:rsidR="006C41B9" w:rsidRPr="006C41B9" w:rsidTr="00F95E24">
        <w:trPr>
          <w:trHeight w:val="300"/>
        </w:trPr>
        <w:tc>
          <w:tcPr>
            <w:tcW w:w="322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synovitis</w:t>
            </w:r>
            <w:proofErr w:type="spellEnd"/>
          </w:p>
        </w:tc>
        <w:tc>
          <w:tcPr>
            <w:tcW w:w="6419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0.76 (0.07)</w:t>
            </w:r>
          </w:p>
        </w:tc>
      </w:tr>
      <w:tr w:rsidR="006C41B9" w:rsidRPr="006C41B9" w:rsidTr="00F95E2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Doppler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</w:p>
        </w:tc>
        <w:tc>
          <w:tcPr>
            <w:tcW w:w="641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 xml:space="preserve">not </w:t>
            </w:r>
            <w:proofErr w:type="spellStart"/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estimable</w:t>
            </w:r>
            <w:proofErr w:type="spellEnd"/>
          </w:p>
        </w:tc>
      </w:tr>
      <w:tr w:rsidR="006C41B9" w:rsidRPr="006C41B9" w:rsidTr="00F95E2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US erosions</w:t>
            </w:r>
          </w:p>
        </w:tc>
        <w:tc>
          <w:tcPr>
            <w:tcW w:w="641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0.92 (0.08)</w:t>
            </w:r>
          </w:p>
        </w:tc>
      </w:tr>
      <w:tr w:rsidR="006C41B9" w:rsidRPr="006C41B9" w:rsidTr="00F95E2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US new bone formation</w:t>
            </w:r>
          </w:p>
        </w:tc>
        <w:tc>
          <w:tcPr>
            <w:tcW w:w="641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0.80 (0.06)</w:t>
            </w:r>
          </w:p>
        </w:tc>
      </w:tr>
      <w:tr w:rsidR="006C41B9" w:rsidRPr="006C41B9" w:rsidTr="00F95E24">
        <w:trPr>
          <w:trHeight w:val="300"/>
        </w:trPr>
        <w:tc>
          <w:tcPr>
            <w:tcW w:w="322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US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ext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ensor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Tendon</w:t>
            </w:r>
            <w:proofErr w:type="spellEnd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 xml:space="preserve"> </w:t>
            </w:r>
            <w:proofErr w:type="spellStart"/>
            <w:r w:rsidRPr="006C41B9">
              <w:rPr>
                <w:rFonts w:ascii="Calibri" w:eastAsia="Times New Roman" w:hAnsi="Calibri" w:cs="Calibri"/>
                <w:b/>
                <w:bCs/>
                <w:color w:val="000000"/>
                <w:lang w:eastAsia="da-DK"/>
              </w:rPr>
              <w:t>enthesitis</w:t>
            </w:r>
            <w:proofErr w:type="spellEnd"/>
          </w:p>
        </w:tc>
        <w:tc>
          <w:tcPr>
            <w:tcW w:w="6419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41B9" w:rsidRPr="006C41B9" w:rsidRDefault="006C41B9" w:rsidP="006C41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da-DK"/>
              </w:rPr>
            </w:pPr>
            <w:r w:rsidRPr="006C41B9">
              <w:rPr>
                <w:rFonts w:ascii="Calibri" w:eastAsia="Times New Roman" w:hAnsi="Calibri" w:cs="Calibri"/>
                <w:color w:val="000000"/>
                <w:lang w:eastAsia="da-DK"/>
              </w:rPr>
              <w:t>0.73 (0.07)</w:t>
            </w:r>
          </w:p>
        </w:tc>
      </w:tr>
    </w:tbl>
    <w:p w:rsidR="006C41B9" w:rsidRDefault="006C41B9">
      <w:pPr>
        <w:rPr>
          <w:lang w:val="en-US"/>
        </w:rPr>
      </w:pPr>
    </w:p>
    <w:p w:rsidR="00EF6D7D" w:rsidRPr="00EF6D7D" w:rsidRDefault="00EF6D7D" w:rsidP="00EF6D7D">
      <w:pPr>
        <w:pStyle w:val="Overskrift2"/>
        <w:rPr>
          <w:color w:val="auto"/>
          <w:lang w:val="en-US"/>
        </w:rPr>
      </w:pPr>
      <w:r w:rsidRPr="00EF6D7D">
        <w:rPr>
          <w:color w:val="auto"/>
          <w:lang w:val="en-US"/>
        </w:rPr>
        <w:t>Evaluation</w:t>
      </w:r>
    </w:p>
    <w:p w:rsidR="006F08B6" w:rsidRDefault="006F08B6">
      <w:pPr>
        <w:rPr>
          <w:lang w:val="en-US"/>
        </w:rPr>
      </w:pPr>
      <w:r w:rsidRPr="006F08B6">
        <w:rPr>
          <w:lang w:val="en-US"/>
        </w:rPr>
        <w:t>ICC and weighted Kappa values below 0.20 were considered poor, 0.21 to 0.40 fair, 0.41 to 0.60 moderate, 0.61 to 0.80 good, and 0.81 to 1.00 very good.</w:t>
      </w:r>
      <w:r w:rsidR="00EF6D7D">
        <w:rPr>
          <w:lang w:val="en-US"/>
        </w:rPr>
        <w:t>[1]</w:t>
      </w:r>
    </w:p>
    <w:p w:rsidR="00EF6D7D" w:rsidRDefault="00EF6D7D" w:rsidP="00EF6D7D">
      <w:pPr>
        <w:pStyle w:val="Overskrift2"/>
        <w:rPr>
          <w:color w:val="auto"/>
          <w:lang w:val="en-US"/>
        </w:rPr>
      </w:pPr>
      <w:r w:rsidRPr="00EF6D7D">
        <w:rPr>
          <w:color w:val="auto"/>
          <w:lang w:val="en-US"/>
        </w:rPr>
        <w:t>Refe</w:t>
      </w:r>
      <w:r>
        <w:rPr>
          <w:color w:val="auto"/>
          <w:lang w:val="en-US"/>
        </w:rPr>
        <w:t>re</w:t>
      </w:r>
      <w:r w:rsidRPr="00EF6D7D">
        <w:rPr>
          <w:color w:val="auto"/>
          <w:lang w:val="en-US"/>
        </w:rPr>
        <w:t>nces</w:t>
      </w:r>
    </w:p>
    <w:p w:rsidR="00EF6D7D" w:rsidRPr="006F08B6" w:rsidRDefault="00EF6D7D" w:rsidP="00EF6D7D">
      <w:pPr>
        <w:pStyle w:val="Sidefod"/>
        <w:numPr>
          <w:ilvl w:val="0"/>
          <w:numId w:val="2"/>
        </w:numPr>
        <w:rPr>
          <w:lang w:val="en-US"/>
        </w:rPr>
      </w:pPr>
      <w:proofErr w:type="gramStart"/>
      <w:r w:rsidRPr="006F08B6">
        <w:rPr>
          <w:lang w:val="en-US"/>
        </w:rPr>
        <w:t>Altman  DG</w:t>
      </w:r>
      <w:proofErr w:type="gramEnd"/>
      <w:r w:rsidRPr="006F08B6">
        <w:rPr>
          <w:lang w:val="en-US"/>
        </w:rPr>
        <w:t xml:space="preserve">:  Practical  Statistics  for  Medical  Research  </w:t>
      </w:r>
      <w:proofErr w:type="spellStart"/>
      <w:r w:rsidRPr="006F08B6">
        <w:rPr>
          <w:lang w:val="en-US"/>
        </w:rPr>
        <w:t>London:Chapman</w:t>
      </w:r>
      <w:proofErr w:type="spellEnd"/>
      <w:r w:rsidRPr="006F08B6">
        <w:rPr>
          <w:lang w:val="en-US"/>
        </w:rPr>
        <w:t xml:space="preserve"> &amp; Hall/CRC; 1999.</w:t>
      </w:r>
    </w:p>
    <w:p w:rsidR="00EF6D7D" w:rsidRPr="00EF6D7D" w:rsidRDefault="00EF6D7D" w:rsidP="00EF6D7D">
      <w:pPr>
        <w:pStyle w:val="Listeafsnit"/>
        <w:rPr>
          <w:lang w:val="en-US"/>
        </w:rPr>
      </w:pPr>
    </w:p>
    <w:sectPr w:rsidR="00EF6D7D" w:rsidRPr="00EF6D7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08B6" w:rsidRDefault="006F08B6" w:rsidP="006F08B6">
      <w:pPr>
        <w:spacing w:after="0" w:line="240" w:lineRule="auto"/>
      </w:pPr>
      <w:r>
        <w:separator/>
      </w:r>
    </w:p>
  </w:endnote>
  <w:endnote w:type="continuationSeparator" w:id="0">
    <w:p w:rsidR="006F08B6" w:rsidRDefault="006F08B6" w:rsidP="006F0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08B6" w:rsidRDefault="006F08B6" w:rsidP="006F08B6">
      <w:pPr>
        <w:spacing w:after="0" w:line="240" w:lineRule="auto"/>
      </w:pPr>
      <w:r>
        <w:separator/>
      </w:r>
    </w:p>
  </w:footnote>
  <w:footnote w:type="continuationSeparator" w:id="0">
    <w:p w:rsidR="006F08B6" w:rsidRDefault="006F08B6" w:rsidP="006F08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26AD2"/>
    <w:multiLevelType w:val="hybridMultilevel"/>
    <w:tmpl w:val="0D48E1E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00B33"/>
    <w:multiLevelType w:val="hybridMultilevel"/>
    <w:tmpl w:val="97CCF6F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bQwMTIxtTA0NLYwNjJV0lEKTi0uzszPAykwrwUAl2yeSSwAAAA="/>
  </w:docVars>
  <w:rsids>
    <w:rsidRoot w:val="006C41B9"/>
    <w:rsid w:val="002B6959"/>
    <w:rsid w:val="00324547"/>
    <w:rsid w:val="0044197D"/>
    <w:rsid w:val="004F4371"/>
    <w:rsid w:val="006C41B9"/>
    <w:rsid w:val="006F08B6"/>
    <w:rsid w:val="0088200E"/>
    <w:rsid w:val="00B6266F"/>
    <w:rsid w:val="00B97407"/>
    <w:rsid w:val="00C85A2C"/>
    <w:rsid w:val="00EF6D7D"/>
    <w:rsid w:val="00F9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584EC"/>
  <w15:chartTrackingRefBased/>
  <w15:docId w15:val="{DFA9CCAC-633A-47FA-B007-3B5B8BBAB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F6D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6F0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F08B6"/>
  </w:style>
  <w:style w:type="paragraph" w:styleId="Sidefod">
    <w:name w:val="footer"/>
    <w:basedOn w:val="Normal"/>
    <w:link w:val="SidefodTegn"/>
    <w:uiPriority w:val="99"/>
    <w:unhideWhenUsed/>
    <w:rsid w:val="006F08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F08B6"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3245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324547"/>
    <w:rPr>
      <w:rFonts w:ascii="Segoe UI" w:hAnsi="Segoe UI" w:cs="Segoe UI"/>
      <w:sz w:val="18"/>
      <w:szCs w:val="18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EF6D7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EF6D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3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116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Guldberg-Møller</dc:creator>
  <cp:keywords/>
  <dc:description/>
  <cp:lastModifiedBy>Jørgen Guldberg-Møller</cp:lastModifiedBy>
  <cp:revision>9</cp:revision>
  <dcterms:created xsi:type="dcterms:W3CDTF">2020-11-02T07:48:00Z</dcterms:created>
  <dcterms:modified xsi:type="dcterms:W3CDTF">2021-03-20T17:04:00Z</dcterms:modified>
</cp:coreProperties>
</file>