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494D" w:rsidRPr="00A01E43" w:rsidRDefault="0094376C" w:rsidP="00A01E43">
      <w:pPr>
        <w:pStyle w:val="Overskrift1"/>
        <w:spacing w:line="360" w:lineRule="auto"/>
        <w:rPr>
          <w:color w:val="auto"/>
          <w:sz w:val="28"/>
          <w:szCs w:val="28"/>
          <w:lang w:val="en-GB"/>
        </w:rPr>
      </w:pPr>
      <w:bookmarkStart w:id="0" w:name="_Hlk48137069"/>
      <w:r w:rsidRPr="00A01E43">
        <w:rPr>
          <w:color w:val="auto"/>
          <w:sz w:val="28"/>
          <w:szCs w:val="28"/>
          <w:lang w:val="en-GB"/>
        </w:rPr>
        <w:t xml:space="preserve">Supplements </w:t>
      </w:r>
      <w:r w:rsidR="009C7F7B">
        <w:rPr>
          <w:color w:val="auto"/>
          <w:sz w:val="28"/>
          <w:szCs w:val="28"/>
          <w:lang w:val="en-GB"/>
        </w:rPr>
        <w:t>4</w:t>
      </w:r>
    </w:p>
    <w:p w:rsidR="0094376C" w:rsidRPr="005E5E7A" w:rsidRDefault="0094376C" w:rsidP="005E5E7A">
      <w:pPr>
        <w:pStyle w:val="Overskrift2"/>
        <w:spacing w:line="360" w:lineRule="auto"/>
        <w:rPr>
          <w:color w:val="auto"/>
          <w:sz w:val="24"/>
          <w:szCs w:val="24"/>
          <w:lang w:val="en-GB"/>
        </w:rPr>
      </w:pPr>
      <w:r w:rsidRPr="005E5E7A">
        <w:rPr>
          <w:color w:val="auto"/>
          <w:sz w:val="24"/>
          <w:szCs w:val="24"/>
          <w:lang w:val="en-GB"/>
        </w:rPr>
        <w:t>Ultrasound protocol.</w:t>
      </w:r>
    </w:p>
    <w:p w:rsidR="00F71DB1" w:rsidRPr="00F71DB1" w:rsidRDefault="00F71DB1" w:rsidP="00F71DB1">
      <w:pPr>
        <w:pStyle w:val="Overskrift2"/>
        <w:spacing w:line="360" w:lineRule="auto"/>
        <w:rPr>
          <w:color w:val="auto"/>
          <w:sz w:val="24"/>
          <w:szCs w:val="24"/>
          <w:lang w:val="en-GB"/>
        </w:rPr>
      </w:pPr>
      <w:r w:rsidRPr="00F71DB1">
        <w:rPr>
          <w:color w:val="auto"/>
          <w:sz w:val="24"/>
          <w:szCs w:val="24"/>
          <w:lang w:val="en-GB"/>
        </w:rPr>
        <w:t xml:space="preserve">Machine </w:t>
      </w:r>
      <w:r w:rsidR="00AF5582" w:rsidRPr="00F71DB1">
        <w:rPr>
          <w:color w:val="auto"/>
          <w:sz w:val="24"/>
          <w:szCs w:val="24"/>
          <w:lang w:val="en-GB"/>
        </w:rPr>
        <w:t>pre-set</w:t>
      </w:r>
    </w:p>
    <w:p w:rsidR="00F71DB1" w:rsidRPr="00A01E43" w:rsidRDefault="00F71DB1" w:rsidP="0094376C">
      <w:pPr>
        <w:spacing w:line="360" w:lineRule="auto"/>
        <w:rPr>
          <w:sz w:val="24"/>
          <w:szCs w:val="24"/>
          <w:lang w:val="en-GB"/>
        </w:rPr>
      </w:pPr>
      <w:r w:rsidRPr="004D194B">
        <w:rPr>
          <w:rFonts w:cstheme="minorHAnsi"/>
          <w:sz w:val="24"/>
          <w:szCs w:val="24"/>
          <w:lang w:val="en-GB"/>
        </w:rPr>
        <w:t>A specific pre-set was developed for optimising GS image resolution, and CD was standardised: 500 Hz for pulse repetition frequency, 2 for wall filter, 1 for persistence and colour gain 17. See supplements 2 for ultrasound protocol.</w:t>
      </w:r>
    </w:p>
    <w:bookmarkEnd w:id="0"/>
    <w:p w:rsidR="0094376C" w:rsidRPr="00A01E43" w:rsidRDefault="0094376C" w:rsidP="005647FF">
      <w:pPr>
        <w:pStyle w:val="Overskrift2"/>
        <w:spacing w:line="360" w:lineRule="auto"/>
        <w:rPr>
          <w:color w:val="auto"/>
          <w:sz w:val="24"/>
          <w:szCs w:val="24"/>
          <w:lang w:val="en-GB"/>
        </w:rPr>
      </w:pPr>
      <w:r w:rsidRPr="00A01E43">
        <w:rPr>
          <w:color w:val="auto"/>
          <w:sz w:val="24"/>
          <w:szCs w:val="24"/>
          <w:lang w:val="en-GB"/>
        </w:rPr>
        <w:t>Joints</w:t>
      </w:r>
    </w:p>
    <w:p w:rsidR="0094376C" w:rsidRPr="00A01E43" w:rsidRDefault="0094376C" w:rsidP="0094376C">
      <w:pPr>
        <w:spacing w:line="360" w:lineRule="auto"/>
        <w:rPr>
          <w:sz w:val="24"/>
          <w:szCs w:val="24"/>
          <w:lang w:val="en-GB"/>
        </w:rPr>
      </w:pPr>
      <w:bookmarkStart w:id="1" w:name="_Hlk58763904"/>
      <w:r w:rsidRPr="00A01E43">
        <w:rPr>
          <w:sz w:val="24"/>
          <w:szCs w:val="24"/>
          <w:lang w:val="en-GB"/>
        </w:rPr>
        <w:t>Dorsal and volar aspects of 2</w:t>
      </w:r>
      <w:r w:rsidR="009C7F7B">
        <w:rPr>
          <w:sz w:val="24"/>
          <w:szCs w:val="24"/>
          <w:vertAlign w:val="superscript"/>
          <w:lang w:val="en-GB"/>
        </w:rPr>
        <w:t>nd</w:t>
      </w:r>
      <w:r w:rsidRPr="00A01E43">
        <w:rPr>
          <w:sz w:val="24"/>
          <w:szCs w:val="24"/>
          <w:lang w:val="en-GB"/>
        </w:rPr>
        <w:t xml:space="preserve"> to </w:t>
      </w:r>
      <w:r w:rsidR="007261E3">
        <w:rPr>
          <w:sz w:val="24"/>
          <w:szCs w:val="24"/>
          <w:lang w:val="en-GB"/>
        </w:rPr>
        <w:t>5</w:t>
      </w:r>
      <w:r w:rsidR="009C7F7B">
        <w:rPr>
          <w:sz w:val="24"/>
          <w:szCs w:val="24"/>
          <w:vertAlign w:val="superscript"/>
          <w:lang w:val="en-GB"/>
        </w:rPr>
        <w:t>th</w:t>
      </w:r>
      <w:r w:rsidRPr="00A01E43">
        <w:rPr>
          <w:sz w:val="24"/>
          <w:szCs w:val="24"/>
          <w:lang w:val="en-GB"/>
        </w:rPr>
        <w:t xml:space="preserve"> DIP-joint was semi-quantitatively scored 0-3 for Grey-scale synovial hypertrophy and 0-3 for Color Doppler according to the OMERACT standards </w:t>
      </w:r>
      <w:r w:rsidRPr="00A01E43">
        <w:rPr>
          <w:sz w:val="24"/>
          <w:szCs w:val="24"/>
          <w:lang w:val="en-GB"/>
        </w:rPr>
        <w:fldChar w:fldCharType="begin" w:fldLock="1"/>
      </w:r>
      <w:r w:rsidR="00AF18AB">
        <w:rPr>
          <w:sz w:val="24"/>
          <w:szCs w:val="24"/>
          <w:lang w:val="en-GB"/>
        </w:rPr>
        <w:instrText>ADDIN CSL_CITATION {"citationItems":[{"id":"ITEM-1","itemData":{"DOI":"10.1136/rmdopen-2016-000427","ISSN":"20565933","abstract":"© Article author(s) (or their employer(s) unless otherwise stated in the text of the article) 2017. All rights reserved. No commercial use is permitted unless otherwise expressly granted. Objectives To test the reliability of new ultrasound (US) definitions and quantification of synovial hypertrophy (SH) and power Doppler (PD) signal, separately and in combination, in a range of joints in patients with rheumatoid arthritis (RA) using the European League Against Rheumatisms-Outcomes Measures in Rheumatology (EULAR-OMERACT) combined score for PD and SH. Methods A stepwise approach was used: (1) scoring static images of metacarpophalangeal (MCP) joints in a web-based exercise and subsequently when scanning patients; (2) scoring static images of wrist, proximal interphalangeal joints, knee and metatarsophalangeal joints in a web-based exercise and subsequently when scanning patients using different acquisitions (standardised vs usual practice). For reliability, kappa coefficients (κ) were used. Results Scoring MCP joints in static images showed substantial intraobserver variability but good to excellent interobserver reliability. In patients, intraobserver reliability was the same for the two acquisition methods. Interobserver reliability for SH (κ =0.87) and PD (κ =0.79) and the EULAR-OMERACT combined score (κ =0.86) were better when using a 'standardised' scan. For the other joints, the intraobserver reliability was excellent in static images for all scores (κ =0.8-0.97) and the interobserver reliability marginally lower. When using standardised scanning in patients, the intraobserver was good (κ =0.64 for SH and the EULAR-OMERACT combined score, 0.66 for PD) and the interobserver reliability was also good especially for PD (κ range=0.41-0.92). Conclusion The EULAR-OMERACT score demonstrated moderate-good reliability in MCP joints using a standardised scan and is equally applicable in non-MCP joints. This scoring system should underpin improved reliability and consequently the responsiveness of US in RA clinical trials.","author":[{"dropping-particle":"","family":"Terslev","given":"Lene","non-dropping-particle":"","parse-names":false,"suffix":""},{"dropping-particle":"","family":"Naredo","given":"Esperanza","non-dropping-particle":"","parse-names":false,"suffix":""},{"dropping-particle":"","family":"Aegerter","given":"Philippe","non-dropping-particle":"","parse-names":false,"suffix":""},{"dropping-particle":"","family":"Wakefield","given":"Richard J.","non-dropping-particle":"","parse-names":false,"suffix":""},{"dropping-particle":"","family":"Backhaus","given":"Marina","non-dropping-particle":"","parse-names":false,"suffix":""},{"dropping-particle":"","family":"Balint","given":"Peter","non-dropping-particle":"","parse-names":false,"suffix":""},{"dropping-particle":"","family":"Bruyn","given":"George A.W.","non-dropping-particle":"","parse-names":false,"suffix":""},{"dropping-particle":"","family":"Iagnocco","given":"Annamaria","non-dropping-particle":"","parse-names":false,"suffix":""},{"dropping-particle":"","family":"Jousse-Joulin","given":"Sandrine","non-dropping-particle":"","parse-names":false,"suffix":""},{"dropping-particle":"","family":"Schmidt","given":"Wolfgang A.","non-dropping-particle":"","parse-names":false,"suffix":""},{"dropping-particle":"","family":"Szkudlarek","given":"Marcin","non-dropping-particle":"","parse-names":false,"suffix":""},{"dropping-particle":"","family":"Conaghan","given":"Philip G.","non-dropping-particle":"","parse-names":false,"suffix":""},{"dropping-particle":"","family":"Filippucci","given":"Emilio","non-dropping-particle":"","parse-names":false,"suffix":""},{"dropping-particle":"","family":"D'Agostino","given":"Maria Antonietta","non-dropping-particle":"","parse-names":false,"suffix":""}],"container-title":"RMD Open","id":"ITEM-1","issue":"1","issued":{"date-parts":[["2017"]]},"title":"Scoring ultrasound synovitis in rheumatoid arthritis: A EULAR-OMERACT ultrasound taskforce-Part 2: Reliability and application to multiple joints of a standardised consensus-based scoring system","type":"article-journal","volume":"3"},"uris":["http://www.mendeley.com/documents/?uuid=9a3495df-2ffa-482f-9277-bbcecbee0c61"]}],"mendeley":{"formattedCitation":"[1]","plainTextFormattedCitation":"[1]","previouslyFormattedCitation":"[1]"},"properties":{"noteIndex":0},"schema":"https://github.com/citation-style-language/schema/raw/master/csl-citation.json"}</w:instrText>
      </w:r>
      <w:r w:rsidRPr="00A01E43">
        <w:rPr>
          <w:sz w:val="24"/>
          <w:szCs w:val="24"/>
          <w:lang w:val="en-GB"/>
        </w:rPr>
        <w:fldChar w:fldCharType="separate"/>
      </w:r>
      <w:r w:rsidR="00AF18AB" w:rsidRPr="00AF18AB">
        <w:rPr>
          <w:noProof/>
          <w:sz w:val="24"/>
          <w:szCs w:val="24"/>
          <w:lang w:val="en-GB"/>
        </w:rPr>
        <w:t>[1]</w:t>
      </w:r>
      <w:r w:rsidRPr="00A01E43">
        <w:rPr>
          <w:sz w:val="24"/>
          <w:szCs w:val="24"/>
          <w:lang w:val="en-GB"/>
        </w:rPr>
        <w:fldChar w:fldCharType="end"/>
      </w:r>
      <w:r w:rsidRPr="00A01E43">
        <w:rPr>
          <w:sz w:val="24"/>
          <w:szCs w:val="24"/>
          <w:lang w:val="en-GB"/>
        </w:rPr>
        <w:t>.</w:t>
      </w:r>
      <w:r w:rsidRPr="00A01E43">
        <w:rPr>
          <w:sz w:val="24"/>
          <w:szCs w:val="24"/>
          <w:lang w:val="en-GB"/>
        </w:rPr>
        <w:br/>
      </w:r>
      <w:bookmarkEnd w:id="1"/>
      <w:r w:rsidRPr="00A01E43">
        <w:rPr>
          <w:sz w:val="24"/>
          <w:szCs w:val="24"/>
          <w:lang w:val="en-GB"/>
        </w:rPr>
        <w:t xml:space="preserve">The joint was assessed for erosions and </w:t>
      </w:r>
      <w:r w:rsidR="00081B13">
        <w:rPr>
          <w:sz w:val="24"/>
          <w:szCs w:val="24"/>
          <w:lang w:val="en-GB"/>
        </w:rPr>
        <w:t>new bone formation</w:t>
      </w:r>
      <w:bookmarkStart w:id="2" w:name="_GoBack"/>
      <w:bookmarkEnd w:id="2"/>
      <w:r w:rsidRPr="00A01E43">
        <w:rPr>
          <w:sz w:val="24"/>
          <w:szCs w:val="24"/>
          <w:lang w:val="en-GB"/>
        </w:rPr>
        <w:t>. Erosions w</w:t>
      </w:r>
      <w:r w:rsidR="009C7F7B">
        <w:rPr>
          <w:sz w:val="24"/>
          <w:szCs w:val="24"/>
          <w:lang w:val="en-GB"/>
        </w:rPr>
        <w:t>ere</w:t>
      </w:r>
      <w:r w:rsidRPr="00A01E43">
        <w:rPr>
          <w:sz w:val="24"/>
          <w:szCs w:val="24"/>
          <w:lang w:val="en-GB"/>
        </w:rPr>
        <w:t xml:space="preserve"> defined as a step-down contour defect visible in transversal and longitudinal planes (scored 0-3 with 0=no erosion, 1=erosion&lt;2mm, 2=erosion&gt;2mm, 3=large destruction of the joint). </w:t>
      </w:r>
      <w:r w:rsidR="00F71DB1">
        <w:rPr>
          <w:sz w:val="24"/>
          <w:szCs w:val="24"/>
          <w:lang w:val="en-GB"/>
        </w:rPr>
        <w:t>New bone formation</w:t>
      </w:r>
      <w:r w:rsidRPr="00A01E43">
        <w:rPr>
          <w:sz w:val="24"/>
          <w:szCs w:val="24"/>
          <w:lang w:val="en-GB"/>
        </w:rPr>
        <w:t xml:space="preserve"> was defined by a step-up contour </w:t>
      </w:r>
      <w:bookmarkStart w:id="3" w:name="_Hlk5782901"/>
      <w:r w:rsidRPr="00A01E43">
        <w:rPr>
          <w:sz w:val="24"/>
          <w:szCs w:val="24"/>
          <w:lang w:val="en-GB"/>
        </w:rPr>
        <w:t xml:space="preserve">semi-quantitatively scored from 0-3: </w:t>
      </w:r>
      <w:bookmarkEnd w:id="3"/>
      <w:r w:rsidRPr="00A01E43">
        <w:rPr>
          <w:sz w:val="24"/>
          <w:szCs w:val="24"/>
          <w:lang w:val="en-GB"/>
        </w:rPr>
        <w:t xml:space="preserve">0=no osteophyte, 1= small osteophyte, 2= medium osteophyte and 3=large diffuse osteophytes. </w:t>
      </w:r>
    </w:p>
    <w:p w:rsidR="0094376C" w:rsidRPr="00A01E43" w:rsidRDefault="0094376C" w:rsidP="005647FF">
      <w:pPr>
        <w:pStyle w:val="Overskrift2"/>
        <w:spacing w:line="360" w:lineRule="auto"/>
        <w:rPr>
          <w:color w:val="auto"/>
          <w:sz w:val="24"/>
          <w:szCs w:val="24"/>
          <w:lang w:val="en-GB"/>
        </w:rPr>
      </w:pPr>
      <w:r w:rsidRPr="00A01E43">
        <w:rPr>
          <w:color w:val="auto"/>
          <w:sz w:val="24"/>
          <w:szCs w:val="24"/>
          <w:lang w:val="en-GB"/>
        </w:rPr>
        <w:t>Enthesis</w:t>
      </w:r>
    </w:p>
    <w:p w:rsidR="0094376C" w:rsidRPr="00A01E43" w:rsidRDefault="0094376C" w:rsidP="0094376C">
      <w:pPr>
        <w:spacing w:line="360" w:lineRule="auto"/>
        <w:rPr>
          <w:color w:val="000000" w:themeColor="text1"/>
          <w:sz w:val="24"/>
          <w:szCs w:val="24"/>
          <w:lang w:val="en-GB" w:eastAsia="da-DK"/>
        </w:rPr>
      </w:pPr>
      <w:r w:rsidRPr="00A01E43">
        <w:rPr>
          <w:color w:val="000000" w:themeColor="text1"/>
          <w:sz w:val="24"/>
          <w:szCs w:val="24"/>
          <w:lang w:val="en-GB" w:eastAsia="da-DK"/>
        </w:rPr>
        <w:t>Extensor and flexor tendons w</w:t>
      </w:r>
      <w:r w:rsidR="009C7F7B">
        <w:rPr>
          <w:color w:val="000000" w:themeColor="text1"/>
          <w:sz w:val="24"/>
          <w:szCs w:val="24"/>
          <w:lang w:val="en-GB" w:eastAsia="da-DK"/>
        </w:rPr>
        <w:t>ere</w:t>
      </w:r>
      <w:r w:rsidRPr="00A01E43">
        <w:rPr>
          <w:color w:val="000000" w:themeColor="text1"/>
          <w:sz w:val="24"/>
          <w:szCs w:val="24"/>
          <w:lang w:val="en-GB" w:eastAsia="da-DK"/>
        </w:rPr>
        <w:t xml:space="preserve"> scored at the level of DIP-joint and enthesopathy was evaluated according to OMERACT recommendations </w:t>
      </w:r>
      <w:r w:rsidRPr="00A01E43">
        <w:rPr>
          <w:color w:val="000000" w:themeColor="text1"/>
          <w:sz w:val="24"/>
          <w:szCs w:val="24"/>
          <w:lang w:val="en-GB" w:eastAsia="da-DK"/>
        </w:rPr>
        <w:fldChar w:fldCharType="begin" w:fldLock="1"/>
      </w:r>
      <w:r w:rsidR="00AF18AB">
        <w:rPr>
          <w:color w:val="000000" w:themeColor="text1"/>
          <w:sz w:val="24"/>
          <w:szCs w:val="24"/>
          <w:lang w:val="en-GB" w:eastAsia="da-DK"/>
        </w:rPr>
        <w:instrText>ADDIN CSL_CITATION {"citationItems":[{"id":"ITEM-1","itemData":{"DOI":"10.1002/acr.22191","ISBN":"2151-4658 (Electronic)\r2151-464X (Linking)","ISSN":"21514658","PMID":"24151222","abstract":"OBJECTIVE: To standardize ultrasound (US) in enthesitis. METHODS: An initial Delphi exercise was undertaken to define US-detected enthesitis and its core components. These definitions were subsequently tested on static images taken from spondyloarthritis patients in order to evaluate their reliability. RESULTS: Excellent agreement (&gt;80%) was obtained for including hypoechogenicity, increased thickness of the tendon insertion, calcifications, enthesophytes, erosions, and Doppler activity as core elementary lesions of US-detected enthesitis. US definitions were subsequently obtained for each elementary component. On static images, the intraobserver reliability showed a high degree of variability for the detection of elementary lesions, with kappa coefficients ranging from 0.13-1. The interobserver kappa values were variable, with the lowest kappa coefficient for enthesophytes (0.24) and the highest coefficient for Doppler activity at the enthesis (0.63). CONCLUSION: This is the first consensus-based US definition of enthesitis and its elementary components and the first step performed to ensure a higher degree of homogeneity and comparability of results between studies and in daily clinical work.","author":[{"dropping-particle":"","family":"Terslev","given":"L.","non-dropping-particle":"","parse-names":false,"suffix":""},{"dropping-particle":"","family":"Naredo","given":"E.","non-dropping-particle":"","parse-names":false,"suffix":""},{"dropping-particle":"","family":"Iagnocco","given":"A.","non-dropping-particle":"","parse-names":false,"suffix":""},{"dropping-particle":"V.","family":"Balint","given":"P.","non-dropping-particle":"","parse-names":false,"suffix":""},{"dropping-particle":"","family":"Wakefield","given":"R. J.","non-dropping-particle":"","parse-names":false,"suffix":""},{"dropping-particle":"","family":"Aegerter","given":"P.","non-dropping-particle":"","parse-names":false,"suffix":""},{"dropping-particle":"","family":"Aydin","given":"S. Z.","non-dropping-particle":"","parse-names":false,"suffix":""},{"dropping-particle":"","family":"Bachta","given":"A.","non-dropping-particle":"","parse-names":false,"suffix":""},{"dropping-particle":"","family":"Hammer","given":"H. B.","non-dropping-particle":"","parse-names":false,"suffix":""},{"dropping-particle":"","family":"Bruyn","given":"G. A W","non-dropping-particle":"","parse-names":false,"suffix":""},{"dropping-particle":"","family":"Filippucci","given":"E.","non-dropping-particle":"","parse-names":false,"suffix":""},{"dropping-particle":"","family":"Gandjbakhch","given":"F.","non-dropping-particle":"","parse-names":false,"suffix":""},{"dropping-particle":"","family":"Mandl","given":"P.","non-dropping-particle":"","parse-names":false,"suffix":""},{"dropping-particle":"","family":"Pineda","given":"C.","non-dropping-particle":"","parse-names":false,"suffix":""},{"dropping-particle":"","family":"Schmidt","given":"W. A.","non-dropping-particle":"","parse-names":false,"suffix":""},{"dropping-particle":"","family":"D'Agostino","given":"M. A.","non-dropping-particle":"","parse-names":false,"suffix":""}],"container-title":"Arthritis Care and Research","id":"ITEM-1","issue":"5","issued":{"date-parts":[["2014"]]},"title":"Defining enthesitis in spondyloarthritis by ultrasound: Results of a delphi process and of a reliability reading exercise","type":"article-journal","volume":"66"},"uris":["http://www.mendeley.com/documents/?uuid=481802f5-7f87-3083-a7b4-ebea2f3738e5"]}],"mendeley":{"formattedCitation":"[2]","plainTextFormattedCitation":"[2]","previouslyFormattedCitation":"[2]"},"properties":{"noteIndex":0},"schema":"https://github.com/citation-style-language/schema/raw/master/csl-citation.json"}</w:instrText>
      </w:r>
      <w:r w:rsidRPr="00A01E43">
        <w:rPr>
          <w:color w:val="000000" w:themeColor="text1"/>
          <w:sz w:val="24"/>
          <w:szCs w:val="24"/>
          <w:lang w:val="en-GB" w:eastAsia="da-DK"/>
        </w:rPr>
        <w:fldChar w:fldCharType="separate"/>
      </w:r>
      <w:r w:rsidR="00AF18AB" w:rsidRPr="00AF18AB">
        <w:rPr>
          <w:noProof/>
          <w:color w:val="000000" w:themeColor="text1"/>
          <w:sz w:val="24"/>
          <w:szCs w:val="24"/>
          <w:lang w:val="en-GB" w:eastAsia="da-DK"/>
        </w:rPr>
        <w:t>[2]</w:t>
      </w:r>
      <w:r w:rsidRPr="00A01E43">
        <w:rPr>
          <w:color w:val="000000" w:themeColor="text1"/>
          <w:sz w:val="24"/>
          <w:szCs w:val="24"/>
          <w:lang w:val="en-GB" w:eastAsia="da-DK"/>
        </w:rPr>
        <w:fldChar w:fldCharType="end"/>
      </w:r>
      <w:r w:rsidRPr="00A01E43">
        <w:rPr>
          <w:color w:val="000000" w:themeColor="text1"/>
          <w:sz w:val="24"/>
          <w:szCs w:val="24"/>
          <w:lang w:val="en-GB" w:eastAsia="da-DK"/>
        </w:rPr>
        <w:t xml:space="preserve">: 0=absent, 1=at least one feature present.  </w:t>
      </w:r>
      <w:r w:rsidRPr="00A01E43">
        <w:rPr>
          <w:color w:val="000000" w:themeColor="text1"/>
          <w:sz w:val="24"/>
          <w:szCs w:val="24"/>
          <w:lang w:val="en-GB" w:eastAsia="da-DK"/>
        </w:rPr>
        <w:br/>
        <w:t xml:space="preserve">Peritenonitis was defined as a hypoechoic swelling of the soft tissue surrounding the extensor digitorum tendon with or without peri-tendinous CD signal </w:t>
      </w:r>
      <w:r w:rsidRPr="00A01E43">
        <w:rPr>
          <w:color w:val="000000" w:themeColor="text1"/>
          <w:sz w:val="24"/>
          <w:szCs w:val="24"/>
          <w:lang w:val="en-GB" w:eastAsia="da-DK"/>
        </w:rPr>
        <w:fldChar w:fldCharType="begin" w:fldLock="1"/>
      </w:r>
      <w:r w:rsidR="00AF18AB">
        <w:rPr>
          <w:color w:val="000000" w:themeColor="text1"/>
          <w:sz w:val="24"/>
          <w:szCs w:val="24"/>
          <w:lang w:val="en-GB" w:eastAsia="da-DK"/>
        </w:rPr>
        <w:instrText>ADDIN CSL_CITATION {"citationItems":[{"id":"ITEM-1","itemData":{"DOI":"10.1007/s10067-009-1292-y","ISSN":"07703198","abstract":"Ultrasound is a rapidly evolving technique that is gaining an increasing success in the assessment of psoriatic arthritis. Most of the studies have been aimed at investigating its ability in the assessment of joints, tendons, and entheses in psoriatic arthritis patients. Less attention has been paid to demonstrate the potential of ultrasound in the evaluation of skin and nail. The aim of this pictorial essay was to show the main high-frequency grayscale and power Doppler ultrasound findings in patients with psoriatic arthritis at joint, tendon, enthesis, skin, and nail level.","author":[{"dropping-particle":"","family":"Gutierrez","given":"Marwin","non-dropping-particle":"","parse-names":false,"suffix":""},{"dropping-particle":"","family":"Filippucci","given":"Emilio","non-dropping-particle":"","parse-names":false,"suffix":""},{"dropping-particle":"","family":"Angelis","given":"Rossella","non-dropping-particle":"De","parse-names":false,"suffix":""},{"dropping-particle":"","family":"Filosa","given":"Giorgio","non-dropping-particle":"","parse-names":false,"suffix":""},{"dropping-particle":"","family":"Kane","given":"David","non-dropping-particle":"","parse-names":false,"suffix":""},{"dropping-particle":"","family":"Grassi","given":"Walter","non-dropping-particle":"","parse-names":false,"suffix":""}],"container-title":"Clinical Rheumatology","id":"ITEM-1","issue":"2","issued":{"date-parts":[["2010"]]},"page":"133-142","title":"A sonographic spectrum of psoriatic arthritis: \"the five targets\"","type":"article-journal","volume":"29"},"uris":["http://www.mendeley.com/documents/?uuid=d71ce42b-2d4a-4e58-9455-4a52c8d65e86"]}],"mendeley":{"formattedCitation":"[3]","plainTextFormattedCitation":"[3]","previouslyFormattedCitation":"[3]"},"properties":{"noteIndex":0},"schema":"https://github.com/citation-style-language/schema/raw/master/csl-citation.json"}</w:instrText>
      </w:r>
      <w:r w:rsidRPr="00A01E43">
        <w:rPr>
          <w:color w:val="000000" w:themeColor="text1"/>
          <w:sz w:val="24"/>
          <w:szCs w:val="24"/>
          <w:lang w:val="en-GB" w:eastAsia="da-DK"/>
        </w:rPr>
        <w:fldChar w:fldCharType="separate"/>
      </w:r>
      <w:r w:rsidR="00AF18AB" w:rsidRPr="00AF18AB">
        <w:rPr>
          <w:noProof/>
          <w:color w:val="000000" w:themeColor="text1"/>
          <w:sz w:val="24"/>
          <w:szCs w:val="24"/>
          <w:lang w:val="en-GB" w:eastAsia="da-DK"/>
        </w:rPr>
        <w:t>[3]</w:t>
      </w:r>
      <w:r w:rsidRPr="00A01E43">
        <w:rPr>
          <w:color w:val="000000" w:themeColor="text1"/>
          <w:sz w:val="24"/>
          <w:szCs w:val="24"/>
          <w:lang w:val="en-GB" w:eastAsia="da-DK"/>
        </w:rPr>
        <w:fldChar w:fldCharType="end"/>
      </w:r>
      <w:r w:rsidRPr="00A01E43">
        <w:rPr>
          <w:color w:val="000000" w:themeColor="text1"/>
          <w:sz w:val="24"/>
          <w:szCs w:val="24"/>
          <w:lang w:val="en-GB" w:eastAsia="da-DK"/>
        </w:rPr>
        <w:t xml:space="preserve"> was dichotomously scored: 0=absent, 1=at least one feature present.</w:t>
      </w:r>
      <w:r w:rsidRPr="00A01E43">
        <w:rPr>
          <w:color w:val="000000" w:themeColor="text1"/>
          <w:sz w:val="24"/>
          <w:szCs w:val="24"/>
          <w:lang w:val="en-GB" w:eastAsia="da-DK"/>
        </w:rPr>
        <w:br/>
        <w:t xml:space="preserve">The </w:t>
      </w:r>
      <w:r w:rsidR="009C7F7B">
        <w:rPr>
          <w:color w:val="000000" w:themeColor="text1"/>
          <w:sz w:val="24"/>
          <w:szCs w:val="24"/>
          <w:lang w:val="en-GB" w:eastAsia="da-DK"/>
        </w:rPr>
        <w:t>extensor tendon's inserti</w:t>
      </w:r>
      <w:r w:rsidRPr="00A01E43">
        <w:rPr>
          <w:color w:val="000000" w:themeColor="text1"/>
          <w:sz w:val="24"/>
          <w:szCs w:val="24"/>
          <w:lang w:val="en-GB" w:eastAsia="da-DK"/>
        </w:rPr>
        <w:t xml:space="preserve">on was measured (mm) </w:t>
      </w:r>
      <w:bookmarkStart w:id="4" w:name="_Hlk58764320"/>
      <w:r w:rsidRPr="00A01E43">
        <w:rPr>
          <w:color w:val="000000" w:themeColor="text1"/>
          <w:sz w:val="24"/>
          <w:szCs w:val="24"/>
          <w:lang w:val="en-GB" w:eastAsia="da-DK"/>
        </w:rPr>
        <w:t xml:space="preserve">in the longitudinal plane </w:t>
      </w:r>
      <w:bookmarkEnd w:id="4"/>
      <w:r w:rsidRPr="00A01E43">
        <w:rPr>
          <w:color w:val="000000" w:themeColor="text1"/>
          <w:sz w:val="24"/>
          <w:szCs w:val="24"/>
          <w:lang w:val="en-GB" w:eastAsia="da-DK"/>
        </w:rPr>
        <w:t>from the bone perpendicular to the tendon. The insertion of the flexor tendon was measured (mm) in the longitudinal plane.</w:t>
      </w:r>
    </w:p>
    <w:p w:rsidR="0094376C" w:rsidRPr="00A01E43" w:rsidRDefault="0094376C" w:rsidP="005647FF">
      <w:pPr>
        <w:pStyle w:val="Overskrift2"/>
        <w:spacing w:line="360" w:lineRule="auto"/>
        <w:rPr>
          <w:color w:val="auto"/>
          <w:sz w:val="24"/>
          <w:szCs w:val="24"/>
          <w:lang w:val="en-GB"/>
        </w:rPr>
      </w:pPr>
      <w:r w:rsidRPr="00A01E43">
        <w:rPr>
          <w:color w:val="auto"/>
          <w:sz w:val="24"/>
          <w:szCs w:val="24"/>
          <w:lang w:val="en-GB"/>
        </w:rPr>
        <w:t>Nail</w:t>
      </w:r>
    </w:p>
    <w:p w:rsidR="00F41DA3" w:rsidRDefault="0094376C" w:rsidP="0094376C">
      <w:pPr>
        <w:spacing w:line="360" w:lineRule="auto"/>
        <w:rPr>
          <w:color w:val="000000" w:themeColor="text1"/>
          <w:sz w:val="24"/>
          <w:szCs w:val="24"/>
          <w:lang w:val="en-GB" w:eastAsia="da-DK"/>
        </w:rPr>
      </w:pPr>
      <w:r w:rsidRPr="00A01E43">
        <w:rPr>
          <w:color w:val="000000" w:themeColor="text1"/>
          <w:sz w:val="24"/>
          <w:szCs w:val="24"/>
          <w:lang w:val="en-GB" w:eastAsia="da-DK"/>
        </w:rPr>
        <w:t xml:space="preserve">Each fingernail from 2nd to 5th fingers was scanned in the grayscale mode.  </w:t>
      </w:r>
      <w:bookmarkStart w:id="5" w:name="_Hlk58764289"/>
      <w:r w:rsidRPr="00A01E43">
        <w:rPr>
          <w:color w:val="000000" w:themeColor="text1"/>
          <w:sz w:val="24"/>
          <w:szCs w:val="24"/>
          <w:lang w:val="en-GB" w:eastAsia="da-DK"/>
        </w:rPr>
        <w:t xml:space="preserve">Nail matrix, nail fold and nail thickness </w:t>
      </w:r>
      <w:r w:rsidR="00F41DA3" w:rsidRPr="00A01E43">
        <w:rPr>
          <w:color w:val="000000" w:themeColor="text1"/>
          <w:sz w:val="24"/>
          <w:szCs w:val="24"/>
          <w:lang w:val="en-GB" w:eastAsia="da-DK"/>
        </w:rPr>
        <w:t>were</w:t>
      </w:r>
      <w:r w:rsidRPr="00A01E43">
        <w:rPr>
          <w:color w:val="000000" w:themeColor="text1"/>
          <w:sz w:val="24"/>
          <w:szCs w:val="24"/>
          <w:lang w:val="en-GB" w:eastAsia="da-DK"/>
        </w:rPr>
        <w:t xml:space="preserve"> measured in mm. </w:t>
      </w:r>
      <w:bookmarkEnd w:id="5"/>
    </w:p>
    <w:p w:rsidR="00F41DA3" w:rsidRPr="00F41DA3" w:rsidRDefault="00F41DA3" w:rsidP="00F41DA3">
      <w:pPr>
        <w:pStyle w:val="Overskrift2"/>
        <w:spacing w:line="360" w:lineRule="auto"/>
        <w:rPr>
          <w:color w:val="auto"/>
          <w:sz w:val="24"/>
          <w:szCs w:val="24"/>
          <w:lang w:val="en-GB"/>
        </w:rPr>
      </w:pPr>
      <w:r w:rsidRPr="00F41DA3">
        <w:rPr>
          <w:color w:val="auto"/>
          <w:sz w:val="24"/>
          <w:szCs w:val="24"/>
          <w:lang w:val="en-GB"/>
        </w:rPr>
        <w:lastRenderedPageBreak/>
        <w:t>Doppler quantification</w:t>
      </w:r>
    </w:p>
    <w:p w:rsidR="0094376C" w:rsidRPr="00A01E43" w:rsidRDefault="0094376C" w:rsidP="0094376C">
      <w:pPr>
        <w:spacing w:line="360" w:lineRule="auto"/>
        <w:rPr>
          <w:color w:val="000000" w:themeColor="text1"/>
          <w:sz w:val="24"/>
          <w:szCs w:val="24"/>
          <w:lang w:val="en-GB" w:eastAsia="da-DK"/>
        </w:rPr>
      </w:pPr>
      <w:r w:rsidRPr="00A01E43">
        <w:rPr>
          <w:color w:val="000000" w:themeColor="text1"/>
          <w:sz w:val="24"/>
          <w:szCs w:val="24"/>
          <w:lang w:val="en-GB" w:eastAsia="da-DK"/>
        </w:rPr>
        <w:t>Doppler quantification technique enable</w:t>
      </w:r>
      <w:r w:rsidR="00F41DA3">
        <w:rPr>
          <w:color w:val="000000" w:themeColor="text1"/>
          <w:sz w:val="24"/>
          <w:szCs w:val="24"/>
          <w:lang w:val="en-GB" w:eastAsia="da-DK"/>
        </w:rPr>
        <w:t>d</w:t>
      </w:r>
      <w:r w:rsidRPr="00A01E43">
        <w:rPr>
          <w:color w:val="000000" w:themeColor="text1"/>
          <w:sz w:val="24"/>
          <w:szCs w:val="24"/>
          <w:lang w:val="en-GB" w:eastAsia="da-DK"/>
        </w:rPr>
        <w:t xml:space="preserve"> blood flow visualisation of the nail fold by calculating the number of coloured pixels in relation to the total amount of pixels in the region of interest (ROI) expressed as the colour fraction (coloured pixels/total pixels). The ROI </w:t>
      </w:r>
      <w:r w:rsidR="00F41DA3">
        <w:rPr>
          <w:color w:val="000000" w:themeColor="text1"/>
          <w:sz w:val="24"/>
          <w:szCs w:val="24"/>
          <w:lang w:val="en-GB" w:eastAsia="da-DK"/>
        </w:rPr>
        <w:t>was</w:t>
      </w:r>
      <w:r w:rsidRPr="00A01E43">
        <w:rPr>
          <w:color w:val="000000" w:themeColor="text1"/>
          <w:sz w:val="24"/>
          <w:szCs w:val="24"/>
          <w:lang w:val="en-GB" w:eastAsia="da-DK"/>
        </w:rPr>
        <w:t xml:space="preserve"> drawn from the basis of the distal phalanges, along the bony surface to the level of the nail fold and the skin encompassing the nail matrix, nail fold and extensor tendon from the DIP – joint to the nail-basis. The blood flow </w:t>
      </w:r>
      <w:r w:rsidR="00F41DA3">
        <w:rPr>
          <w:color w:val="000000" w:themeColor="text1"/>
          <w:sz w:val="24"/>
          <w:szCs w:val="24"/>
          <w:lang w:val="en-GB" w:eastAsia="da-DK"/>
        </w:rPr>
        <w:t>was</w:t>
      </w:r>
      <w:r w:rsidRPr="00A01E43">
        <w:rPr>
          <w:color w:val="000000" w:themeColor="text1"/>
          <w:sz w:val="24"/>
          <w:szCs w:val="24"/>
          <w:lang w:val="en-GB" w:eastAsia="da-DK"/>
        </w:rPr>
        <w:t xml:space="preserve"> quantitatively </w:t>
      </w:r>
      <w:r w:rsidR="00F41DA3">
        <w:rPr>
          <w:color w:val="000000" w:themeColor="text1"/>
          <w:sz w:val="24"/>
          <w:szCs w:val="24"/>
          <w:lang w:val="en-GB" w:eastAsia="da-DK"/>
        </w:rPr>
        <w:t>read</w:t>
      </w:r>
      <w:r w:rsidRPr="00A01E43">
        <w:rPr>
          <w:color w:val="000000" w:themeColor="text1"/>
          <w:sz w:val="24"/>
          <w:szCs w:val="24"/>
          <w:lang w:val="en-GB" w:eastAsia="da-DK"/>
        </w:rPr>
        <w:t xml:space="preserve"> as </w:t>
      </w:r>
      <w:proofErr w:type="spellStart"/>
      <w:r w:rsidRPr="00A01E43">
        <w:rPr>
          <w:color w:val="000000" w:themeColor="text1"/>
          <w:sz w:val="24"/>
          <w:szCs w:val="24"/>
          <w:lang w:val="en-GB" w:eastAsia="da-DK"/>
        </w:rPr>
        <w:t>MAXratio</w:t>
      </w:r>
      <w:proofErr w:type="spellEnd"/>
      <w:r w:rsidRPr="00A01E43">
        <w:rPr>
          <w:color w:val="000000" w:themeColor="text1"/>
          <w:sz w:val="24"/>
          <w:szCs w:val="24"/>
          <w:lang w:val="en-GB" w:eastAsia="da-DK"/>
        </w:rPr>
        <w:t xml:space="preserve"> and </w:t>
      </w:r>
      <w:proofErr w:type="spellStart"/>
      <w:r w:rsidRPr="00A01E43">
        <w:rPr>
          <w:color w:val="000000" w:themeColor="text1"/>
          <w:sz w:val="24"/>
          <w:szCs w:val="24"/>
          <w:lang w:val="en-GB" w:eastAsia="da-DK"/>
        </w:rPr>
        <w:t>MINratio</w:t>
      </w:r>
      <w:proofErr w:type="spellEnd"/>
      <w:r w:rsidRPr="00A01E43">
        <w:rPr>
          <w:color w:val="000000" w:themeColor="text1"/>
          <w:sz w:val="24"/>
          <w:szCs w:val="24"/>
          <w:lang w:val="en-GB" w:eastAsia="da-DK"/>
        </w:rPr>
        <w:t>.</w:t>
      </w:r>
    </w:p>
    <w:p w:rsidR="005647FF" w:rsidRPr="00A01E43" w:rsidRDefault="005647FF" w:rsidP="005647FF">
      <w:pPr>
        <w:pStyle w:val="Overskrift2"/>
        <w:spacing w:line="360" w:lineRule="auto"/>
        <w:rPr>
          <w:color w:val="auto"/>
          <w:sz w:val="24"/>
          <w:szCs w:val="24"/>
          <w:lang w:val="en-GB"/>
        </w:rPr>
      </w:pPr>
      <w:r w:rsidRPr="00A01E43">
        <w:rPr>
          <w:color w:val="auto"/>
          <w:sz w:val="24"/>
          <w:szCs w:val="24"/>
          <w:lang w:val="en-GB"/>
        </w:rPr>
        <w:t>Evaluation</w:t>
      </w:r>
    </w:p>
    <w:p w:rsidR="0094376C" w:rsidRPr="00A01E43" w:rsidRDefault="0094376C" w:rsidP="0094376C">
      <w:pPr>
        <w:spacing w:line="360" w:lineRule="auto"/>
        <w:rPr>
          <w:sz w:val="24"/>
          <w:szCs w:val="24"/>
          <w:lang w:val="en-GB"/>
        </w:rPr>
      </w:pPr>
      <w:r w:rsidRPr="00A01E43">
        <w:rPr>
          <w:sz w:val="24"/>
          <w:szCs w:val="24"/>
          <w:lang w:val="en-GB"/>
        </w:rPr>
        <w:t xml:space="preserve">Images and clips </w:t>
      </w:r>
      <w:r w:rsidR="00F41DA3">
        <w:rPr>
          <w:sz w:val="24"/>
          <w:szCs w:val="24"/>
          <w:lang w:val="en-GB"/>
        </w:rPr>
        <w:t>were</w:t>
      </w:r>
      <w:r w:rsidRPr="00A01E43">
        <w:rPr>
          <w:sz w:val="24"/>
          <w:szCs w:val="24"/>
          <w:lang w:val="en-GB"/>
        </w:rPr>
        <w:t xml:space="preserve"> stored and scored on a computer workstation by JG blinded to the </w:t>
      </w:r>
      <w:r w:rsidR="009C7F7B">
        <w:rPr>
          <w:sz w:val="24"/>
          <w:szCs w:val="24"/>
          <w:lang w:val="en-GB"/>
        </w:rPr>
        <w:t>patient's identity</w:t>
      </w:r>
      <w:r w:rsidRPr="00A01E43">
        <w:rPr>
          <w:sz w:val="24"/>
          <w:szCs w:val="24"/>
          <w:lang w:val="en-GB"/>
        </w:rPr>
        <w:t xml:space="preserve"> by the assignment of a participant number.  </w:t>
      </w:r>
      <w:r w:rsidRPr="00A01E43">
        <w:rPr>
          <w:sz w:val="24"/>
          <w:szCs w:val="24"/>
          <w:lang w:val="en-GB"/>
        </w:rPr>
        <w:br/>
        <w:t xml:space="preserve">The ultrasound protocol </w:t>
      </w:r>
      <w:r w:rsidR="00F41DA3">
        <w:rPr>
          <w:sz w:val="24"/>
          <w:szCs w:val="24"/>
          <w:lang w:val="en-GB"/>
        </w:rPr>
        <w:t>was</w:t>
      </w:r>
      <w:r w:rsidRPr="00A01E43">
        <w:rPr>
          <w:sz w:val="24"/>
          <w:szCs w:val="24"/>
          <w:lang w:val="en-GB"/>
        </w:rPr>
        <w:t xml:space="preserve"> validated in 30 healthy participants as part of the explorative outcome. </w:t>
      </w:r>
    </w:p>
    <w:p w:rsidR="005647FF" w:rsidRPr="00A01E43" w:rsidRDefault="005647FF" w:rsidP="005647FF">
      <w:pPr>
        <w:pStyle w:val="Overskrift2"/>
        <w:spacing w:line="360" w:lineRule="auto"/>
        <w:rPr>
          <w:color w:val="auto"/>
          <w:sz w:val="24"/>
          <w:szCs w:val="24"/>
          <w:lang w:val="en-GB"/>
        </w:rPr>
      </w:pPr>
      <w:r w:rsidRPr="00A01E43">
        <w:rPr>
          <w:color w:val="auto"/>
          <w:sz w:val="24"/>
          <w:szCs w:val="24"/>
          <w:lang w:val="en-GB"/>
        </w:rPr>
        <w:t>Primary US variables</w:t>
      </w:r>
    </w:p>
    <w:p w:rsidR="005647FF" w:rsidRDefault="005647FF" w:rsidP="005647FF">
      <w:pPr>
        <w:spacing w:line="360" w:lineRule="auto"/>
        <w:rPr>
          <w:sz w:val="24"/>
          <w:szCs w:val="24"/>
          <w:lang w:val="en-GB"/>
        </w:rPr>
      </w:pPr>
      <w:r w:rsidRPr="00A01E43">
        <w:rPr>
          <w:sz w:val="24"/>
          <w:szCs w:val="24"/>
          <w:lang w:val="en-GB"/>
        </w:rPr>
        <w:t xml:space="preserve">Features of the SEC include extensor tendon thickness (mm), nail matrix thickness (mm), nailbed thickness (mm). </w:t>
      </w:r>
      <w:r w:rsidRPr="00A01E43">
        <w:rPr>
          <w:sz w:val="24"/>
          <w:szCs w:val="24"/>
          <w:lang w:val="en-GB"/>
        </w:rPr>
        <w:br/>
        <w:t xml:space="preserve">Each US parameters: synovial hypertrophy (0-3), </w:t>
      </w:r>
      <w:proofErr w:type="spellStart"/>
      <w:r w:rsidRPr="00A01E43">
        <w:rPr>
          <w:sz w:val="24"/>
          <w:szCs w:val="24"/>
          <w:lang w:val="en-GB"/>
        </w:rPr>
        <w:t>color</w:t>
      </w:r>
      <w:proofErr w:type="spellEnd"/>
      <w:r w:rsidRPr="00A01E43">
        <w:rPr>
          <w:sz w:val="24"/>
          <w:szCs w:val="24"/>
          <w:lang w:val="en-GB"/>
        </w:rPr>
        <w:t xml:space="preserve"> Doppler (0-3), erosions (0-3) and osteophytes </w:t>
      </w:r>
      <w:r w:rsidR="00F41DA3">
        <w:rPr>
          <w:sz w:val="24"/>
          <w:szCs w:val="24"/>
          <w:lang w:val="en-GB"/>
        </w:rPr>
        <w:t>were</w:t>
      </w:r>
      <w:r w:rsidRPr="00A01E43">
        <w:rPr>
          <w:sz w:val="24"/>
          <w:szCs w:val="24"/>
          <w:lang w:val="en-GB"/>
        </w:rPr>
        <w:t xml:space="preserve"> analysed as independent variables.</w:t>
      </w:r>
    </w:p>
    <w:p w:rsidR="00E43E3F" w:rsidRPr="00E43E3F" w:rsidRDefault="00E43E3F" w:rsidP="00E43E3F">
      <w:pPr>
        <w:pStyle w:val="Overskrift2"/>
        <w:spacing w:line="360" w:lineRule="auto"/>
        <w:rPr>
          <w:color w:val="auto"/>
          <w:sz w:val="24"/>
          <w:szCs w:val="24"/>
          <w:lang w:val="en-GB"/>
        </w:rPr>
      </w:pPr>
      <w:r w:rsidRPr="00E43E3F">
        <w:rPr>
          <w:color w:val="auto"/>
          <w:sz w:val="24"/>
          <w:szCs w:val="24"/>
          <w:lang w:val="en-GB"/>
        </w:rPr>
        <w:t>Blood flow variables</w:t>
      </w:r>
    </w:p>
    <w:p w:rsidR="00EE73C9" w:rsidRDefault="00E43E3F" w:rsidP="00EE73C9">
      <w:pPr>
        <w:spacing w:line="360" w:lineRule="auto"/>
        <w:rPr>
          <w:rFonts w:asciiTheme="majorHAnsi" w:eastAsiaTheme="majorEastAsia" w:hAnsiTheme="majorHAnsi" w:cstheme="majorBidi"/>
          <w:sz w:val="24"/>
          <w:szCs w:val="24"/>
          <w:lang w:val="en-GB"/>
        </w:rPr>
      </w:pPr>
      <w:r w:rsidRPr="002522E7">
        <w:rPr>
          <w:color w:val="000000" w:themeColor="text1"/>
          <w:sz w:val="24"/>
          <w:szCs w:val="24"/>
          <w:lang w:val="en-GB" w:eastAsia="da-DK"/>
        </w:rPr>
        <w:t xml:space="preserve">Nail matrix US measure of flow </w:t>
      </w:r>
      <w:r w:rsidR="00F41DA3">
        <w:rPr>
          <w:color w:val="000000" w:themeColor="text1"/>
          <w:sz w:val="24"/>
          <w:szCs w:val="24"/>
          <w:lang w:val="en-GB" w:eastAsia="da-DK"/>
        </w:rPr>
        <w:t xml:space="preserve">was </w:t>
      </w:r>
      <w:r w:rsidRPr="002522E7">
        <w:rPr>
          <w:color w:val="000000" w:themeColor="text1"/>
          <w:sz w:val="24"/>
          <w:szCs w:val="24"/>
          <w:lang w:val="en-GB" w:eastAsia="da-DK"/>
        </w:rPr>
        <w:t xml:space="preserve">expressed as </w:t>
      </w:r>
      <w:proofErr w:type="spellStart"/>
      <w:r w:rsidRPr="002522E7">
        <w:rPr>
          <w:color w:val="000000" w:themeColor="text1"/>
          <w:sz w:val="24"/>
          <w:szCs w:val="24"/>
          <w:lang w:val="en-GB" w:eastAsia="da-DK"/>
        </w:rPr>
        <w:t>MAXratio</w:t>
      </w:r>
      <w:proofErr w:type="spellEnd"/>
      <w:r w:rsidRPr="002522E7">
        <w:rPr>
          <w:color w:val="000000" w:themeColor="text1"/>
          <w:sz w:val="24"/>
          <w:szCs w:val="24"/>
          <w:lang w:val="en-GB" w:eastAsia="da-DK"/>
        </w:rPr>
        <w:t xml:space="preserve"> and </w:t>
      </w:r>
      <w:proofErr w:type="spellStart"/>
      <w:r w:rsidRPr="002522E7">
        <w:rPr>
          <w:color w:val="000000" w:themeColor="text1"/>
          <w:sz w:val="24"/>
          <w:szCs w:val="24"/>
          <w:lang w:val="en-GB" w:eastAsia="da-DK"/>
        </w:rPr>
        <w:t>MINratio</w:t>
      </w:r>
      <w:proofErr w:type="spellEnd"/>
      <w:r>
        <w:rPr>
          <w:color w:val="000000" w:themeColor="text1"/>
          <w:sz w:val="24"/>
          <w:szCs w:val="24"/>
          <w:lang w:val="en-GB" w:eastAsia="da-DK"/>
        </w:rPr>
        <w:t xml:space="preserve"> for each DIP-joint</w:t>
      </w:r>
      <w:r w:rsidRPr="002522E7">
        <w:rPr>
          <w:color w:val="000000" w:themeColor="text1"/>
          <w:sz w:val="24"/>
          <w:szCs w:val="24"/>
          <w:lang w:val="en-GB" w:eastAsia="da-DK"/>
        </w:rPr>
        <w:t>.</w:t>
      </w:r>
      <w:r w:rsidRPr="002522E7">
        <w:rPr>
          <w:color w:val="000000" w:themeColor="text1"/>
          <w:sz w:val="24"/>
          <w:szCs w:val="24"/>
          <w:lang w:val="en-GB" w:eastAsia="da-DK"/>
        </w:rPr>
        <w:br/>
      </w:r>
    </w:p>
    <w:p w:rsidR="00AF18AB" w:rsidRPr="005E5E7A" w:rsidRDefault="00AF18AB" w:rsidP="00EE73C9">
      <w:pPr>
        <w:spacing w:line="360" w:lineRule="auto"/>
        <w:rPr>
          <w:rFonts w:asciiTheme="majorHAnsi" w:eastAsiaTheme="majorEastAsia" w:hAnsiTheme="majorHAnsi" w:cstheme="majorBidi"/>
          <w:sz w:val="24"/>
          <w:szCs w:val="24"/>
        </w:rPr>
      </w:pPr>
      <w:r w:rsidRPr="005E5E7A">
        <w:rPr>
          <w:rFonts w:asciiTheme="majorHAnsi" w:eastAsiaTheme="majorEastAsia" w:hAnsiTheme="majorHAnsi" w:cstheme="majorBidi"/>
          <w:sz w:val="24"/>
          <w:szCs w:val="24"/>
        </w:rPr>
        <w:t>References</w:t>
      </w:r>
    </w:p>
    <w:p w:rsidR="00AF18AB" w:rsidRPr="005E5E7A" w:rsidRDefault="00AF18AB" w:rsidP="00AF18AB">
      <w:pPr>
        <w:widowControl w:val="0"/>
        <w:autoSpaceDE w:val="0"/>
        <w:autoSpaceDN w:val="0"/>
        <w:adjustRightInd w:val="0"/>
        <w:spacing w:line="360" w:lineRule="auto"/>
        <w:ind w:left="640" w:hanging="640"/>
        <w:rPr>
          <w:rFonts w:ascii="Calibri" w:hAnsi="Calibri" w:cs="Calibri"/>
          <w:noProof/>
          <w:sz w:val="24"/>
          <w:szCs w:val="24"/>
          <w:lang w:val="en-US"/>
        </w:rPr>
      </w:pPr>
      <w:r>
        <w:rPr>
          <w:color w:val="000000" w:themeColor="text1"/>
          <w:sz w:val="24"/>
          <w:szCs w:val="24"/>
          <w:lang w:val="en-GB" w:eastAsia="da-DK"/>
        </w:rPr>
        <w:fldChar w:fldCharType="begin" w:fldLock="1"/>
      </w:r>
      <w:r w:rsidRPr="005E5E7A">
        <w:rPr>
          <w:color w:val="000000" w:themeColor="text1"/>
          <w:sz w:val="24"/>
          <w:szCs w:val="24"/>
          <w:lang w:eastAsia="da-DK"/>
        </w:rPr>
        <w:instrText xml:space="preserve">ADDIN Mendeley Bibliography CSL_BIBLIOGRAPHY </w:instrText>
      </w:r>
      <w:r>
        <w:rPr>
          <w:color w:val="000000" w:themeColor="text1"/>
          <w:sz w:val="24"/>
          <w:szCs w:val="24"/>
          <w:lang w:val="en-GB" w:eastAsia="da-DK"/>
        </w:rPr>
        <w:fldChar w:fldCharType="separate"/>
      </w:r>
      <w:r w:rsidRPr="00AF18AB">
        <w:rPr>
          <w:rFonts w:ascii="Calibri" w:hAnsi="Calibri" w:cs="Calibri"/>
          <w:noProof/>
          <w:sz w:val="24"/>
          <w:szCs w:val="24"/>
        </w:rPr>
        <w:t xml:space="preserve">1 </w:t>
      </w:r>
      <w:r w:rsidRPr="00AF18AB">
        <w:rPr>
          <w:rFonts w:ascii="Calibri" w:hAnsi="Calibri" w:cs="Calibri"/>
          <w:noProof/>
          <w:sz w:val="24"/>
          <w:szCs w:val="24"/>
        </w:rPr>
        <w:tab/>
        <w:t xml:space="preserve">Terslev L, Naredo E, Aegerter P, </w:t>
      </w:r>
      <w:r w:rsidRPr="00AF18AB">
        <w:rPr>
          <w:rFonts w:ascii="Calibri" w:hAnsi="Calibri" w:cs="Calibri"/>
          <w:i/>
          <w:iCs/>
          <w:noProof/>
          <w:sz w:val="24"/>
          <w:szCs w:val="24"/>
        </w:rPr>
        <w:t>et al.</w:t>
      </w:r>
      <w:r w:rsidRPr="00AF18AB">
        <w:rPr>
          <w:rFonts w:ascii="Calibri" w:hAnsi="Calibri" w:cs="Calibri"/>
          <w:noProof/>
          <w:sz w:val="24"/>
          <w:szCs w:val="24"/>
        </w:rPr>
        <w:t xml:space="preserve"> </w:t>
      </w:r>
      <w:r w:rsidRPr="005E5E7A">
        <w:rPr>
          <w:rFonts w:ascii="Calibri" w:hAnsi="Calibri" w:cs="Calibri"/>
          <w:noProof/>
          <w:sz w:val="24"/>
          <w:szCs w:val="24"/>
          <w:lang w:val="en-US"/>
        </w:rPr>
        <w:t xml:space="preserve">Scoring ultrasound synovitis in rheumatoid arthritis: A EULAR-OMERACT ultrasound taskforce-Part 2: Reliability and application to multiple joints of a standardised consensus-based scoring system. </w:t>
      </w:r>
      <w:r w:rsidRPr="005E5E7A">
        <w:rPr>
          <w:rFonts w:ascii="Calibri" w:hAnsi="Calibri" w:cs="Calibri"/>
          <w:i/>
          <w:iCs/>
          <w:noProof/>
          <w:sz w:val="24"/>
          <w:szCs w:val="24"/>
          <w:lang w:val="en-US"/>
        </w:rPr>
        <w:t>RMD Open</w:t>
      </w:r>
      <w:r w:rsidRPr="005E5E7A">
        <w:rPr>
          <w:rFonts w:ascii="Calibri" w:hAnsi="Calibri" w:cs="Calibri"/>
          <w:noProof/>
          <w:sz w:val="24"/>
          <w:szCs w:val="24"/>
          <w:lang w:val="en-US"/>
        </w:rPr>
        <w:t xml:space="preserve"> 2017;</w:t>
      </w:r>
      <w:r w:rsidRPr="005E5E7A">
        <w:rPr>
          <w:rFonts w:ascii="Calibri" w:hAnsi="Calibri" w:cs="Calibri"/>
          <w:b/>
          <w:bCs/>
          <w:noProof/>
          <w:sz w:val="24"/>
          <w:szCs w:val="24"/>
          <w:lang w:val="en-US"/>
        </w:rPr>
        <w:t>3</w:t>
      </w:r>
      <w:r w:rsidRPr="005E5E7A">
        <w:rPr>
          <w:rFonts w:ascii="Calibri" w:hAnsi="Calibri" w:cs="Calibri"/>
          <w:noProof/>
          <w:sz w:val="24"/>
          <w:szCs w:val="24"/>
          <w:lang w:val="en-US"/>
        </w:rPr>
        <w:t>. doi:10.1136/rmdopen-2016-000427</w:t>
      </w:r>
    </w:p>
    <w:p w:rsidR="00AF18AB" w:rsidRPr="00AF18AB" w:rsidRDefault="00AF18AB" w:rsidP="00AF18AB">
      <w:pPr>
        <w:widowControl w:val="0"/>
        <w:autoSpaceDE w:val="0"/>
        <w:autoSpaceDN w:val="0"/>
        <w:adjustRightInd w:val="0"/>
        <w:spacing w:line="360" w:lineRule="auto"/>
        <w:ind w:left="640" w:hanging="640"/>
        <w:rPr>
          <w:rFonts w:ascii="Calibri" w:hAnsi="Calibri" w:cs="Calibri"/>
          <w:noProof/>
          <w:sz w:val="24"/>
          <w:szCs w:val="24"/>
        </w:rPr>
      </w:pPr>
      <w:r w:rsidRPr="005E5E7A">
        <w:rPr>
          <w:rFonts w:ascii="Calibri" w:hAnsi="Calibri" w:cs="Calibri"/>
          <w:noProof/>
          <w:sz w:val="24"/>
          <w:szCs w:val="24"/>
          <w:lang w:val="en-US"/>
        </w:rPr>
        <w:t xml:space="preserve">2 </w:t>
      </w:r>
      <w:r w:rsidRPr="005E5E7A">
        <w:rPr>
          <w:rFonts w:ascii="Calibri" w:hAnsi="Calibri" w:cs="Calibri"/>
          <w:noProof/>
          <w:sz w:val="24"/>
          <w:szCs w:val="24"/>
          <w:lang w:val="en-US"/>
        </w:rPr>
        <w:tab/>
        <w:t xml:space="preserve">Terslev L, Naredo E, Iagnocco A, </w:t>
      </w:r>
      <w:r w:rsidRPr="005E5E7A">
        <w:rPr>
          <w:rFonts w:ascii="Calibri" w:hAnsi="Calibri" w:cs="Calibri"/>
          <w:i/>
          <w:iCs/>
          <w:noProof/>
          <w:sz w:val="24"/>
          <w:szCs w:val="24"/>
          <w:lang w:val="en-US"/>
        </w:rPr>
        <w:t>et al.</w:t>
      </w:r>
      <w:r w:rsidRPr="005E5E7A">
        <w:rPr>
          <w:rFonts w:ascii="Calibri" w:hAnsi="Calibri" w:cs="Calibri"/>
          <w:noProof/>
          <w:sz w:val="24"/>
          <w:szCs w:val="24"/>
          <w:lang w:val="en-US"/>
        </w:rPr>
        <w:t xml:space="preserve"> Defining enthesitis in spondyloarthritis by ultrasound: Results of a delphi process and of a reliability reading exercise. </w:t>
      </w:r>
      <w:r w:rsidRPr="00AF18AB">
        <w:rPr>
          <w:rFonts w:ascii="Calibri" w:hAnsi="Calibri" w:cs="Calibri"/>
          <w:i/>
          <w:iCs/>
          <w:noProof/>
          <w:sz w:val="24"/>
          <w:szCs w:val="24"/>
        </w:rPr>
        <w:t>Arthritis Care Res</w:t>
      </w:r>
      <w:r w:rsidRPr="00AF18AB">
        <w:rPr>
          <w:rFonts w:ascii="Calibri" w:hAnsi="Calibri" w:cs="Calibri"/>
          <w:noProof/>
          <w:sz w:val="24"/>
          <w:szCs w:val="24"/>
        </w:rPr>
        <w:t xml:space="preserve"> 2014;</w:t>
      </w:r>
      <w:r w:rsidRPr="00AF18AB">
        <w:rPr>
          <w:rFonts w:ascii="Calibri" w:hAnsi="Calibri" w:cs="Calibri"/>
          <w:b/>
          <w:bCs/>
          <w:noProof/>
          <w:sz w:val="24"/>
          <w:szCs w:val="24"/>
        </w:rPr>
        <w:t>66</w:t>
      </w:r>
      <w:r w:rsidRPr="00AF18AB">
        <w:rPr>
          <w:rFonts w:ascii="Calibri" w:hAnsi="Calibri" w:cs="Calibri"/>
          <w:noProof/>
          <w:sz w:val="24"/>
          <w:szCs w:val="24"/>
        </w:rPr>
        <w:t>. doi:10.1002/acr.22191</w:t>
      </w:r>
    </w:p>
    <w:p w:rsidR="00AF18AB" w:rsidRPr="00AF18AB" w:rsidRDefault="00AF18AB" w:rsidP="00AF18AB">
      <w:pPr>
        <w:widowControl w:val="0"/>
        <w:autoSpaceDE w:val="0"/>
        <w:autoSpaceDN w:val="0"/>
        <w:adjustRightInd w:val="0"/>
        <w:spacing w:line="360" w:lineRule="auto"/>
        <w:ind w:left="640" w:hanging="640"/>
        <w:rPr>
          <w:rFonts w:ascii="Calibri" w:hAnsi="Calibri" w:cs="Calibri"/>
          <w:noProof/>
          <w:sz w:val="24"/>
        </w:rPr>
      </w:pPr>
      <w:r w:rsidRPr="00AF18AB">
        <w:rPr>
          <w:rFonts w:ascii="Calibri" w:hAnsi="Calibri" w:cs="Calibri"/>
          <w:noProof/>
          <w:sz w:val="24"/>
          <w:szCs w:val="24"/>
        </w:rPr>
        <w:lastRenderedPageBreak/>
        <w:t xml:space="preserve">3 </w:t>
      </w:r>
      <w:r w:rsidRPr="00AF18AB">
        <w:rPr>
          <w:rFonts w:ascii="Calibri" w:hAnsi="Calibri" w:cs="Calibri"/>
          <w:noProof/>
          <w:sz w:val="24"/>
          <w:szCs w:val="24"/>
        </w:rPr>
        <w:tab/>
        <w:t xml:space="preserve">Gutierrez M, Filippucci E, De Angelis R, </w:t>
      </w:r>
      <w:r w:rsidRPr="00AF18AB">
        <w:rPr>
          <w:rFonts w:ascii="Calibri" w:hAnsi="Calibri" w:cs="Calibri"/>
          <w:i/>
          <w:iCs/>
          <w:noProof/>
          <w:sz w:val="24"/>
          <w:szCs w:val="24"/>
        </w:rPr>
        <w:t>et al.</w:t>
      </w:r>
      <w:r w:rsidRPr="00AF18AB">
        <w:rPr>
          <w:rFonts w:ascii="Calibri" w:hAnsi="Calibri" w:cs="Calibri"/>
          <w:noProof/>
          <w:sz w:val="24"/>
          <w:szCs w:val="24"/>
        </w:rPr>
        <w:t xml:space="preserve"> </w:t>
      </w:r>
      <w:r w:rsidRPr="005E5E7A">
        <w:rPr>
          <w:rFonts w:ascii="Calibri" w:hAnsi="Calibri" w:cs="Calibri"/>
          <w:noProof/>
          <w:sz w:val="24"/>
          <w:szCs w:val="24"/>
          <w:lang w:val="en-US"/>
        </w:rPr>
        <w:t xml:space="preserve">A sonographic spectrum of psoriatic arthritis: ‘the five targets’. </w:t>
      </w:r>
      <w:r w:rsidRPr="00AF18AB">
        <w:rPr>
          <w:rFonts w:ascii="Calibri" w:hAnsi="Calibri" w:cs="Calibri"/>
          <w:i/>
          <w:iCs/>
          <w:noProof/>
          <w:sz w:val="24"/>
          <w:szCs w:val="24"/>
        </w:rPr>
        <w:t>Clin Rheumatol</w:t>
      </w:r>
      <w:r w:rsidRPr="00AF18AB">
        <w:rPr>
          <w:rFonts w:ascii="Calibri" w:hAnsi="Calibri" w:cs="Calibri"/>
          <w:noProof/>
          <w:sz w:val="24"/>
          <w:szCs w:val="24"/>
        </w:rPr>
        <w:t xml:space="preserve"> 2010;</w:t>
      </w:r>
      <w:r w:rsidRPr="00AF18AB">
        <w:rPr>
          <w:rFonts w:ascii="Calibri" w:hAnsi="Calibri" w:cs="Calibri"/>
          <w:b/>
          <w:bCs/>
          <w:noProof/>
          <w:sz w:val="24"/>
          <w:szCs w:val="24"/>
        </w:rPr>
        <w:t>29</w:t>
      </w:r>
      <w:r w:rsidRPr="00AF18AB">
        <w:rPr>
          <w:rFonts w:ascii="Calibri" w:hAnsi="Calibri" w:cs="Calibri"/>
          <w:noProof/>
          <w:sz w:val="24"/>
          <w:szCs w:val="24"/>
        </w:rPr>
        <w:t>:133–42. doi:10.1007/s10067-009-1292-y</w:t>
      </w:r>
    </w:p>
    <w:p w:rsidR="0094376C" w:rsidRPr="00A01E43" w:rsidRDefault="00AF18AB" w:rsidP="0094376C">
      <w:pPr>
        <w:spacing w:line="360" w:lineRule="auto"/>
        <w:rPr>
          <w:color w:val="000000" w:themeColor="text1"/>
          <w:sz w:val="24"/>
          <w:szCs w:val="24"/>
          <w:lang w:val="en-GB" w:eastAsia="da-DK"/>
        </w:rPr>
      </w:pPr>
      <w:r>
        <w:rPr>
          <w:color w:val="000000" w:themeColor="text1"/>
          <w:sz w:val="24"/>
          <w:szCs w:val="24"/>
          <w:lang w:val="en-GB" w:eastAsia="da-DK"/>
        </w:rPr>
        <w:fldChar w:fldCharType="end"/>
      </w:r>
    </w:p>
    <w:p w:rsidR="0094376C" w:rsidRPr="00A01E43" w:rsidRDefault="0094376C" w:rsidP="0094376C">
      <w:pPr>
        <w:rPr>
          <w:lang w:val="en-GB"/>
        </w:rPr>
      </w:pPr>
    </w:p>
    <w:sectPr w:rsidR="0094376C" w:rsidRPr="00A01E43">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6"/>
  <w:hideSpellingErrors/>
  <w:hideGrammaticalErrors/>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TA3Nzc2MTcztjS1MDNV0lEKTi0uzszPAymwqAUAL9tDsywAAAA="/>
  </w:docVars>
  <w:rsids>
    <w:rsidRoot w:val="0094376C"/>
    <w:rsid w:val="00081B13"/>
    <w:rsid w:val="005647FF"/>
    <w:rsid w:val="005E5E7A"/>
    <w:rsid w:val="007261E3"/>
    <w:rsid w:val="0083494D"/>
    <w:rsid w:val="0094376C"/>
    <w:rsid w:val="009C7F7B"/>
    <w:rsid w:val="00A01E43"/>
    <w:rsid w:val="00AF18AB"/>
    <w:rsid w:val="00AF5582"/>
    <w:rsid w:val="00CC487A"/>
    <w:rsid w:val="00E43E3F"/>
    <w:rsid w:val="00EE73C9"/>
    <w:rsid w:val="00F22DE7"/>
    <w:rsid w:val="00F41DA3"/>
    <w:rsid w:val="00F71DB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04180"/>
  <w15:chartTrackingRefBased/>
  <w15:docId w15:val="{592AFCDF-2C34-4DBE-9AD5-6D5774BF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9437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5647FF"/>
    <w:pPr>
      <w:keepNext/>
      <w:keepLines/>
      <w:spacing w:before="40" w:after="0" w:line="276" w:lineRule="auto"/>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94376C"/>
    <w:pPr>
      <w:keepNext/>
      <w:keepLines/>
      <w:spacing w:before="40" w:after="0" w:line="276" w:lineRule="auto"/>
      <w:outlineLvl w:val="2"/>
    </w:pPr>
    <w:rPr>
      <w:rFonts w:asciiTheme="majorHAnsi" w:eastAsiaTheme="majorEastAsia" w:hAnsiTheme="majorHAnsi" w:cstheme="majorBidi"/>
      <w:color w:val="1F3763" w:themeColor="accent1" w:themeShade="7F"/>
      <w:sz w:val="24"/>
      <w:szCs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94376C"/>
    <w:rPr>
      <w:rFonts w:asciiTheme="majorHAnsi" w:eastAsiaTheme="majorEastAsia" w:hAnsiTheme="majorHAnsi" w:cstheme="majorBidi"/>
      <w:color w:val="2F5496" w:themeColor="accent1" w:themeShade="BF"/>
      <w:sz w:val="32"/>
      <w:szCs w:val="32"/>
    </w:rPr>
  </w:style>
  <w:style w:type="character" w:customStyle="1" w:styleId="Overskrift3Tegn">
    <w:name w:val="Overskrift 3 Tegn"/>
    <w:basedOn w:val="Standardskrifttypeiafsnit"/>
    <w:link w:val="Overskrift3"/>
    <w:uiPriority w:val="9"/>
    <w:rsid w:val="0094376C"/>
    <w:rPr>
      <w:rFonts w:asciiTheme="majorHAnsi" w:eastAsiaTheme="majorEastAsia" w:hAnsiTheme="majorHAnsi" w:cstheme="majorBidi"/>
      <w:color w:val="1F3763" w:themeColor="accent1" w:themeShade="7F"/>
      <w:sz w:val="24"/>
      <w:szCs w:val="24"/>
    </w:rPr>
  </w:style>
  <w:style w:type="character" w:customStyle="1" w:styleId="Overskrift2Tegn">
    <w:name w:val="Overskrift 2 Tegn"/>
    <w:basedOn w:val="Standardskrifttypeiafsnit"/>
    <w:link w:val="Overskrift2"/>
    <w:uiPriority w:val="9"/>
    <w:rsid w:val="005647FF"/>
    <w:rPr>
      <w:rFonts w:asciiTheme="majorHAnsi" w:eastAsiaTheme="majorEastAsia" w:hAnsiTheme="majorHAnsi" w:cstheme="majorBidi"/>
      <w:color w:val="2F5496" w:themeColor="accent1" w:themeShade="BF"/>
      <w:sz w:val="26"/>
      <w:szCs w:val="26"/>
    </w:rPr>
  </w:style>
  <w:style w:type="paragraph" w:styleId="Markeringsbobletekst">
    <w:name w:val="Balloon Text"/>
    <w:basedOn w:val="Normal"/>
    <w:link w:val="MarkeringsbobletekstTegn"/>
    <w:uiPriority w:val="99"/>
    <w:semiHidden/>
    <w:unhideWhenUsed/>
    <w:rsid w:val="00F71DB1"/>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F71DB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1991</Words>
  <Characters>12147</Characters>
  <Application>Microsoft Office Word</Application>
  <DocSecurity>0</DocSecurity>
  <Lines>101</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Jørgen Guldberg-Møller</dc:creator>
  <cp:keywords/>
  <dc:description/>
  <cp:lastModifiedBy>Jørgen Guldberg-Møller</cp:lastModifiedBy>
  <cp:revision>12</cp:revision>
  <dcterms:created xsi:type="dcterms:W3CDTF">2020-08-12T12:21:00Z</dcterms:created>
  <dcterms:modified xsi:type="dcterms:W3CDTF">2021-01-24T12:36:00Z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http://www.zotero.org/styles/annals-of-the-rheumatic-diseases</vt:lpwstr>
  </property>
  <property fmtid="{D5CDD505-2E9C-101B-9397-08002B2CF9AE}" pid="7" name="Mendeley Recent Style Name 2_1">
    <vt:lpwstr>Annals of the Rheumatic Diseases</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http://www.zotero.org/styles/annals-of-the-rheumatic-diseases</vt:lpwstr>
  </property>
  <property fmtid="{D5CDD505-2E9C-101B-9397-08002B2CF9AE}" pid="24" name="Mendeley Unique User Id_1">
    <vt:lpwstr>fb964b2c-0edd-3959-a706-220fec627d31</vt:lpwstr>
  </property>
</Properties>
</file>