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3E74" w:rsidRDefault="00BE3E74" w:rsidP="00BE3E74">
      <w:pPr>
        <w:pStyle w:val="Overskrift1"/>
        <w:spacing w:line="360" w:lineRule="auto"/>
        <w:rPr>
          <w:color w:val="auto"/>
          <w:sz w:val="28"/>
          <w:szCs w:val="28"/>
          <w:lang w:val="en-GB"/>
        </w:rPr>
      </w:pPr>
      <w:r w:rsidRPr="00A01E43">
        <w:rPr>
          <w:color w:val="auto"/>
          <w:sz w:val="28"/>
          <w:szCs w:val="28"/>
          <w:lang w:val="en-GB"/>
        </w:rPr>
        <w:t xml:space="preserve">Supplements </w:t>
      </w:r>
      <w:r w:rsidR="005D4BF7">
        <w:rPr>
          <w:color w:val="auto"/>
          <w:sz w:val="28"/>
          <w:szCs w:val="28"/>
          <w:lang w:val="en-GB"/>
        </w:rPr>
        <w:t>5</w:t>
      </w:r>
    </w:p>
    <w:p w:rsidR="00BE3E74" w:rsidRDefault="00BE3E74" w:rsidP="00E25B16">
      <w:pPr>
        <w:pStyle w:val="Overskrift2"/>
        <w:spacing w:line="360" w:lineRule="auto"/>
        <w:rPr>
          <w:color w:val="auto"/>
          <w:sz w:val="24"/>
          <w:szCs w:val="24"/>
          <w:lang w:val="en-GB"/>
        </w:rPr>
      </w:pPr>
      <w:r w:rsidRPr="00BE3E74">
        <w:rPr>
          <w:color w:val="auto"/>
          <w:sz w:val="24"/>
          <w:szCs w:val="24"/>
          <w:lang w:val="en-GB"/>
        </w:rPr>
        <w:t>MRI protocol</w:t>
      </w:r>
      <w:r>
        <w:rPr>
          <w:color w:val="auto"/>
          <w:sz w:val="24"/>
          <w:szCs w:val="24"/>
          <w:lang w:val="en-GB"/>
        </w:rPr>
        <w:t>:</w:t>
      </w:r>
    </w:p>
    <w:p w:rsidR="00BA73F2" w:rsidRPr="00E25B16" w:rsidRDefault="005843D8" w:rsidP="00E25B16">
      <w:pPr>
        <w:spacing w:line="360" w:lineRule="auto"/>
        <w:rPr>
          <w:sz w:val="24"/>
          <w:szCs w:val="24"/>
          <w:lang w:val="en-GB"/>
        </w:rPr>
      </w:pPr>
      <w:r w:rsidRPr="00E25B16">
        <w:rPr>
          <w:sz w:val="24"/>
          <w:szCs w:val="24"/>
          <w:lang w:val="en-GB"/>
        </w:rPr>
        <w:t xml:space="preserve">The target hand, </w:t>
      </w:r>
      <w:r w:rsidR="00E25B16" w:rsidRPr="00E25B16">
        <w:rPr>
          <w:sz w:val="24"/>
          <w:szCs w:val="24"/>
          <w:lang w:val="en-GB"/>
        </w:rPr>
        <w:t>chosen</w:t>
      </w:r>
      <w:r w:rsidRPr="00E25B16">
        <w:rPr>
          <w:sz w:val="24"/>
          <w:szCs w:val="24"/>
          <w:lang w:val="en-GB"/>
        </w:rPr>
        <w:t xml:space="preserve"> per protocol was imaged using both conventional and Dynamic contrast</w:t>
      </w:r>
      <w:r w:rsidR="005D4BF7">
        <w:rPr>
          <w:sz w:val="24"/>
          <w:szCs w:val="24"/>
          <w:lang w:val="en-GB"/>
        </w:rPr>
        <w:t>-</w:t>
      </w:r>
      <w:r w:rsidRPr="00E25B16">
        <w:rPr>
          <w:sz w:val="24"/>
          <w:szCs w:val="24"/>
          <w:lang w:val="en-GB"/>
        </w:rPr>
        <w:t xml:space="preserve">enhanced (DCE-MRI) examination in a 3 T Siemens </w:t>
      </w:r>
      <w:proofErr w:type="spellStart"/>
      <w:r w:rsidRPr="00E25B16">
        <w:rPr>
          <w:sz w:val="24"/>
          <w:szCs w:val="24"/>
          <w:lang w:val="en-GB"/>
        </w:rPr>
        <w:t>Verio</w:t>
      </w:r>
      <w:proofErr w:type="spellEnd"/>
      <w:r w:rsidRPr="00E25B16">
        <w:rPr>
          <w:sz w:val="24"/>
          <w:szCs w:val="24"/>
          <w:lang w:val="en-GB"/>
        </w:rPr>
        <w:t>® MR scanner with the patient supine and the target hand along the side of the body inside a semi</w:t>
      </w:r>
      <w:r w:rsidR="005D4BF7">
        <w:rPr>
          <w:sz w:val="24"/>
          <w:szCs w:val="24"/>
          <w:lang w:val="en-GB"/>
        </w:rPr>
        <w:t xml:space="preserve"> </w:t>
      </w:r>
      <w:r w:rsidRPr="00E25B16">
        <w:rPr>
          <w:sz w:val="24"/>
          <w:szCs w:val="24"/>
          <w:lang w:val="en-GB"/>
        </w:rPr>
        <w:t>flex 15-channel body coil covering all 4 ulnar fingers from wrist to fingertips. The sequences were performe</w:t>
      </w:r>
      <w:r w:rsidR="00E25B16">
        <w:rPr>
          <w:sz w:val="24"/>
          <w:szCs w:val="24"/>
          <w:lang w:val="en-GB"/>
        </w:rPr>
        <w:t>d</w:t>
      </w:r>
      <w:r w:rsidRPr="00E25B16">
        <w:rPr>
          <w:sz w:val="24"/>
          <w:szCs w:val="24"/>
          <w:lang w:val="en-GB"/>
        </w:rPr>
        <w:t xml:space="preserve"> in the following order Gradient echo scout (GRE) (slice thickness (ST) 6 mm, field of view (FOV) 400×400 mm, time to echo (TE) 3.69 </w:t>
      </w:r>
      <w:proofErr w:type="spellStart"/>
      <w:r w:rsidRPr="00E25B16">
        <w:rPr>
          <w:sz w:val="24"/>
          <w:szCs w:val="24"/>
          <w:lang w:val="en-GB"/>
        </w:rPr>
        <w:t>ms</w:t>
      </w:r>
      <w:proofErr w:type="spellEnd"/>
      <w:r w:rsidRPr="00E25B16">
        <w:rPr>
          <w:sz w:val="24"/>
          <w:szCs w:val="24"/>
          <w:lang w:val="en-GB"/>
        </w:rPr>
        <w:t>, repetition time (TR) 7.8 </w:t>
      </w:r>
      <w:proofErr w:type="spellStart"/>
      <w:r w:rsidRPr="00E25B16">
        <w:rPr>
          <w:sz w:val="24"/>
          <w:szCs w:val="24"/>
          <w:lang w:val="en-GB"/>
        </w:rPr>
        <w:t>ms</w:t>
      </w:r>
      <w:proofErr w:type="spellEnd"/>
      <w:r w:rsidRPr="00E25B16">
        <w:rPr>
          <w:sz w:val="24"/>
          <w:szCs w:val="24"/>
          <w:lang w:val="en-GB"/>
        </w:rPr>
        <w:t>, scan time 17 s), coronal T1-weighted (T1W) turbo spin echo (TSE) (ST 1.5 mm, FOV 250×250 mm, matrix resolution 0.3×0.3×1.5 mm, TE 25 </w:t>
      </w:r>
      <w:proofErr w:type="spellStart"/>
      <w:r w:rsidRPr="00E25B16">
        <w:rPr>
          <w:sz w:val="24"/>
          <w:szCs w:val="24"/>
          <w:lang w:val="en-GB"/>
        </w:rPr>
        <w:t>ms</w:t>
      </w:r>
      <w:proofErr w:type="spellEnd"/>
      <w:r w:rsidRPr="00E25B16">
        <w:rPr>
          <w:sz w:val="24"/>
          <w:szCs w:val="24"/>
          <w:lang w:val="en-GB"/>
        </w:rPr>
        <w:t>, TR 832 </w:t>
      </w:r>
      <w:proofErr w:type="spellStart"/>
      <w:r w:rsidRPr="00E25B16">
        <w:rPr>
          <w:sz w:val="24"/>
          <w:szCs w:val="24"/>
          <w:lang w:val="en-GB"/>
        </w:rPr>
        <w:t>ms</w:t>
      </w:r>
      <w:proofErr w:type="spellEnd"/>
      <w:r w:rsidRPr="00E25B16">
        <w:rPr>
          <w:sz w:val="24"/>
          <w:szCs w:val="24"/>
          <w:lang w:val="en-GB"/>
        </w:rPr>
        <w:t>, scan time 4 min 28 s), coronal short-tau inversion recovery (STIR) (ST 2.5 mm, FOV 180×180 mm, matrix resolution 0.9×0.8×2.5 mm, TI 220 </w:t>
      </w:r>
      <w:proofErr w:type="spellStart"/>
      <w:r w:rsidRPr="00E25B16">
        <w:rPr>
          <w:sz w:val="24"/>
          <w:szCs w:val="24"/>
          <w:lang w:val="en-GB"/>
        </w:rPr>
        <w:t>ms</w:t>
      </w:r>
      <w:proofErr w:type="spellEnd"/>
      <w:r w:rsidRPr="00E25B16">
        <w:rPr>
          <w:sz w:val="24"/>
          <w:szCs w:val="24"/>
          <w:lang w:val="en-GB"/>
        </w:rPr>
        <w:t>, TE 32 </w:t>
      </w:r>
      <w:proofErr w:type="spellStart"/>
      <w:r w:rsidRPr="00E25B16">
        <w:rPr>
          <w:sz w:val="24"/>
          <w:szCs w:val="24"/>
          <w:lang w:val="en-GB"/>
        </w:rPr>
        <w:t>ms</w:t>
      </w:r>
      <w:proofErr w:type="spellEnd"/>
      <w:r w:rsidRPr="00E25B16">
        <w:rPr>
          <w:sz w:val="24"/>
          <w:szCs w:val="24"/>
          <w:lang w:val="en-GB"/>
        </w:rPr>
        <w:t>, TR 4500 </w:t>
      </w:r>
      <w:proofErr w:type="spellStart"/>
      <w:r w:rsidRPr="00E25B16">
        <w:rPr>
          <w:sz w:val="24"/>
          <w:szCs w:val="24"/>
          <w:lang w:val="en-GB"/>
        </w:rPr>
        <w:t>ms</w:t>
      </w:r>
      <w:proofErr w:type="spellEnd"/>
      <w:r w:rsidRPr="00E25B16">
        <w:rPr>
          <w:sz w:val="24"/>
          <w:szCs w:val="24"/>
          <w:lang w:val="en-GB"/>
        </w:rPr>
        <w:t>, scan time 2 min 48 s), axial STIR covering the MCP joints to the fingertips of the 4 ulnar fingers (ST 5 mm ST, FOV 180×180 mm, matrix resolution 0.6×0.6×5 mm, TI 220 </w:t>
      </w:r>
      <w:proofErr w:type="spellStart"/>
      <w:r w:rsidRPr="00E25B16">
        <w:rPr>
          <w:sz w:val="24"/>
          <w:szCs w:val="24"/>
          <w:lang w:val="en-GB"/>
        </w:rPr>
        <w:t>ms</w:t>
      </w:r>
      <w:proofErr w:type="spellEnd"/>
      <w:r w:rsidRPr="00E25B16">
        <w:rPr>
          <w:sz w:val="24"/>
          <w:szCs w:val="24"/>
          <w:lang w:val="en-GB"/>
        </w:rPr>
        <w:t>, TE 32 </w:t>
      </w:r>
      <w:proofErr w:type="spellStart"/>
      <w:r w:rsidRPr="00E25B16">
        <w:rPr>
          <w:sz w:val="24"/>
          <w:szCs w:val="24"/>
          <w:lang w:val="en-GB"/>
        </w:rPr>
        <w:t>ms</w:t>
      </w:r>
      <w:proofErr w:type="spellEnd"/>
      <w:r w:rsidRPr="00E25B16">
        <w:rPr>
          <w:sz w:val="24"/>
          <w:szCs w:val="24"/>
          <w:lang w:val="en-GB"/>
        </w:rPr>
        <w:t>, TR 4500 </w:t>
      </w:r>
      <w:proofErr w:type="spellStart"/>
      <w:r w:rsidRPr="00E25B16">
        <w:rPr>
          <w:sz w:val="24"/>
          <w:szCs w:val="24"/>
          <w:lang w:val="en-GB"/>
        </w:rPr>
        <w:t>ms</w:t>
      </w:r>
      <w:proofErr w:type="spellEnd"/>
      <w:r w:rsidRPr="00E25B16">
        <w:rPr>
          <w:sz w:val="24"/>
          <w:szCs w:val="24"/>
          <w:lang w:val="en-GB"/>
        </w:rPr>
        <w:t>, scan time 2 min 30 s), gradient echo three-dimensional (3D) T1W volumetric interpolated breath-hold examination (VIBE) (ST 0.9 mm, FOV 250×250 mm, matrix resolution 0.9×0.9×0.9 mm, Flip angle (FA) 10°, TE 6 </w:t>
      </w:r>
      <w:proofErr w:type="spellStart"/>
      <w:r w:rsidRPr="00E25B16">
        <w:rPr>
          <w:sz w:val="24"/>
          <w:szCs w:val="24"/>
          <w:lang w:val="en-GB"/>
        </w:rPr>
        <w:t>ms</w:t>
      </w:r>
      <w:proofErr w:type="spellEnd"/>
      <w:r w:rsidRPr="00E25B16">
        <w:rPr>
          <w:sz w:val="24"/>
          <w:szCs w:val="24"/>
          <w:lang w:val="en-GB"/>
        </w:rPr>
        <w:t>, TR 13.5 </w:t>
      </w:r>
      <w:proofErr w:type="spellStart"/>
      <w:r w:rsidRPr="00E25B16">
        <w:rPr>
          <w:sz w:val="24"/>
          <w:szCs w:val="24"/>
          <w:lang w:val="en-GB"/>
        </w:rPr>
        <w:t>ms</w:t>
      </w:r>
      <w:proofErr w:type="spellEnd"/>
      <w:r w:rsidRPr="00E25B16">
        <w:rPr>
          <w:sz w:val="24"/>
          <w:szCs w:val="24"/>
          <w:lang w:val="en-GB"/>
        </w:rPr>
        <w:t xml:space="preserve">, scan time 2 min 35 s). Simultaneously with the intravenous injection of 0.1 mL/kg body weight </w:t>
      </w:r>
      <w:r w:rsidR="00D97FC2" w:rsidRPr="00E25B16">
        <w:rPr>
          <w:sz w:val="24"/>
          <w:szCs w:val="24"/>
          <w:lang w:val="en-GB"/>
        </w:rPr>
        <w:t>G</w:t>
      </w:r>
      <w:r w:rsidRPr="00E25B16">
        <w:rPr>
          <w:sz w:val="24"/>
          <w:szCs w:val="24"/>
          <w:lang w:val="en-GB"/>
        </w:rPr>
        <w:t>adolinium contrast (</w:t>
      </w:r>
      <w:proofErr w:type="spellStart"/>
      <w:r w:rsidRPr="00E25B16">
        <w:rPr>
          <w:sz w:val="24"/>
          <w:szCs w:val="24"/>
          <w:lang w:val="en-GB"/>
        </w:rPr>
        <w:t>Dotarem</w:t>
      </w:r>
      <w:proofErr w:type="spellEnd"/>
      <w:r w:rsidRPr="00E25B16">
        <w:rPr>
          <w:sz w:val="24"/>
          <w:szCs w:val="24"/>
          <w:lang w:val="en-GB"/>
        </w:rPr>
        <w:t xml:space="preserve">, </w:t>
      </w:r>
      <w:proofErr w:type="spellStart"/>
      <w:r w:rsidRPr="00E25B16">
        <w:rPr>
          <w:sz w:val="24"/>
          <w:szCs w:val="24"/>
          <w:lang w:val="en-GB"/>
        </w:rPr>
        <w:t>Guerbert</w:t>
      </w:r>
      <w:proofErr w:type="spellEnd"/>
      <w:r w:rsidRPr="00E25B16">
        <w:rPr>
          <w:sz w:val="24"/>
          <w:szCs w:val="24"/>
          <w:lang w:val="en-GB"/>
        </w:rPr>
        <w:t xml:space="preserve"> United, http://www.guerbet.co.uk) using a power injector (2 mL per second), a sequential coronal DCE-MRI gradient</w:t>
      </w:r>
      <w:r w:rsidR="005D4BF7">
        <w:rPr>
          <w:sz w:val="24"/>
          <w:szCs w:val="24"/>
          <w:lang w:val="en-GB"/>
        </w:rPr>
        <w:t>-</w:t>
      </w:r>
      <w:r w:rsidRPr="00E25B16">
        <w:rPr>
          <w:sz w:val="24"/>
          <w:szCs w:val="24"/>
          <w:lang w:val="en-GB"/>
        </w:rPr>
        <w:t>echo T1W (VIBE) sequence w</w:t>
      </w:r>
      <w:r w:rsidR="00D97FC2" w:rsidRPr="00E25B16">
        <w:rPr>
          <w:sz w:val="24"/>
          <w:szCs w:val="24"/>
          <w:lang w:val="en-GB"/>
        </w:rPr>
        <w:t>as</w:t>
      </w:r>
      <w:r w:rsidRPr="00E25B16">
        <w:rPr>
          <w:sz w:val="24"/>
          <w:szCs w:val="24"/>
          <w:lang w:val="en-GB"/>
        </w:rPr>
        <w:t xml:space="preserve"> performed in </w:t>
      </w:r>
      <w:r w:rsidR="00D97FC2" w:rsidRPr="00E25B16">
        <w:rPr>
          <w:sz w:val="24"/>
          <w:szCs w:val="24"/>
          <w:lang w:val="en-GB"/>
        </w:rPr>
        <w:t>10-12</w:t>
      </w:r>
      <w:r w:rsidRPr="00E25B16">
        <w:rPr>
          <w:sz w:val="24"/>
          <w:szCs w:val="24"/>
          <w:lang w:val="en-GB"/>
        </w:rPr>
        <w:t xml:space="preserve"> </w:t>
      </w:r>
      <w:r w:rsidR="00D97FC2" w:rsidRPr="00E25B16">
        <w:rPr>
          <w:sz w:val="24"/>
          <w:szCs w:val="24"/>
          <w:lang w:val="en-GB"/>
        </w:rPr>
        <w:t>2</w:t>
      </w:r>
      <w:r w:rsidRPr="00E25B16">
        <w:rPr>
          <w:sz w:val="24"/>
          <w:szCs w:val="24"/>
          <w:lang w:val="en-GB"/>
        </w:rPr>
        <w:t> mm slices every 9 s, with 30 repetitions using the following parameters: TE 1.86, TR 5.51 FA 15°, matrix resolution 256×256, total scan time 4 min 40 s) covering the hand</w:t>
      </w:r>
      <w:r w:rsidR="00D97FC2" w:rsidRPr="00E25B16">
        <w:rPr>
          <w:sz w:val="24"/>
          <w:szCs w:val="24"/>
          <w:lang w:val="en-GB"/>
        </w:rPr>
        <w:t xml:space="preserve"> from wrist to fingertips</w:t>
      </w:r>
      <w:r w:rsidRPr="00E25B16">
        <w:rPr>
          <w:sz w:val="24"/>
          <w:szCs w:val="24"/>
          <w:lang w:val="en-GB"/>
        </w:rPr>
        <w:t>. Following the DCE-MRI sequence, the 3D T1W VIBE sequence w</w:t>
      </w:r>
      <w:r w:rsidR="00D97FC2" w:rsidRPr="00E25B16">
        <w:rPr>
          <w:sz w:val="24"/>
          <w:szCs w:val="24"/>
          <w:lang w:val="en-GB"/>
        </w:rPr>
        <w:t>as</w:t>
      </w:r>
      <w:r w:rsidRPr="00E25B16">
        <w:rPr>
          <w:sz w:val="24"/>
          <w:szCs w:val="24"/>
          <w:lang w:val="en-GB"/>
        </w:rPr>
        <w:t xml:space="preserve"> repeated. Total imaging time w</w:t>
      </w:r>
      <w:r w:rsidR="00D97FC2" w:rsidRPr="00E25B16">
        <w:rPr>
          <w:sz w:val="24"/>
          <w:szCs w:val="24"/>
          <w:lang w:val="en-GB"/>
        </w:rPr>
        <w:t>as</w:t>
      </w:r>
      <w:r w:rsidRPr="00E25B16">
        <w:rPr>
          <w:sz w:val="24"/>
          <w:szCs w:val="24"/>
          <w:lang w:val="en-GB"/>
        </w:rPr>
        <w:t xml:space="preserve"> approximately 30–35 min.</w:t>
      </w:r>
    </w:p>
    <w:p w:rsidR="00BE3E74" w:rsidRPr="00BE3E74" w:rsidRDefault="00BE3E74" w:rsidP="00E25B16">
      <w:pPr>
        <w:pStyle w:val="Overskrift2"/>
        <w:spacing w:line="360" w:lineRule="auto"/>
        <w:rPr>
          <w:color w:val="auto"/>
          <w:sz w:val="24"/>
          <w:szCs w:val="24"/>
          <w:lang w:val="en-GB"/>
        </w:rPr>
      </w:pPr>
      <w:proofErr w:type="spellStart"/>
      <w:r w:rsidRPr="00BE3E74">
        <w:rPr>
          <w:color w:val="auto"/>
          <w:sz w:val="24"/>
          <w:szCs w:val="24"/>
          <w:lang w:val="en-GB"/>
        </w:rPr>
        <w:t>PsAmris</w:t>
      </w:r>
      <w:proofErr w:type="spellEnd"/>
      <w:r w:rsidRPr="00BE3E74">
        <w:rPr>
          <w:color w:val="auto"/>
          <w:sz w:val="24"/>
          <w:szCs w:val="24"/>
          <w:lang w:val="en-GB"/>
        </w:rPr>
        <w:t>-score</w:t>
      </w:r>
    </w:p>
    <w:p w:rsidR="00BE3E74" w:rsidRDefault="00BE3E74" w:rsidP="00BE3E74">
      <w:pPr>
        <w:spacing w:line="360" w:lineRule="auto"/>
        <w:rPr>
          <w:sz w:val="24"/>
          <w:szCs w:val="24"/>
          <w:lang w:val="en-GB"/>
        </w:rPr>
      </w:pPr>
      <w:r w:rsidRPr="002522E7">
        <w:rPr>
          <w:sz w:val="24"/>
          <w:szCs w:val="24"/>
          <w:lang w:val="en-GB"/>
        </w:rPr>
        <w:t xml:space="preserve">The coronal and axial STIR and 3D coronal T1 gradient echo VIBE pre- and post-contrast images of DIP-joint 2 to 5 </w:t>
      </w:r>
      <w:r w:rsidR="00CC449F">
        <w:rPr>
          <w:sz w:val="24"/>
          <w:szCs w:val="24"/>
          <w:lang w:val="en-GB"/>
        </w:rPr>
        <w:t>were</w:t>
      </w:r>
      <w:r w:rsidRPr="002522E7">
        <w:rPr>
          <w:sz w:val="24"/>
          <w:szCs w:val="24"/>
          <w:lang w:val="en-GB"/>
        </w:rPr>
        <w:t xml:space="preserve"> used for </w:t>
      </w:r>
      <w:proofErr w:type="spellStart"/>
      <w:r w:rsidRPr="002522E7">
        <w:rPr>
          <w:sz w:val="24"/>
          <w:szCs w:val="24"/>
          <w:lang w:val="en-GB"/>
        </w:rPr>
        <w:t>PsAMRIS</w:t>
      </w:r>
      <w:proofErr w:type="spellEnd"/>
      <w:r w:rsidRPr="002522E7">
        <w:rPr>
          <w:sz w:val="24"/>
          <w:szCs w:val="24"/>
          <w:lang w:val="en-GB"/>
        </w:rPr>
        <w:t xml:space="preserve"> scoring including synovial hypertrophy, tenosynovitis, bony proliferation, bone marrow oedema and erosions and the score for each DIP-joint ranges from 0 - 35 </w:t>
      </w:r>
      <w:r w:rsidRPr="002522E7">
        <w:rPr>
          <w:sz w:val="24"/>
          <w:szCs w:val="24"/>
          <w:lang w:val="en-GB"/>
        </w:rPr>
        <w:fldChar w:fldCharType="begin" w:fldLock="1"/>
      </w:r>
      <w:r w:rsidR="00E25B16">
        <w:rPr>
          <w:sz w:val="24"/>
          <w:szCs w:val="24"/>
          <w:lang w:val="en-GB"/>
        </w:rPr>
        <w:instrText>ADDIN CSL_CITATION {"citationItems":[{"id":"ITEM-1","itemData":{"DOI":"10.3899/jrheum.141010 LK  - http://findit.library.jhu.edu/resolve?sid=EMBASE&amp;issn=14992752&amp;id=doi:10.3899%2Fjrheum.141010&amp;atitle=Validation+of+the+OMERACT+Psoriatic+Arthritis+Magnetic+Resonance+Imaging+Score+%28PsAMRIS%29+for+the+hand+and+foot+in+a+randomized+placebo-controlled+trial&amp;stitle=J.+Rheumatol.&amp;title=Journal+of+Rheumatology&amp;volume=42&amp;issue=12&amp;spage=2473&amp;epage=2479&amp;aulast=Glinatsi&amp;aufirst=Daniel&amp;auinit=D.&amp;aufull=Glinatsi+D.&amp;coden=JRHUA&amp;isbn=&amp;pages=2473-2479&amp;date=2015&amp;auinit1=D&amp;auinitm=","ISSN":"1499-2752","abstract":"Objective. To assess changes following treatment and the reliability and responsiveness to change of the Outcome Measures in Rheumatology (OMERACT) Psoriatic Arthritis Magnetic Resonance Imaging Score (PsAMRIS) in a randomized controlled trial. Methods. Forty patients with PsA randomized to either placebo or abatacept (ABA) had MRI of either 1 hand (n = 20) or 1 foot (n = 20) at baseline and after 6 months. Images were scored blindly twice by 3 independent readers according to the PsAMRIS (for synovitis, tenosynovitis, periarticular inflammation, bone edema, bone erosion, and bone proliferation). Results. Inflammatory features improved numerically but statistically nonsignificantly in the ABA group but not the placebo group. Baseline intrareader intraclass correlation coefficients (ICC) were good (≥ 0.50) to very good (≥ 0.80) for all features in both hand and foot. Baseline interreader ICC were good (ICC 0.72-0.96) for all features, except periarticular inflammation and bone proliferation in the hand and tenosynovitis in the foot (ICC 0.25-0.44). Intrareader and interreader ICC for change scores varied. Guyatt's responsiveness index (GRI) was high for inflammatory features in the hand and metatarsophalangeal joints (GRI -0.67 to -3.13; bone edema not calculable). Minimal change and low prevalence resulted in low ICC and GRI for bone damage. Conclusion. PsAMRIS showed overall good intrareader agreement in the hand and foot, and inflammatory feature scores were responsive to change, suggesting that PsAMRIS may be a valid tool for MRI assessment of hands and feet in PsA clinical trials.","author":[{"dropping-particle":"","family":"D.","given":"Glinatsi","non-dropping-particle":"","parse-names":false,"suffix":""},{"dropping-particle":"","family":"P.","given":"Bird","non-dropping-particle":"","parse-names":false,"suffix":""},{"dropping-particle":"","family":"F.","given":"Gandjbakhch","non-dropping-particle":"","parse-names":false,"suffix":""},{"dropping-particle":"","family":"P.J.","given":"Mease","non-dropping-particle":"","parse-names":false,"suffix":""},{"dropping-particle":"","family":"P.","given":"Bøyesen","non-dropping-particle":"","parse-names":false,"suffix":""},{"dropping-particle":"","family":"C.G.","given":"Peterfy","non-dropping-particle":"","parse-names":false,"suffix":""},{"dropping-particle":"","family":"P.G.","given":"Conaghan","non-dropping-particle":"","parse-names":false,"suffix":""},{"dropping-particle":"","family":"M.","given":"Østergaard","non-dropping-particle":"","parse-names":false,"suffix":""}],"container-title":"Journal of Rheumatology","id":"ITEM-1","issue":"12","issued":{"date-parts":[["2015"]]},"page":"2473-2479","title":"Validation of the OMERACT Psoriatic Arthritis Magnetic Resonance Imaging Score (PsAMRIS) for the hand and foot in a randomized placebo-controlled trial","type":"article-journal","volume":"42"},"uris":["http://www.mendeley.com/documents/?uuid=038fadc3-a7db-4eae-be91-fe66cee3dc2d"]}],"mendeley":{"formattedCitation":"[1]","plainTextFormattedCitation":"[1]","previouslyFormattedCitation":"[1]"},"properties":{"noteIndex":0},"schema":"https://github.com/citation-style-language/schema/raw/master/csl-citation.json"}</w:instrText>
      </w:r>
      <w:r w:rsidRPr="002522E7">
        <w:rPr>
          <w:sz w:val="24"/>
          <w:szCs w:val="24"/>
          <w:lang w:val="en-GB"/>
        </w:rPr>
        <w:fldChar w:fldCharType="separate"/>
      </w:r>
      <w:r w:rsidR="00E25B16" w:rsidRPr="00E25B16">
        <w:rPr>
          <w:noProof/>
          <w:sz w:val="24"/>
          <w:szCs w:val="24"/>
          <w:lang w:val="en-GB"/>
        </w:rPr>
        <w:t>[1]</w:t>
      </w:r>
      <w:r w:rsidRPr="002522E7">
        <w:rPr>
          <w:sz w:val="24"/>
          <w:szCs w:val="24"/>
          <w:lang w:val="en-GB"/>
        </w:rPr>
        <w:fldChar w:fldCharType="end"/>
      </w:r>
      <w:r w:rsidRPr="002522E7">
        <w:rPr>
          <w:sz w:val="24"/>
          <w:szCs w:val="24"/>
          <w:lang w:val="en-GB"/>
        </w:rPr>
        <w:t xml:space="preserve">. </w:t>
      </w:r>
    </w:p>
    <w:p w:rsidR="00AB58BD" w:rsidRPr="002522E7" w:rsidRDefault="00AB58BD" w:rsidP="00BE3E74">
      <w:pPr>
        <w:spacing w:line="360" w:lineRule="auto"/>
        <w:rPr>
          <w:sz w:val="24"/>
          <w:szCs w:val="24"/>
          <w:lang w:val="en-GB"/>
        </w:rPr>
      </w:pPr>
      <w:r w:rsidRPr="002522E7">
        <w:rPr>
          <w:sz w:val="24"/>
          <w:szCs w:val="24"/>
          <w:lang w:val="en-GB"/>
        </w:rPr>
        <w:lastRenderedPageBreak/>
        <w:t xml:space="preserve">A modified </w:t>
      </w:r>
      <w:proofErr w:type="spellStart"/>
      <w:r w:rsidRPr="002522E7">
        <w:rPr>
          <w:sz w:val="24"/>
          <w:szCs w:val="24"/>
          <w:lang w:val="en-GB"/>
        </w:rPr>
        <w:t>PsAMRIS</w:t>
      </w:r>
      <w:proofErr w:type="spellEnd"/>
      <w:r w:rsidRPr="002522E7">
        <w:rPr>
          <w:sz w:val="24"/>
          <w:szCs w:val="24"/>
          <w:lang w:val="en-GB"/>
        </w:rPr>
        <w:t xml:space="preserve">-score </w:t>
      </w:r>
      <w:r>
        <w:rPr>
          <w:sz w:val="24"/>
          <w:szCs w:val="24"/>
          <w:lang w:val="en-GB"/>
        </w:rPr>
        <w:t xml:space="preserve">was used in this study </w:t>
      </w:r>
      <w:r w:rsidRPr="002522E7">
        <w:rPr>
          <w:sz w:val="24"/>
          <w:szCs w:val="24"/>
          <w:lang w:val="en-GB"/>
        </w:rPr>
        <w:t>encompassing the DIP-joint: D-</w:t>
      </w:r>
      <w:proofErr w:type="spellStart"/>
      <w:r w:rsidRPr="002522E7">
        <w:rPr>
          <w:sz w:val="24"/>
          <w:szCs w:val="24"/>
          <w:lang w:val="en-GB"/>
        </w:rPr>
        <w:t>PsAMRIS</w:t>
      </w:r>
      <w:proofErr w:type="spellEnd"/>
      <w:r w:rsidRPr="002522E7">
        <w:rPr>
          <w:sz w:val="24"/>
          <w:szCs w:val="24"/>
          <w:lang w:val="en-GB"/>
        </w:rPr>
        <w:t xml:space="preserve"> (range 0-35) = synovial hypertrophy (0-3) + flexor tenosynovitis (0-3) + palmar periarticular inflammation (0-1) + dorsal periarticular inflammation (0-1) + proximal bone oedema score (0-3) + distal bone oedema score (0-3) + proximal bone erosion score (0-10) + distal bone erosion score (0-10) + bone proliferation score (0-1).</w:t>
      </w:r>
      <w:bookmarkStart w:id="0" w:name="_GoBack"/>
      <w:bookmarkEnd w:id="0"/>
    </w:p>
    <w:p w:rsidR="00BE3E74" w:rsidRPr="00BE3E74" w:rsidRDefault="00BE3E74" w:rsidP="00BE3E74">
      <w:pPr>
        <w:pStyle w:val="Overskrift2"/>
        <w:spacing w:line="360" w:lineRule="auto"/>
        <w:rPr>
          <w:color w:val="auto"/>
          <w:sz w:val="24"/>
          <w:szCs w:val="24"/>
          <w:lang w:val="en-GB"/>
        </w:rPr>
      </w:pPr>
      <w:r w:rsidRPr="00BE3E74">
        <w:rPr>
          <w:color w:val="auto"/>
          <w:sz w:val="24"/>
          <w:szCs w:val="24"/>
          <w:lang w:val="en-GB"/>
        </w:rPr>
        <w:t>Flow evaluation using DYNAMIKA</w:t>
      </w:r>
    </w:p>
    <w:p w:rsidR="00621E6F" w:rsidRPr="004D194B" w:rsidRDefault="00BE3E74" w:rsidP="00621E6F">
      <w:pPr>
        <w:spacing w:line="360" w:lineRule="auto"/>
        <w:rPr>
          <w:rFonts w:cstheme="minorHAnsi"/>
          <w:sz w:val="24"/>
          <w:szCs w:val="24"/>
          <w:lang w:val="en-GB"/>
        </w:rPr>
      </w:pPr>
      <w:r w:rsidRPr="002522E7">
        <w:rPr>
          <w:sz w:val="24"/>
          <w:szCs w:val="24"/>
          <w:lang w:val="en-GB"/>
        </w:rPr>
        <w:t xml:space="preserve">The sequential axial T1 gradient-echo DCE-MRI images </w:t>
      </w:r>
      <w:r w:rsidR="00CC449F">
        <w:rPr>
          <w:sz w:val="24"/>
          <w:szCs w:val="24"/>
          <w:lang w:val="en-GB"/>
        </w:rPr>
        <w:t>were</w:t>
      </w:r>
      <w:r w:rsidRPr="002522E7">
        <w:rPr>
          <w:sz w:val="24"/>
          <w:szCs w:val="24"/>
          <w:lang w:val="en-GB"/>
        </w:rPr>
        <w:t xml:space="preserve"> analysed using DYNAMIKA®. The images </w:t>
      </w:r>
      <w:r w:rsidR="00CC449F">
        <w:rPr>
          <w:sz w:val="24"/>
          <w:szCs w:val="24"/>
          <w:lang w:val="en-GB"/>
        </w:rPr>
        <w:t>we</w:t>
      </w:r>
      <w:r w:rsidRPr="002522E7">
        <w:rPr>
          <w:sz w:val="24"/>
          <w:szCs w:val="24"/>
          <w:lang w:val="en-GB"/>
        </w:rPr>
        <w:t>re</w:t>
      </w:r>
      <w:r w:rsidRPr="002522E7">
        <w:rPr>
          <w:color w:val="000000" w:themeColor="text1"/>
          <w:sz w:val="24"/>
          <w:szCs w:val="24"/>
          <w:lang w:val="en-GB" w:eastAsia="da-DK"/>
        </w:rPr>
        <w:t xml:space="preserve"> analysed in </w:t>
      </w:r>
      <w:r w:rsidR="005843D8">
        <w:rPr>
          <w:color w:val="000000" w:themeColor="text1"/>
          <w:sz w:val="24"/>
          <w:szCs w:val="24"/>
          <w:lang w:val="en-GB" w:eastAsia="da-DK"/>
        </w:rPr>
        <w:t>2</w:t>
      </w:r>
      <w:r w:rsidR="005843D8" w:rsidRPr="002522E7">
        <w:rPr>
          <w:color w:val="000000" w:themeColor="text1"/>
          <w:sz w:val="24"/>
          <w:szCs w:val="24"/>
          <w:lang w:val="en-GB" w:eastAsia="da-DK"/>
        </w:rPr>
        <w:t xml:space="preserve"> </w:t>
      </w:r>
      <w:r w:rsidRPr="002522E7">
        <w:rPr>
          <w:color w:val="000000" w:themeColor="text1"/>
          <w:sz w:val="24"/>
          <w:szCs w:val="24"/>
          <w:lang w:val="en-GB" w:eastAsia="da-DK"/>
        </w:rPr>
        <w:t xml:space="preserve">independent ways: </w:t>
      </w:r>
      <w:r w:rsidR="005843D8">
        <w:rPr>
          <w:color w:val="000000" w:themeColor="text1"/>
          <w:sz w:val="24"/>
          <w:szCs w:val="24"/>
          <w:lang w:val="en-GB" w:eastAsia="da-DK"/>
        </w:rPr>
        <w:t>1</w:t>
      </w:r>
      <w:r w:rsidRPr="002522E7">
        <w:rPr>
          <w:color w:val="000000" w:themeColor="text1"/>
          <w:sz w:val="24"/>
          <w:szCs w:val="24"/>
          <w:lang w:val="en-GB" w:eastAsia="da-DK"/>
        </w:rPr>
        <w:t xml:space="preserve">) the slice with most enhancement as judged by eye </w:t>
      </w:r>
      <w:r w:rsidR="00CC449F">
        <w:rPr>
          <w:color w:val="000000" w:themeColor="text1"/>
          <w:sz w:val="24"/>
          <w:szCs w:val="24"/>
          <w:lang w:val="en-GB" w:eastAsia="da-DK"/>
        </w:rPr>
        <w:t>was</w:t>
      </w:r>
      <w:r w:rsidRPr="002522E7">
        <w:rPr>
          <w:color w:val="000000" w:themeColor="text1"/>
          <w:sz w:val="24"/>
          <w:szCs w:val="24"/>
          <w:lang w:val="en-GB" w:eastAsia="da-DK"/>
        </w:rPr>
        <w:t xml:space="preserve"> selected. An ROI </w:t>
      </w:r>
      <w:r w:rsidR="00CC449F">
        <w:rPr>
          <w:color w:val="000000" w:themeColor="text1"/>
          <w:sz w:val="24"/>
          <w:szCs w:val="24"/>
          <w:lang w:val="en-GB" w:eastAsia="da-DK"/>
        </w:rPr>
        <w:t>was</w:t>
      </w:r>
      <w:r w:rsidRPr="002522E7">
        <w:rPr>
          <w:color w:val="000000" w:themeColor="text1"/>
          <w:sz w:val="24"/>
          <w:szCs w:val="24"/>
          <w:lang w:val="en-GB" w:eastAsia="da-DK"/>
        </w:rPr>
        <w:t xml:space="preserve"> drawn around the each of the DIP 2-5 joints, each of the fingers and each of the hand muscles respectively, excluding large blood vessels from analysis, and 3) </w:t>
      </w:r>
      <w:r w:rsidR="00621E6F" w:rsidRPr="004D194B">
        <w:rPr>
          <w:rFonts w:cstheme="minorHAnsi"/>
          <w:color w:val="000000" w:themeColor="text1"/>
          <w:sz w:val="24"/>
          <w:szCs w:val="24"/>
          <w:lang w:val="en-GB" w:eastAsia="da-DK"/>
        </w:rPr>
        <w:t xml:space="preserve">A </w:t>
      </w:r>
      <w:r w:rsidR="00621E6F">
        <w:rPr>
          <w:rFonts w:cstheme="minorHAnsi"/>
          <w:color w:val="000000" w:themeColor="text1"/>
          <w:sz w:val="24"/>
          <w:szCs w:val="24"/>
          <w:lang w:val="en-GB" w:eastAsia="da-DK"/>
        </w:rPr>
        <w:t>2</w:t>
      </w:r>
      <w:r w:rsidR="00621E6F" w:rsidRPr="004D194B">
        <w:rPr>
          <w:rFonts w:cstheme="minorHAnsi"/>
          <w:color w:val="000000" w:themeColor="text1"/>
          <w:sz w:val="24"/>
          <w:szCs w:val="24"/>
          <w:lang w:val="en-GB" w:eastAsia="da-DK"/>
        </w:rPr>
        <w:t>-dimensional ROI was drawn around the distal phalanges and DIP from 2</w:t>
      </w:r>
      <w:r w:rsidR="00621E6F" w:rsidRPr="002643EB">
        <w:rPr>
          <w:rFonts w:cstheme="minorHAnsi"/>
          <w:color w:val="000000" w:themeColor="text1"/>
          <w:sz w:val="24"/>
          <w:szCs w:val="24"/>
          <w:vertAlign w:val="superscript"/>
          <w:lang w:val="en-GB" w:eastAsia="da-DK"/>
        </w:rPr>
        <w:t>nd</w:t>
      </w:r>
      <w:r w:rsidR="00621E6F" w:rsidRPr="004D194B">
        <w:rPr>
          <w:rFonts w:cstheme="minorHAnsi"/>
          <w:color w:val="000000" w:themeColor="text1"/>
          <w:sz w:val="24"/>
          <w:szCs w:val="24"/>
          <w:lang w:val="en-GB" w:eastAsia="da-DK"/>
        </w:rPr>
        <w:t xml:space="preserve"> to 5</w:t>
      </w:r>
      <w:r w:rsidR="00621E6F" w:rsidRPr="002643EB">
        <w:rPr>
          <w:rFonts w:cstheme="minorHAnsi"/>
          <w:color w:val="000000" w:themeColor="text1"/>
          <w:sz w:val="24"/>
          <w:szCs w:val="24"/>
          <w:vertAlign w:val="superscript"/>
          <w:lang w:val="en-GB" w:eastAsia="da-DK"/>
        </w:rPr>
        <w:t>th</w:t>
      </w:r>
      <w:r w:rsidR="00621E6F" w:rsidRPr="004D194B">
        <w:rPr>
          <w:rFonts w:cstheme="minorHAnsi"/>
          <w:color w:val="000000" w:themeColor="text1"/>
          <w:sz w:val="24"/>
          <w:szCs w:val="24"/>
          <w:lang w:val="en-GB" w:eastAsia="da-DK"/>
        </w:rPr>
        <w:t xml:space="preserve"> fingers</w:t>
      </w:r>
      <w:r w:rsidR="00621E6F">
        <w:rPr>
          <w:rFonts w:cstheme="minorHAnsi"/>
          <w:color w:val="000000" w:themeColor="text1"/>
          <w:sz w:val="24"/>
          <w:szCs w:val="24"/>
          <w:lang w:val="en-GB" w:eastAsia="da-DK"/>
        </w:rPr>
        <w:t xml:space="preserve"> in all available coronal slices and summed into a 3-dimensional volumetric ROI (VOI)</w:t>
      </w:r>
      <w:r w:rsidR="00621E6F" w:rsidRPr="004D194B">
        <w:rPr>
          <w:rFonts w:cstheme="minorHAnsi"/>
          <w:color w:val="000000" w:themeColor="text1"/>
          <w:sz w:val="24"/>
          <w:szCs w:val="24"/>
          <w:lang w:val="en-GB" w:eastAsia="da-DK"/>
        </w:rPr>
        <w:t xml:space="preserve">. The computed </w:t>
      </w:r>
      <w:r w:rsidR="00621E6F">
        <w:rPr>
          <w:rFonts w:cstheme="minorHAnsi"/>
          <w:color w:val="000000" w:themeColor="text1"/>
          <w:sz w:val="24"/>
          <w:szCs w:val="24"/>
          <w:lang w:val="en-GB" w:eastAsia="da-DK"/>
        </w:rPr>
        <w:t xml:space="preserve">mean </w:t>
      </w:r>
      <w:r w:rsidR="00621E6F" w:rsidRPr="004D194B">
        <w:rPr>
          <w:rFonts w:cstheme="minorHAnsi"/>
          <w:color w:val="000000" w:themeColor="text1"/>
          <w:sz w:val="24"/>
          <w:szCs w:val="24"/>
          <w:lang w:val="en-GB" w:eastAsia="da-DK"/>
        </w:rPr>
        <w:t xml:space="preserve">output data in the whole hand analysis and the various </w:t>
      </w:r>
      <w:r w:rsidR="00621E6F">
        <w:rPr>
          <w:rFonts w:cstheme="minorHAnsi"/>
          <w:color w:val="000000" w:themeColor="text1"/>
          <w:sz w:val="24"/>
          <w:szCs w:val="24"/>
          <w:lang w:val="en-GB" w:eastAsia="da-DK"/>
        </w:rPr>
        <w:t>V</w:t>
      </w:r>
      <w:r w:rsidR="00621E6F" w:rsidRPr="004D194B">
        <w:rPr>
          <w:rFonts w:cstheme="minorHAnsi"/>
          <w:color w:val="000000" w:themeColor="text1"/>
          <w:sz w:val="24"/>
          <w:szCs w:val="24"/>
          <w:lang w:val="en-GB" w:eastAsia="da-DK"/>
        </w:rPr>
        <w:t xml:space="preserve">OIs comprise the mean of </w:t>
      </w:r>
      <w:r w:rsidR="00621E6F">
        <w:rPr>
          <w:rFonts w:cstheme="minorHAnsi"/>
          <w:color w:val="000000" w:themeColor="text1"/>
          <w:sz w:val="24"/>
          <w:szCs w:val="24"/>
          <w:lang w:val="en-GB" w:eastAsia="da-DK"/>
        </w:rPr>
        <w:t xml:space="preserve">the </w:t>
      </w:r>
      <w:r w:rsidR="00621E6F" w:rsidRPr="004D194B">
        <w:rPr>
          <w:rFonts w:cstheme="minorHAnsi"/>
          <w:color w:val="000000" w:themeColor="text1"/>
          <w:sz w:val="24"/>
          <w:szCs w:val="24"/>
          <w:lang w:val="en-GB" w:eastAsia="da-DK"/>
        </w:rPr>
        <w:t>initial rate of enhancement (IRE), maximum enhancement (ME), number of enhancing voxels (</w:t>
      </w:r>
      <w:proofErr w:type="spellStart"/>
      <w:r w:rsidR="00621E6F" w:rsidRPr="004D194B">
        <w:rPr>
          <w:rFonts w:cstheme="minorHAnsi"/>
          <w:color w:val="000000" w:themeColor="text1"/>
          <w:sz w:val="24"/>
          <w:szCs w:val="24"/>
          <w:lang w:val="en-GB" w:eastAsia="da-DK"/>
        </w:rPr>
        <w:t>NVoxels</w:t>
      </w:r>
      <w:proofErr w:type="spellEnd"/>
      <w:r w:rsidR="00621E6F" w:rsidRPr="004D194B">
        <w:rPr>
          <w:rFonts w:cstheme="minorHAnsi"/>
          <w:color w:val="000000" w:themeColor="text1"/>
          <w:sz w:val="24"/>
          <w:szCs w:val="24"/>
          <w:lang w:val="en-GB" w:eastAsia="da-DK"/>
        </w:rPr>
        <w:t>)</w:t>
      </w:r>
      <w:r w:rsidR="00621E6F">
        <w:rPr>
          <w:rFonts w:cstheme="minorHAnsi"/>
          <w:color w:val="000000" w:themeColor="text1"/>
          <w:sz w:val="24"/>
          <w:szCs w:val="24"/>
          <w:lang w:val="en-GB" w:eastAsia="da-DK"/>
        </w:rPr>
        <w:t xml:space="preserve"> as well as their composite scores of IRE*</w:t>
      </w:r>
      <w:proofErr w:type="spellStart"/>
      <w:r w:rsidR="00621E6F">
        <w:rPr>
          <w:rFonts w:cstheme="minorHAnsi"/>
          <w:color w:val="000000" w:themeColor="text1"/>
          <w:sz w:val="24"/>
          <w:szCs w:val="24"/>
          <w:lang w:val="en-GB" w:eastAsia="da-DK"/>
        </w:rPr>
        <w:t>NVoxels</w:t>
      </w:r>
      <w:proofErr w:type="spellEnd"/>
      <w:r w:rsidR="00621E6F">
        <w:rPr>
          <w:rFonts w:cstheme="minorHAnsi"/>
          <w:color w:val="000000" w:themeColor="text1"/>
          <w:sz w:val="24"/>
          <w:szCs w:val="24"/>
          <w:lang w:val="en-GB" w:eastAsia="da-DK"/>
        </w:rPr>
        <w:t xml:space="preserve"> and ME*</w:t>
      </w:r>
      <w:proofErr w:type="spellStart"/>
      <w:r w:rsidR="00621E6F">
        <w:rPr>
          <w:rFonts w:cstheme="minorHAnsi"/>
          <w:color w:val="000000" w:themeColor="text1"/>
          <w:sz w:val="24"/>
          <w:szCs w:val="24"/>
          <w:lang w:val="en-GB" w:eastAsia="da-DK"/>
        </w:rPr>
        <w:t>Nvoxels</w:t>
      </w:r>
      <w:proofErr w:type="spellEnd"/>
      <w:r w:rsidR="00621E6F" w:rsidRPr="004D194B">
        <w:rPr>
          <w:rFonts w:cstheme="minorHAnsi"/>
          <w:color w:val="000000" w:themeColor="text1"/>
          <w:sz w:val="24"/>
          <w:szCs w:val="24"/>
          <w:lang w:val="en-GB" w:eastAsia="da-DK"/>
        </w:rPr>
        <w:t>.</w:t>
      </w:r>
    </w:p>
    <w:p w:rsidR="00E25B16" w:rsidRDefault="00E25B16" w:rsidP="00BE3E74">
      <w:pPr>
        <w:spacing w:line="360" w:lineRule="auto"/>
        <w:rPr>
          <w:rFonts w:ascii="Times New Roman" w:eastAsia="Times New Roman" w:hAnsi="Times New Roman" w:cs="Times New Roman"/>
          <w:color w:val="000000" w:themeColor="text1"/>
          <w:sz w:val="24"/>
          <w:szCs w:val="24"/>
          <w:lang w:val="en-GB" w:eastAsia="da-DK"/>
        </w:rPr>
      </w:pPr>
    </w:p>
    <w:p w:rsidR="00E25B16" w:rsidRPr="00D113CE" w:rsidRDefault="00E25B16" w:rsidP="00BE3E74">
      <w:pPr>
        <w:spacing w:line="360" w:lineRule="auto"/>
        <w:rPr>
          <w:rFonts w:asciiTheme="majorHAnsi" w:eastAsiaTheme="majorEastAsia" w:hAnsiTheme="majorHAnsi" w:cstheme="majorBidi"/>
          <w:sz w:val="24"/>
          <w:szCs w:val="24"/>
        </w:rPr>
      </w:pPr>
      <w:r w:rsidRPr="00D113CE">
        <w:rPr>
          <w:rFonts w:asciiTheme="majorHAnsi" w:eastAsiaTheme="majorEastAsia" w:hAnsiTheme="majorHAnsi" w:cstheme="majorBidi"/>
          <w:sz w:val="24"/>
          <w:szCs w:val="24"/>
        </w:rPr>
        <w:t>References</w:t>
      </w:r>
    </w:p>
    <w:p w:rsidR="00E25B16" w:rsidRPr="005D4BF7" w:rsidRDefault="00E25B16" w:rsidP="00E25B16">
      <w:pPr>
        <w:widowControl w:val="0"/>
        <w:autoSpaceDE w:val="0"/>
        <w:autoSpaceDN w:val="0"/>
        <w:adjustRightInd w:val="0"/>
        <w:spacing w:line="360" w:lineRule="auto"/>
        <w:ind w:left="640" w:hanging="640"/>
        <w:rPr>
          <w:rFonts w:ascii="Times New Roman" w:hAnsi="Times New Roman" w:cs="Times New Roman"/>
          <w:noProof/>
          <w:sz w:val="24"/>
          <w:lang w:val="en-US"/>
        </w:rPr>
      </w:pPr>
      <w:r>
        <w:rPr>
          <w:rFonts w:ascii="Times New Roman" w:eastAsia="Times New Roman" w:hAnsi="Times New Roman" w:cs="Times New Roman"/>
          <w:color w:val="000000" w:themeColor="text1"/>
          <w:sz w:val="24"/>
          <w:szCs w:val="24"/>
          <w:lang w:val="en-GB" w:eastAsia="da-DK"/>
        </w:rPr>
        <w:fldChar w:fldCharType="begin" w:fldLock="1"/>
      </w:r>
      <w:r w:rsidRPr="00D113CE">
        <w:rPr>
          <w:rFonts w:ascii="Times New Roman" w:eastAsia="Times New Roman" w:hAnsi="Times New Roman" w:cs="Times New Roman"/>
          <w:color w:val="000000" w:themeColor="text1"/>
          <w:sz w:val="24"/>
          <w:szCs w:val="24"/>
          <w:lang w:eastAsia="da-DK"/>
        </w:rPr>
        <w:instrText xml:space="preserve">ADDIN Mendeley Bibliography CSL_BIBLIOGRAPHY </w:instrText>
      </w:r>
      <w:r>
        <w:rPr>
          <w:rFonts w:ascii="Times New Roman" w:eastAsia="Times New Roman" w:hAnsi="Times New Roman" w:cs="Times New Roman"/>
          <w:color w:val="000000" w:themeColor="text1"/>
          <w:sz w:val="24"/>
          <w:szCs w:val="24"/>
          <w:lang w:val="en-GB" w:eastAsia="da-DK"/>
        </w:rPr>
        <w:fldChar w:fldCharType="separate"/>
      </w:r>
      <w:r w:rsidRPr="00E25B16">
        <w:rPr>
          <w:rFonts w:ascii="Times New Roman" w:hAnsi="Times New Roman" w:cs="Times New Roman"/>
          <w:noProof/>
          <w:sz w:val="24"/>
          <w:szCs w:val="24"/>
        </w:rPr>
        <w:t xml:space="preserve">1 </w:t>
      </w:r>
      <w:r w:rsidRPr="00E25B16">
        <w:rPr>
          <w:rFonts w:ascii="Times New Roman" w:hAnsi="Times New Roman" w:cs="Times New Roman"/>
          <w:noProof/>
          <w:sz w:val="24"/>
          <w:szCs w:val="24"/>
        </w:rPr>
        <w:tab/>
        <w:t xml:space="preserve">D. G, P. B, F. G, </w:t>
      </w:r>
      <w:r w:rsidRPr="00E25B16">
        <w:rPr>
          <w:rFonts w:ascii="Times New Roman" w:hAnsi="Times New Roman" w:cs="Times New Roman"/>
          <w:i/>
          <w:iCs/>
          <w:noProof/>
          <w:sz w:val="24"/>
          <w:szCs w:val="24"/>
        </w:rPr>
        <w:t>et al.</w:t>
      </w:r>
      <w:r w:rsidRPr="00E25B16">
        <w:rPr>
          <w:rFonts w:ascii="Times New Roman" w:hAnsi="Times New Roman" w:cs="Times New Roman"/>
          <w:noProof/>
          <w:sz w:val="24"/>
          <w:szCs w:val="24"/>
        </w:rPr>
        <w:t xml:space="preserve"> </w:t>
      </w:r>
      <w:r w:rsidRPr="00D113CE">
        <w:rPr>
          <w:rFonts w:ascii="Times New Roman" w:hAnsi="Times New Roman" w:cs="Times New Roman"/>
          <w:noProof/>
          <w:sz w:val="24"/>
          <w:szCs w:val="24"/>
          <w:lang w:val="en-US"/>
        </w:rPr>
        <w:t>Validation of the OMERACT Psoriatic Arthritis Magnetic Resonance Imaging Score (PsAMRIS) for the hand and foot in a randomi</w:t>
      </w:r>
      <w:r w:rsidR="005D4BF7">
        <w:rPr>
          <w:rFonts w:ascii="Times New Roman" w:hAnsi="Times New Roman" w:cs="Times New Roman"/>
          <w:noProof/>
          <w:sz w:val="24"/>
          <w:szCs w:val="24"/>
          <w:lang w:val="en-US"/>
        </w:rPr>
        <w:t>s</w:t>
      </w:r>
      <w:r w:rsidRPr="00D113CE">
        <w:rPr>
          <w:rFonts w:ascii="Times New Roman" w:hAnsi="Times New Roman" w:cs="Times New Roman"/>
          <w:noProof/>
          <w:sz w:val="24"/>
          <w:szCs w:val="24"/>
          <w:lang w:val="en-US"/>
        </w:rPr>
        <w:t xml:space="preserve">ed placebo-controlled trial. </w:t>
      </w:r>
      <w:r w:rsidRPr="005D4BF7">
        <w:rPr>
          <w:rFonts w:ascii="Times New Roman" w:hAnsi="Times New Roman" w:cs="Times New Roman"/>
          <w:i/>
          <w:iCs/>
          <w:noProof/>
          <w:sz w:val="24"/>
          <w:szCs w:val="24"/>
          <w:lang w:val="en-US"/>
        </w:rPr>
        <w:t>J Rheumatol</w:t>
      </w:r>
      <w:r w:rsidRPr="005D4BF7">
        <w:rPr>
          <w:rFonts w:ascii="Times New Roman" w:hAnsi="Times New Roman" w:cs="Times New Roman"/>
          <w:noProof/>
          <w:sz w:val="24"/>
          <w:szCs w:val="24"/>
          <w:lang w:val="en-US"/>
        </w:rPr>
        <w:t xml:space="preserve"> 2015;</w:t>
      </w:r>
      <w:r w:rsidRPr="005D4BF7">
        <w:rPr>
          <w:rFonts w:ascii="Times New Roman" w:hAnsi="Times New Roman" w:cs="Times New Roman"/>
          <w:b/>
          <w:bCs/>
          <w:noProof/>
          <w:sz w:val="24"/>
          <w:szCs w:val="24"/>
          <w:lang w:val="en-US"/>
        </w:rPr>
        <w:t>42</w:t>
      </w:r>
      <w:r w:rsidRPr="005D4BF7">
        <w:rPr>
          <w:rFonts w:ascii="Times New Roman" w:hAnsi="Times New Roman" w:cs="Times New Roman"/>
          <w:noProof/>
          <w:sz w:val="24"/>
          <w:szCs w:val="24"/>
          <w:lang w:val="en-US"/>
        </w:rPr>
        <w:t xml:space="preserve">:2473–9. doi:10.3899/jrheum.141010 LK  - </w:t>
      </w:r>
    </w:p>
    <w:p w:rsidR="00BE3E74" w:rsidRPr="002522E7" w:rsidRDefault="00E25B16" w:rsidP="00BE3E74">
      <w:pPr>
        <w:spacing w:line="360" w:lineRule="auto"/>
        <w:rPr>
          <w:rFonts w:ascii="Times New Roman" w:eastAsia="Times New Roman" w:hAnsi="Times New Roman" w:cs="Times New Roman"/>
          <w:color w:val="000000" w:themeColor="text1"/>
          <w:sz w:val="24"/>
          <w:szCs w:val="24"/>
          <w:lang w:val="en-GB" w:eastAsia="da-DK"/>
        </w:rPr>
      </w:pPr>
      <w:r>
        <w:rPr>
          <w:rFonts w:ascii="Times New Roman" w:eastAsia="Times New Roman" w:hAnsi="Times New Roman" w:cs="Times New Roman"/>
          <w:color w:val="000000" w:themeColor="text1"/>
          <w:sz w:val="24"/>
          <w:szCs w:val="24"/>
          <w:lang w:val="en-GB" w:eastAsia="da-DK"/>
        </w:rPr>
        <w:fldChar w:fldCharType="end"/>
      </w:r>
      <w:r w:rsidR="00BE3E74" w:rsidRPr="002522E7">
        <w:rPr>
          <w:rFonts w:ascii="Times New Roman" w:eastAsia="Times New Roman" w:hAnsi="Times New Roman" w:cs="Times New Roman"/>
          <w:color w:val="000000" w:themeColor="text1"/>
          <w:sz w:val="24"/>
          <w:szCs w:val="24"/>
          <w:lang w:val="en-GB" w:eastAsia="da-DK"/>
        </w:rPr>
        <w:br/>
      </w:r>
    </w:p>
    <w:p w:rsidR="00BE3E74" w:rsidRPr="00BE3E74" w:rsidRDefault="00BE3E74" w:rsidP="00BE3E74">
      <w:pPr>
        <w:rPr>
          <w:lang w:val="en-GB"/>
        </w:rPr>
      </w:pPr>
    </w:p>
    <w:p w:rsidR="0083494D" w:rsidRPr="00BE3E74" w:rsidRDefault="0083494D">
      <w:pPr>
        <w:rPr>
          <w:lang w:val="en-US"/>
        </w:rPr>
      </w:pPr>
    </w:p>
    <w:sectPr w:rsidR="0083494D" w:rsidRPr="00BE3E7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hideSpellingErrors/>
  <w:hideGrammaticalErrors/>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A3Nzc1NTcwtrAwMzJR0lEKTi0uzszPAykwrwUAxXe8ciwAAAA="/>
  </w:docVars>
  <w:rsids>
    <w:rsidRoot w:val="00BE3E74"/>
    <w:rsid w:val="003C1C8F"/>
    <w:rsid w:val="0056028B"/>
    <w:rsid w:val="005843D8"/>
    <w:rsid w:val="005D4BF7"/>
    <w:rsid w:val="00621E6F"/>
    <w:rsid w:val="006645A0"/>
    <w:rsid w:val="0083494D"/>
    <w:rsid w:val="00AB58BD"/>
    <w:rsid w:val="00BA73F2"/>
    <w:rsid w:val="00BE3E74"/>
    <w:rsid w:val="00CC449F"/>
    <w:rsid w:val="00D113CE"/>
    <w:rsid w:val="00D97FC2"/>
    <w:rsid w:val="00E25B1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9694D"/>
  <w15:docId w15:val="{B24CAD6E-C9EC-4819-ACA1-61C1E31FA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E74"/>
  </w:style>
  <w:style w:type="paragraph" w:styleId="Overskrift1">
    <w:name w:val="heading 1"/>
    <w:basedOn w:val="Normal"/>
    <w:next w:val="Normal"/>
    <w:link w:val="Overskrift1Tegn"/>
    <w:uiPriority w:val="9"/>
    <w:qFormat/>
    <w:rsid w:val="00BE3E7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BE3E74"/>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BE3E74"/>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BE3E74"/>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typeiafsnit"/>
    <w:link w:val="Overskrift2"/>
    <w:uiPriority w:val="9"/>
    <w:rsid w:val="00BE3E74"/>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typeiafsnit"/>
    <w:link w:val="Overskrift3"/>
    <w:uiPriority w:val="9"/>
    <w:rsid w:val="00BE3E74"/>
    <w:rPr>
      <w:rFonts w:asciiTheme="majorHAnsi" w:eastAsiaTheme="majorEastAsia" w:hAnsiTheme="majorHAnsi" w:cstheme="majorBidi"/>
      <w:color w:val="1F3763" w:themeColor="accent1" w:themeShade="7F"/>
      <w:sz w:val="24"/>
      <w:szCs w:val="24"/>
    </w:rPr>
  </w:style>
  <w:style w:type="paragraph" w:styleId="Markeringsbobletekst">
    <w:name w:val="Balloon Text"/>
    <w:basedOn w:val="Normal"/>
    <w:link w:val="MarkeringsbobletekstTegn"/>
    <w:uiPriority w:val="99"/>
    <w:semiHidden/>
    <w:unhideWhenUsed/>
    <w:rsid w:val="00BA73F2"/>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A73F2"/>
    <w:rPr>
      <w:rFonts w:ascii="Tahoma" w:hAnsi="Tahoma" w:cs="Tahoma"/>
      <w:sz w:val="16"/>
      <w:szCs w:val="16"/>
    </w:rPr>
  </w:style>
  <w:style w:type="character" w:styleId="Kommentarhenvisning">
    <w:name w:val="annotation reference"/>
    <w:basedOn w:val="Standardskrifttypeiafsnit"/>
    <w:uiPriority w:val="99"/>
    <w:semiHidden/>
    <w:unhideWhenUsed/>
    <w:rsid w:val="005843D8"/>
    <w:rPr>
      <w:sz w:val="16"/>
      <w:szCs w:val="16"/>
    </w:rPr>
  </w:style>
  <w:style w:type="paragraph" w:styleId="Kommentartekst">
    <w:name w:val="annotation text"/>
    <w:basedOn w:val="Normal"/>
    <w:link w:val="KommentartekstTegn"/>
    <w:uiPriority w:val="99"/>
    <w:semiHidden/>
    <w:unhideWhenUsed/>
    <w:rsid w:val="005843D8"/>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5843D8"/>
    <w:rPr>
      <w:sz w:val="20"/>
      <w:szCs w:val="20"/>
    </w:rPr>
  </w:style>
  <w:style w:type="paragraph" w:styleId="Kommentaremne">
    <w:name w:val="annotation subject"/>
    <w:basedOn w:val="Kommentartekst"/>
    <w:next w:val="Kommentartekst"/>
    <w:link w:val="KommentaremneTegn"/>
    <w:uiPriority w:val="99"/>
    <w:semiHidden/>
    <w:unhideWhenUsed/>
    <w:rsid w:val="005843D8"/>
    <w:rPr>
      <w:b/>
      <w:bCs/>
    </w:rPr>
  </w:style>
  <w:style w:type="character" w:customStyle="1" w:styleId="KommentaremneTegn">
    <w:name w:val="Kommentaremne Tegn"/>
    <w:basedOn w:val="KommentartekstTegn"/>
    <w:link w:val="Kommentaremne"/>
    <w:uiPriority w:val="99"/>
    <w:semiHidden/>
    <w:rsid w:val="005843D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39C684-C8BC-4DEF-A08D-B428EE50F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1067</Words>
  <Characters>6511</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Region Hovedstaden</Company>
  <LinksUpToDate>false</LinksUpToDate>
  <CharactersWithSpaces>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Jørgen Guldberg-Møller</dc:creator>
  <cp:lastModifiedBy>Jørgen Guldberg-Møller</cp:lastModifiedBy>
  <cp:revision>7</cp:revision>
  <dcterms:created xsi:type="dcterms:W3CDTF">2020-12-04T22:51:00Z</dcterms:created>
  <dcterms:modified xsi:type="dcterms:W3CDTF">2020-12-29T12:08:00Z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http://www.zotero.org/styles/annals-of-the-rheumatic-diseases</vt:lpwstr>
  </property>
  <property fmtid="{D5CDD505-2E9C-101B-9397-08002B2CF9AE}" pid="7" name="Mendeley Recent Style Name 2_1">
    <vt:lpwstr>Annals of the Rheumatic Diseases</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http://www.zotero.org/styles/annals-of-the-rheumatic-diseases</vt:lpwstr>
  </property>
  <property fmtid="{D5CDD505-2E9C-101B-9397-08002B2CF9AE}" pid="24" name="Mendeley Unique User Id_1">
    <vt:lpwstr>fb964b2c-0edd-3959-a706-220fec627d31</vt:lpwstr>
  </property>
</Properties>
</file>