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</w:pPr>
      <w: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  <w:t>Table S1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  <w:lang w:val="en-US" w:eastAsia="zh-CN"/>
        </w:rPr>
        <w:t xml:space="preserve">. </w:t>
      </w:r>
      <w: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  <w:t>Characteristics of GWAS enrolled in the MR study.</w:t>
      </w:r>
    </w:p>
    <w:tbl>
      <w:tblPr>
        <w:tblStyle w:val="3"/>
        <w:tblpPr w:leftFromText="180" w:rightFromText="180" w:vertAnchor="text" w:horzAnchor="page" w:tblpXSpec="center" w:tblpY="267"/>
        <w:tblOverlap w:val="never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2159"/>
        <w:gridCol w:w="1280"/>
        <w:gridCol w:w="1373"/>
        <w:gridCol w:w="2046"/>
        <w:gridCol w:w="1440"/>
      </w:tblGrid>
      <w:tr>
        <w:trPr>
          <w:trHeight w:val="542" w:hRule="atLeast"/>
          <w:jc w:val="center"/>
        </w:trPr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I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tems</w:t>
            </w:r>
          </w:p>
        </w:tc>
        <w:tc>
          <w:tcPr>
            <w:tcW w:w="21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GWAS ID</w:t>
            </w:r>
          </w:p>
        </w:tc>
        <w:tc>
          <w:tcPr>
            <w:tcW w:w="128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Consortium</w:t>
            </w:r>
          </w:p>
        </w:tc>
        <w:tc>
          <w:tcPr>
            <w:tcW w:w="1373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Sample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size</w:t>
            </w:r>
          </w:p>
        </w:tc>
        <w:tc>
          <w:tcPr>
            <w:tcW w:w="2046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No. of enrolled SNPs</w:t>
            </w: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Population</w:t>
            </w:r>
          </w:p>
        </w:tc>
      </w:tr>
      <w:tr>
        <w:trPr>
          <w:trHeight w:val="445" w:hRule="atLeast"/>
          <w:jc w:val="center"/>
        </w:trPr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Hysterectomy</w:t>
            </w:r>
          </w:p>
        </w:tc>
        <w:tc>
          <w:tcPr>
            <w:tcW w:w="21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u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kb-b-3700</w:t>
            </w:r>
          </w:p>
        </w:tc>
        <w:tc>
          <w:tcPr>
            <w:tcW w:w="128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MRC-IEU</w:t>
            </w:r>
          </w:p>
        </w:tc>
        <w:tc>
          <w:tcPr>
            <w:tcW w:w="1373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462,933</w:t>
            </w:r>
          </w:p>
        </w:tc>
        <w:tc>
          <w:tcPr>
            <w:tcW w:w="2046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28</w:t>
            </w: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Europeans</w:t>
            </w:r>
          </w:p>
        </w:tc>
      </w:tr>
      <w:tr>
        <w:trPr>
          <w:trHeight w:val="445" w:hRule="atLeast"/>
          <w:jc w:val="center"/>
        </w:trPr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Hypertension</w:t>
            </w:r>
          </w:p>
        </w:tc>
        <w:tc>
          <w:tcPr>
            <w:tcW w:w="21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lang w:val="en-US"/>
              </w:rPr>
              <w:t>bi-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-GCST90038604</w:t>
            </w:r>
          </w:p>
        </w:tc>
        <w:tc>
          <w:tcPr>
            <w:tcW w:w="128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/</w:t>
            </w:r>
          </w:p>
        </w:tc>
        <w:tc>
          <w:tcPr>
            <w:tcW w:w="1373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484,598</w:t>
            </w:r>
          </w:p>
        </w:tc>
        <w:tc>
          <w:tcPr>
            <w:tcW w:w="2046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/</w:t>
            </w: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Europeans</w:t>
            </w:r>
          </w:p>
        </w:tc>
      </w:tr>
      <w:tr>
        <w:trPr>
          <w:jc w:val="center"/>
        </w:trPr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SBP</w:t>
            </w:r>
          </w:p>
        </w:tc>
        <w:tc>
          <w:tcPr>
            <w:tcW w:w="21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lang w:val="en-US"/>
              </w:rPr>
              <w:t>eu-b-38</w:t>
            </w:r>
          </w:p>
        </w:tc>
        <w:tc>
          <w:tcPr>
            <w:tcW w:w="128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ICBP</w:t>
            </w:r>
          </w:p>
        </w:tc>
        <w:tc>
          <w:tcPr>
            <w:tcW w:w="1373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757,601</w:t>
            </w:r>
          </w:p>
        </w:tc>
        <w:tc>
          <w:tcPr>
            <w:tcW w:w="204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/</w:t>
            </w: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Europeans</w:t>
            </w:r>
          </w:p>
        </w:tc>
      </w:tr>
      <w:tr>
        <w:trPr>
          <w:jc w:val="center"/>
        </w:trPr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DBP</w:t>
            </w:r>
          </w:p>
        </w:tc>
        <w:tc>
          <w:tcPr>
            <w:tcW w:w="21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lang w:val="en-US"/>
              </w:rPr>
              <w:t>eu-b-39</w:t>
            </w:r>
          </w:p>
        </w:tc>
        <w:tc>
          <w:tcPr>
            <w:tcW w:w="128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ICBP</w:t>
            </w:r>
          </w:p>
        </w:tc>
        <w:tc>
          <w:tcPr>
            <w:tcW w:w="1373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757,601</w:t>
            </w:r>
          </w:p>
        </w:tc>
        <w:tc>
          <w:tcPr>
            <w:tcW w:w="2046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/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Europeans</w:t>
            </w:r>
          </w:p>
        </w:tc>
      </w:tr>
    </w:tbl>
    <w:p>
      <w:pP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</w:pPr>
    </w:p>
    <w:p>
      <w:pPr>
        <w:spacing w:after="312" w:afterLines="100" w:line="360" w:lineRule="auto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/>
        </w:rPr>
        <w:t>GWAS, Genome-wide association study; MR, Mendelian randomization; MRC-IEU, MRC Integrative Epidemiology Unit; SNP, single-nucleotide polymorphism; ICBP, International Consortium of Blood Pressure; SBP, Systolic blood pressure; DBP, Diastolic blood pressure.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</w:pPr>
      <w: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  <w:t>Table S2. Characteristics of the genetic variants that were used as the instrumental variables for</w:t>
      </w:r>
      <w:r>
        <w:rPr>
          <w:rFonts w:hint="eastAsia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  <w:t xml:space="preserve"> hysterectomy</w:t>
      </w:r>
      <w: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  <w:t>.</w:t>
      </w:r>
    </w:p>
    <w:p>
      <w:pP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</w:pPr>
    </w:p>
    <w:tbl>
      <w:tblPr>
        <w:tblStyle w:val="2"/>
        <w:tblpPr w:leftFromText="180" w:rightFromText="180" w:vertAnchor="text" w:horzAnchor="page" w:tblpX="1994" w:tblpY="102"/>
        <w:tblOverlap w:val="never"/>
        <w:tblW w:w="7564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108"/>
        <w:gridCol w:w="865"/>
        <w:gridCol w:w="1108"/>
        <w:gridCol w:w="702"/>
        <w:gridCol w:w="702"/>
        <w:gridCol w:w="865"/>
        <w:gridCol w:w="1108"/>
      </w:tblGrid>
      <w:tr>
        <w:trPr>
          <w:trHeight w:val="270" w:hRule="atLeast"/>
        </w:trPr>
        <w:tc>
          <w:tcPr>
            <w:tcW w:w="1106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  <w:t>SNP</w:t>
            </w:r>
          </w:p>
        </w:tc>
        <w:tc>
          <w:tcPr>
            <w:tcW w:w="1108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  <w:t>Beta</w:t>
            </w:r>
          </w:p>
        </w:tc>
        <w:tc>
          <w:tcPr>
            <w:tcW w:w="865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  <w:t>pval</w:t>
            </w:r>
          </w:p>
        </w:tc>
        <w:tc>
          <w:tcPr>
            <w:tcW w:w="1108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702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  <w:t>Effect allele</w:t>
            </w:r>
          </w:p>
        </w:tc>
        <w:tc>
          <w:tcPr>
            <w:tcW w:w="702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  <w:t>Other allele</w:t>
            </w:r>
          </w:p>
        </w:tc>
        <w:tc>
          <w:tcPr>
            <w:tcW w:w="865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  <w:t>EAF</w:t>
            </w:r>
          </w:p>
        </w:tc>
        <w:tc>
          <w:tcPr>
            <w:tcW w:w="1108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</w:rPr>
              <w:t>F</w:t>
            </w:r>
          </w:p>
        </w:tc>
      </w:tr>
      <w:tr>
        <w:trPr>
          <w:trHeight w:val="270" w:hRule="atLeast"/>
        </w:trPr>
        <w:tc>
          <w:tcPr>
            <w:tcW w:w="1106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rs10186340</w:t>
            </w:r>
          </w:p>
        </w:tc>
        <w:tc>
          <w:tcPr>
            <w:tcW w:w="1108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0.00449369</w:t>
            </w:r>
          </w:p>
        </w:tc>
        <w:tc>
          <w:tcPr>
            <w:tcW w:w="865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7.30E-14</w:t>
            </w:r>
          </w:p>
        </w:tc>
        <w:tc>
          <w:tcPr>
            <w:tcW w:w="1108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0.000600561</w:t>
            </w:r>
          </w:p>
        </w:tc>
        <w:tc>
          <w:tcPr>
            <w:tcW w:w="702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702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865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0.557857</w:t>
            </w:r>
          </w:p>
        </w:tc>
        <w:tc>
          <w:tcPr>
            <w:tcW w:w="1108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55.98761481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rs10917151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0.00801113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3.10E-23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0.000806799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0.16082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98.59544604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rs10929757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0.00500853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1.70E-16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0.00060757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0.577262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67.95601692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rs11031005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-0.0104335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1.80E-34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0.000852081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0.142679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149.9333615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rs11031718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-0.00545995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1.40E-13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0.000738038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0.204124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54.72929889</w:t>
            </w:r>
          </w:p>
        </w:tc>
      </w:tr>
      <w:tr>
        <w:trPr>
          <w:trHeight w:val="30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rs11250146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-0.00367337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8.70E-10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0.000599136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0.512466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37.59053601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rs115825538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-0.00514281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1.10E-08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0.000900008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0.126772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32.65188211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rs117245733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0.0139562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1.10E-08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0.0024454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0.016373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32.57125955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rs12325192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-0.00491543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3.20E-11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0.000740487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0.201084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44.0644298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rs141379009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0.0118212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1.40E-10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0.00184381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0.02659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41.10463519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rs17033114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-0.00791522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1.10E-09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0.00129962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0.061838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37.09310668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rs1716173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0.00473135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1.30E-10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0.000735952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0.792838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41.33054883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rs1740828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-0.00333295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2.10E-08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0.00059437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0.478643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31.44443787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rs1894692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0.0122214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3.80E-09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0.00207429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0.978362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34.71386497</w:t>
            </w:r>
          </w:p>
        </w:tc>
      </w:tr>
      <w:tr>
        <w:trPr>
          <w:trHeight w:val="30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rs1977822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-0.00361089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4.00E-08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0.000657557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0.28925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30.1551648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rs2736100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-0.00429723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4.80E-13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0.000594175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0.497663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52.30563131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rs3887841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0.00402059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1.20E-08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0.00070509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0.230869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32.51550217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rs4077707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0.00395534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1.30E-09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0.000651941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0.702657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36.8087487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rs4864806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0.00646645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4.40E-08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0.00118146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0.068087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29.95668844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rs538053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-0.00712405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2.80E-10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0.00112926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0.074924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39.79843803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rs58415480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0.0097032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1.30E-31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0.000829676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0.153797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136.7769488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rs6058613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0.00475409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5.40E-09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0.000814931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0.838539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34.03244261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rs7030607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0.00371911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2.10E-09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0.000620563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0.357443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35.91751579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rs733189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0.00378763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2.00E-10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0.000595582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T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0.47507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40.44380128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rs770384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-0.00418123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2.40E-12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0.000596641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0.54331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49.11135625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rs9420907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-0.00571018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7.60E-11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0.000877481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0.868129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42.34714677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rs9447004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-0.00392528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3.80E-11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0.000593822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G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0.515013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43.69469541</w:t>
            </w:r>
          </w:p>
        </w:tc>
      </w:tr>
      <w:tr>
        <w:trPr>
          <w:trHeight w:val="270" w:hRule="atLeast"/>
        </w:trPr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rs946711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0.00408144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1.30E-10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0.000635236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C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A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0.328662</w:t>
            </w:r>
          </w:p>
        </w:tc>
        <w:tc>
          <w:tcPr>
            <w:tcW w:w="1108" w:type="dxa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8"/>
                <w:lang w:val="en-US" w:eastAsia="zh-CN"/>
              </w:rPr>
              <w:t>41.28161014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after="312" w:afterLines="100" w:line="360" w:lineRule="auto"/>
        <w:rPr>
          <w:rFonts w:hint="default" w:ascii="Times New Roman Bold" w:hAnsi="Times New Roman Bold" w:cs="Times New Roman Bold"/>
          <w:b/>
          <w:bCs/>
        </w:rPr>
      </w:pPr>
    </w:p>
    <w:p>
      <w:pPr>
        <w:spacing w:after="312" w:afterLines="100" w:line="360" w:lineRule="auto"/>
        <w:rPr>
          <w:rFonts w:hint="default" w:ascii="Times New Roman" w:hAnsi="Times New Roman" w:cs="Times New Roman"/>
          <w:b w:val="0"/>
          <w:bCs w:val="0"/>
          <w:sz w:val="16"/>
          <w:szCs w:val="20"/>
        </w:rPr>
      </w:pPr>
    </w:p>
    <w:p>
      <w:pPr>
        <w:spacing w:after="312" w:afterLines="100" w:line="360" w:lineRule="auto"/>
        <w:rPr>
          <w:rFonts w:hint="default" w:ascii="Times New Roman" w:hAnsi="Times New Roman" w:cs="Times New Roman"/>
          <w:b w:val="0"/>
          <w:bCs w:val="0"/>
          <w:sz w:val="16"/>
          <w:szCs w:val="20"/>
        </w:rPr>
      </w:pPr>
    </w:p>
    <w:p>
      <w:pPr>
        <w:spacing w:after="312" w:afterLines="100" w:line="360" w:lineRule="auto"/>
        <w:rPr>
          <w:rFonts w:hint="default" w:ascii="Times New Roman" w:hAnsi="Times New Roman" w:cs="Times New Roman"/>
          <w:b w:val="0"/>
          <w:bCs w:val="0"/>
          <w:sz w:val="16"/>
          <w:szCs w:val="20"/>
        </w:rPr>
      </w:pPr>
    </w:p>
    <w:p>
      <w:pPr>
        <w:spacing w:after="312" w:afterLines="100" w:line="360" w:lineRule="auto"/>
        <w:rPr>
          <w:rFonts w:hint="default" w:ascii="Times New Roman" w:hAnsi="Times New Roman" w:cs="Times New Roman"/>
          <w:b w:val="0"/>
          <w:bCs w:val="0"/>
          <w:sz w:val="16"/>
          <w:szCs w:val="20"/>
        </w:rPr>
      </w:pPr>
    </w:p>
    <w:p>
      <w:pPr>
        <w:spacing w:after="312" w:afterLines="100" w:line="360" w:lineRule="auto"/>
        <w:rPr>
          <w:rFonts w:hint="default" w:ascii="Times New Roman" w:hAnsi="Times New Roman" w:cs="Times New Roman"/>
          <w:b w:val="0"/>
          <w:bCs w:val="0"/>
          <w:sz w:val="16"/>
          <w:szCs w:val="20"/>
        </w:rPr>
      </w:pPr>
    </w:p>
    <w:p>
      <w:pPr>
        <w:spacing w:after="312" w:afterLines="100" w:line="360" w:lineRule="auto"/>
        <w:rPr>
          <w:rFonts w:hint="default" w:ascii="Times New Roman" w:hAnsi="Times New Roman" w:cs="Times New Roman"/>
          <w:b w:val="0"/>
          <w:bCs w:val="0"/>
          <w:sz w:val="16"/>
          <w:szCs w:val="20"/>
        </w:rPr>
      </w:pPr>
    </w:p>
    <w:p>
      <w:pPr>
        <w:spacing w:after="312" w:afterLines="100" w:line="360" w:lineRule="auto"/>
        <w:rPr>
          <w:rFonts w:hint="default" w:ascii="Times New Roman" w:hAnsi="Times New Roman" w:cs="Times New Roman"/>
          <w:b w:val="0"/>
          <w:bCs w:val="0"/>
          <w:sz w:val="16"/>
          <w:szCs w:val="20"/>
        </w:rPr>
      </w:pPr>
    </w:p>
    <w:p>
      <w:pPr>
        <w:spacing w:after="312" w:afterLines="100" w:line="360" w:lineRule="auto"/>
        <w:rPr>
          <w:rFonts w:hint="default" w:ascii="Times New Roman" w:hAnsi="Times New Roman" w:cs="Times New Roman"/>
          <w:b w:val="0"/>
          <w:bCs w:val="0"/>
          <w:sz w:val="16"/>
          <w:szCs w:val="20"/>
        </w:rPr>
      </w:pPr>
    </w:p>
    <w:p>
      <w:pPr>
        <w:spacing w:after="312" w:afterLines="100" w:line="360" w:lineRule="auto"/>
        <w:rPr>
          <w:rFonts w:hint="default" w:ascii="Times New Roman" w:hAnsi="Times New Roman" w:cs="Times New Roman"/>
          <w:b w:val="0"/>
          <w:bCs w:val="0"/>
          <w:sz w:val="16"/>
          <w:szCs w:val="20"/>
        </w:rPr>
      </w:pPr>
    </w:p>
    <w:p>
      <w:pPr>
        <w:spacing w:after="312" w:afterLines="100" w:line="360" w:lineRule="auto"/>
        <w:rPr>
          <w:rFonts w:hint="default" w:ascii="Times New Roman" w:hAnsi="Times New Roman" w:cs="Times New Roman"/>
          <w:b w:val="0"/>
          <w:bCs w:val="0"/>
          <w:sz w:val="16"/>
          <w:szCs w:val="20"/>
        </w:rPr>
      </w:pPr>
    </w:p>
    <w:p>
      <w:pPr>
        <w:spacing w:after="312" w:afterLines="100" w:line="360" w:lineRule="auto"/>
        <w:rPr>
          <w:rFonts w:hint="default" w:ascii="Times New Roman Regular" w:hAnsi="Times New Roman Regular" w:cs="Times New Roman Regular"/>
          <w:b w:val="0"/>
          <w:bCs w:val="0"/>
          <w:sz w:val="21"/>
          <w:szCs w:val="21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1"/>
          <w:szCs w:val="21"/>
        </w:rPr>
        <w:t>SNP, single nucleotide polymorphism; Beta, beta exposure; SE, standard error; effect allele is the major hysterectomy-raising allele; EAF, effect allele frequency; The F-statistic for each SNP was calculated as follows: F = β</w:t>
      </w:r>
      <w:r>
        <w:rPr>
          <w:rFonts w:hint="default" w:ascii="Times New Roman Regular" w:hAnsi="Times New Roman Regular" w:cs="Times New Roman Regular"/>
          <w:b w:val="0"/>
          <w:bCs w:val="0"/>
          <w:sz w:val="21"/>
          <w:szCs w:val="21"/>
          <w:vertAlign w:val="superscript"/>
        </w:rPr>
        <w:t>2</w:t>
      </w:r>
      <w:r>
        <w:rPr>
          <w:rFonts w:hint="default" w:ascii="Times New Roman Regular" w:hAnsi="Times New Roman Regular" w:cs="Times New Roman Regular"/>
          <w:b w:val="0"/>
          <w:bCs w:val="0"/>
          <w:sz w:val="21"/>
          <w:szCs w:val="21"/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bCs w:val="0"/>
          <w:sz w:val="21"/>
          <w:szCs w:val="21"/>
          <w:vertAlign w:val="subscript"/>
        </w:rPr>
        <w:t>exposure</w:t>
      </w:r>
      <w:r>
        <w:rPr>
          <w:rFonts w:hint="default" w:ascii="Times New Roman Regular" w:hAnsi="Times New Roman Regular" w:cs="Times New Roman Regular"/>
          <w:b w:val="0"/>
          <w:bCs w:val="0"/>
          <w:sz w:val="21"/>
          <w:szCs w:val="21"/>
          <w:lang w:val="en-US"/>
        </w:rPr>
        <w:t>/</w:t>
      </w:r>
      <w:r>
        <w:rPr>
          <w:rFonts w:hint="default" w:ascii="Times New Roman Regular" w:hAnsi="Times New Roman Regular" w:cs="Times New Roman Regular"/>
          <w:b w:val="0"/>
          <w:bCs w:val="0"/>
          <w:sz w:val="21"/>
          <w:szCs w:val="21"/>
        </w:rPr>
        <w:t>SE</w:t>
      </w:r>
      <w:r>
        <w:rPr>
          <w:rFonts w:hint="default" w:ascii="Times New Roman Regular" w:hAnsi="Times New Roman Regular" w:cs="Times New Roman Regular"/>
          <w:b w:val="0"/>
          <w:bCs w:val="0"/>
          <w:sz w:val="21"/>
          <w:szCs w:val="21"/>
          <w:vertAlign w:val="superscript"/>
        </w:rPr>
        <w:t>2</w:t>
      </w:r>
      <w:r>
        <w:rPr>
          <w:rFonts w:hint="default" w:ascii="Times New Roman Regular" w:hAnsi="Times New Roman Regular" w:cs="Times New Roman Regular"/>
          <w:b w:val="0"/>
          <w:bCs w:val="0"/>
          <w:sz w:val="21"/>
          <w:szCs w:val="21"/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bCs w:val="0"/>
          <w:sz w:val="21"/>
          <w:szCs w:val="21"/>
          <w:vertAlign w:val="subscript"/>
        </w:rPr>
        <w:t>exposure</w:t>
      </w:r>
    </w:p>
    <w:p>
      <w:pPr>
        <w:spacing w:after="312" w:afterLines="100" w:line="360" w:lineRule="auto"/>
        <w:rPr>
          <w:rFonts w:hint="default" w:ascii="Times New Roman Bold" w:hAnsi="Times New Roman Bold" w:cs="Times New Roman Bold"/>
          <w:b/>
          <w:bCs/>
        </w:rPr>
      </w:pPr>
    </w:p>
    <w:p>
      <w:pP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</w:pPr>
    </w:p>
    <w:p>
      <w:pP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</w:pPr>
      <w: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  <w:t>Table S3. Heterogeneity and pleiotropy tests for the associations between hysterectomy and hypertension/systolic blood pressure/diastolic blood pressure.</w:t>
      </w:r>
    </w:p>
    <w:p>
      <w:pP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val="en-US" w:eastAsia="zh-CN"/>
        </w:rPr>
      </w:pPr>
    </w:p>
    <w:tbl>
      <w:tblPr>
        <w:tblStyle w:val="3"/>
        <w:tblW w:w="9687" w:type="dxa"/>
        <w:tblInd w:w="-557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500"/>
        <w:gridCol w:w="1225"/>
        <w:gridCol w:w="875"/>
        <w:gridCol w:w="1670"/>
        <w:gridCol w:w="1089"/>
        <w:gridCol w:w="1028"/>
        <w:gridCol w:w="913"/>
      </w:tblGrid>
      <w:tr>
        <w:tc>
          <w:tcPr>
            <w:tcW w:w="1387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Exposure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Outcome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Cochran’s Q test</w:t>
            </w:r>
          </w:p>
        </w:tc>
        <w:tc>
          <w:tcPr>
            <w:tcW w:w="2759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PRESSO test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Egger test</w:t>
            </w:r>
          </w:p>
        </w:tc>
      </w:tr>
      <w:tr>
        <w:tc>
          <w:tcPr>
            <w:tcW w:w="1387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</w:t>
            </w:r>
          </w:p>
        </w:tc>
        <w:tc>
          <w:tcPr>
            <w:tcW w:w="87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P" w:hAnsi="P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</w:t>
            </w:r>
            <w:r>
              <w:rPr>
                <w:rFonts w:hint="eastAsia" w:ascii="Times New Roman" w:hAnsi="Times New Roman" w:cs="Times New Roman"/>
              </w:rPr>
              <w:t>ue</w:t>
            </w:r>
          </w:p>
        </w:tc>
        <w:tc>
          <w:tcPr>
            <w:tcW w:w="167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Outlier-corrected</w:t>
            </w:r>
            <w:r>
              <w:rPr>
                <w:rFonts w:ascii="Times New Roman" w:hAnsi="Times New Roman" w:cs="Times New Roman"/>
              </w:rPr>
              <w:t xml:space="preserve"> test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P" w:hAnsi="P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108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istortion test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P" w:hAnsi="P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102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9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P" w:hAnsi="P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>
        <w:tc>
          <w:tcPr>
            <w:tcW w:w="1387" w:type="dxa"/>
            <w:vMerge w:val="restart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hysterectomy</w:t>
            </w:r>
          </w:p>
        </w:tc>
        <w:tc>
          <w:tcPr>
            <w:tcW w:w="1500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  <w:t>hypertension</w:t>
            </w:r>
          </w:p>
        </w:tc>
        <w:tc>
          <w:tcPr>
            <w:tcW w:w="1225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  <w:t>96.903</w:t>
            </w:r>
          </w:p>
        </w:tc>
        <w:tc>
          <w:tcPr>
            <w:tcW w:w="875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  <w:t>&lt;0.001</w:t>
            </w:r>
          </w:p>
        </w:tc>
        <w:tc>
          <w:tcPr>
            <w:tcW w:w="1670" w:type="dxa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0.004</w:t>
            </w:r>
          </w:p>
        </w:tc>
        <w:tc>
          <w:tcPr>
            <w:tcW w:w="1089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0.885</w:t>
            </w:r>
          </w:p>
        </w:tc>
        <w:tc>
          <w:tcPr>
            <w:tcW w:w="1028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0.0003</w:t>
            </w:r>
          </w:p>
        </w:tc>
        <w:tc>
          <w:tcPr>
            <w:tcW w:w="913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0.761</w:t>
            </w:r>
          </w:p>
        </w:tc>
      </w:tr>
      <w:tr>
        <w:trPr>
          <w:trHeight w:val="836" w:hRule="atLeast"/>
        </w:trPr>
        <w:tc>
          <w:tcPr>
            <w:tcW w:w="1387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  <w:t>systolic blood pressure</w:t>
            </w:r>
          </w:p>
        </w:tc>
        <w:tc>
          <w:tcPr>
            <w:tcW w:w="122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  <w:t>201.188</w:t>
            </w:r>
          </w:p>
        </w:tc>
        <w:tc>
          <w:tcPr>
            <w:tcW w:w="87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  <w:t>&lt;0.001</w:t>
            </w:r>
          </w:p>
        </w:tc>
        <w:tc>
          <w:tcPr>
            <w:tcW w:w="16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0.005</w:t>
            </w:r>
          </w:p>
        </w:tc>
        <w:tc>
          <w:tcPr>
            <w:tcW w:w="108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0.662</w:t>
            </w:r>
          </w:p>
        </w:tc>
        <w:tc>
          <w:tcPr>
            <w:tcW w:w="1028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0.027</w:t>
            </w:r>
          </w:p>
        </w:tc>
        <w:tc>
          <w:tcPr>
            <w:tcW w:w="913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0.647</w:t>
            </w:r>
          </w:p>
        </w:tc>
      </w:tr>
      <w:tr>
        <w:trPr>
          <w:trHeight w:val="824" w:hRule="atLeast"/>
        </w:trPr>
        <w:tc>
          <w:tcPr>
            <w:tcW w:w="1387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  <w:t>diastolic blood pressure</w:t>
            </w:r>
          </w:p>
        </w:tc>
        <w:tc>
          <w:tcPr>
            <w:tcW w:w="122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  <w:t>220.841</w:t>
            </w:r>
          </w:p>
        </w:tc>
        <w:tc>
          <w:tcPr>
            <w:tcW w:w="87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  <w:t>&lt;0.001</w:t>
            </w:r>
          </w:p>
        </w:tc>
        <w:tc>
          <w:tcPr>
            <w:tcW w:w="16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0.002</w:t>
            </w:r>
          </w:p>
        </w:tc>
        <w:tc>
          <w:tcPr>
            <w:tcW w:w="108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0.144</w:t>
            </w:r>
          </w:p>
        </w:tc>
        <w:tc>
          <w:tcPr>
            <w:tcW w:w="1028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0.019</w:t>
            </w:r>
          </w:p>
        </w:tc>
        <w:tc>
          <w:tcPr>
            <w:tcW w:w="913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0.585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default" w:ascii="Times New Roman Bold" w:hAnsi="Times New Roman Bold" w:cs="Times New Roman Bold"/>
          <w:b/>
          <w:bCs w:val="0"/>
          <w:sz w:val="24"/>
          <w:szCs w:val="24"/>
          <w:lang w:val="en-US" w:eastAsia="zh-CN"/>
        </w:rPr>
      </w:pPr>
      <w:r>
        <w:rPr>
          <w:rFonts w:hint="default" w:ascii="Times New Roman Bold" w:hAnsi="Times New Roman Bold" w:cs="Times New Roman Bold" w:eastAsiaTheme="minorEastAsia"/>
          <w:b/>
          <w:bCs w:val="0"/>
          <w:sz w:val="24"/>
          <w:szCs w:val="24"/>
          <w:lang w:eastAsia="zh-CN"/>
        </w:rPr>
        <w:t>Figure S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  <w:lang w:val="en-US" w:eastAsia="zh-CN"/>
        </w:rPr>
        <w:t xml:space="preserve">1. Restricted cubic spline models for the relationship between </w:t>
      </w:r>
      <w:r>
        <w:rPr>
          <w:rFonts w:hint="eastAsia" w:ascii="Times New Roman Bold" w:hAnsi="Times New Roman Bold" w:cs="Times New Roman Bold"/>
          <w:b/>
          <w:bCs w:val="0"/>
          <w:sz w:val="24"/>
          <w:szCs w:val="24"/>
          <w:lang w:val="en-US" w:eastAsia="zh-CN"/>
        </w:rPr>
        <w:t xml:space="preserve">age at hysterectomy 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  <w:lang w:val="en-US" w:eastAsia="zh-CN"/>
        </w:rPr>
        <w:t>and hypertension prevalenc</w:t>
      </w:r>
      <w:r>
        <w:rPr>
          <w:rFonts w:hint="eastAsia" w:ascii="Times New Roman Bold" w:hAnsi="Times New Roman Bold" w:cs="Times New Roman Bold"/>
          <w:b/>
          <w:bCs w:val="0"/>
          <w:sz w:val="24"/>
          <w:szCs w:val="24"/>
          <w:lang w:val="en-US" w:eastAsia="zh-CN"/>
        </w:rPr>
        <w:t>e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  <w:lang w:val="en-US" w:eastAsia="zh-CN"/>
        </w:rPr>
        <w:t>.</w:t>
      </w:r>
    </w:p>
    <w:p>
      <w:pPr>
        <w:rPr>
          <w:rFonts w:hint="default" w:ascii="Times New Roman Bold" w:hAnsi="Times New Roman Bold" w:cs="Times New Roman Bold"/>
          <w:b/>
          <w:bCs w:val="0"/>
          <w:lang w:val="en-US" w:eastAsia="zh-CN"/>
        </w:rPr>
      </w:pPr>
    </w:p>
    <w:p>
      <w:pPr>
        <w:jc w:val="center"/>
        <w:rPr>
          <w:rFonts w:hint="default" w:ascii="Times New Roman Bold" w:hAnsi="Times New Roman Bold" w:cs="Times New Roman Bold"/>
          <w:b/>
          <w:bCs w:val="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Bold" w:hAnsi="Times New Roman Bold" w:cs="Times New Roman Bold"/>
          <w:b/>
          <w:bCs w:val="0"/>
          <w:lang w:val="en-US" w:eastAsia="zh-CN"/>
        </w:rPr>
        <w:drawing>
          <wp:inline distT="0" distB="0" distL="114300" distR="114300">
            <wp:extent cx="5270500" cy="4067175"/>
            <wp:effectExtent l="0" t="0" r="0" b="0"/>
            <wp:docPr id="4" name="图片 4" descr="RCS曲线图（改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RCS曲线图（改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eastAsiaTheme="minorEastAsia"/>
          <w:lang w:val="en-US" w:eastAsia="zh-CN"/>
        </w:rPr>
      </w:pPr>
      <w:r>
        <w:rPr>
          <w:rFonts w:hint="default" w:ascii="Times New Roman Bold" w:hAnsi="Times New Roman Bold" w:cs="Times New Roman Bold" w:eastAsiaTheme="minorEastAsia"/>
          <w:b/>
          <w:bCs w:val="0"/>
          <w:lang w:eastAsia="zh-CN"/>
        </w:rPr>
        <w:t>Figure S</w:t>
      </w:r>
      <w:r>
        <w:rPr>
          <w:rFonts w:hint="default" w:ascii="Times New Roman Bold" w:hAnsi="Times New Roman Bold" w:cs="Times New Roman Bold"/>
          <w:b/>
          <w:bCs w:val="0"/>
          <w:lang w:val="en-US" w:eastAsia="zh-CN"/>
        </w:rPr>
        <w:t>2</w:t>
      </w:r>
      <w:r>
        <w:rPr>
          <w:rFonts w:hint="default" w:ascii="Times New Roman Bold" w:hAnsi="Times New Roman Bold" w:cs="Times New Roman Bold" w:eastAsiaTheme="minorEastAsia"/>
          <w:b/>
          <w:bCs w:val="0"/>
          <w:lang w:eastAsia="zh-CN"/>
        </w:rPr>
        <w:t xml:space="preserve">. Leave-one-out sensitivity analysis for </w:t>
      </w:r>
      <w:r>
        <w:rPr>
          <w:rFonts w:hint="default" w:ascii="Times New Roman Bold" w:hAnsi="Times New Roman Bold" w:cs="Times New Roman Bold"/>
          <w:b/>
          <w:bCs w:val="0"/>
          <w:lang w:val="en-US" w:eastAsia="zh-CN"/>
        </w:rPr>
        <w:t>hypertension(A), systolic blood pressure(B), diastolic blood pressure(C) using SNPs associated hysterectomy.</w:t>
      </w:r>
    </w:p>
    <w:p>
      <w:pPr>
        <w:rPr>
          <w:rFonts w:hint="default" w:ascii="Times New Roman Bold" w:hAnsi="Times New Roman Bold" w:cs="Times New Roman Bold" w:eastAsiaTheme="minorEastAsia"/>
          <w:b/>
          <w:bCs w:val="0"/>
          <w:lang w:eastAsia="zh-CN"/>
        </w:rPr>
      </w:pPr>
    </w:p>
    <w:p>
      <w:pPr>
        <w:jc w:val="center"/>
        <w:rPr>
          <w:rFonts w:hint="default" w:ascii="Times New Roman Bold" w:hAnsi="Times New Roman Bold" w:cs="Times New Roman Bold" w:eastAsiaTheme="minorEastAsia"/>
          <w:b/>
          <w:bCs w:val="0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55110" cy="7848600"/>
            <wp:effectExtent l="0" t="0" r="8890" b="0"/>
            <wp:docPr id="2" name="图片 2" descr="留一法图汇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留一法图汇总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5511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 Bold" w:hAnsi="Times New Roman Bold" w:cs="Times New Roman Bold" w:eastAsiaTheme="minorEastAsia"/>
          <w:b/>
          <w:bCs w:val="0"/>
          <w:lang w:eastAsia="zh-CN"/>
        </w:rPr>
      </w:pPr>
    </w:p>
    <w:p>
      <w:pPr>
        <w:rPr>
          <w:rFonts w:hint="default" w:ascii="Times New Roman Bold" w:hAnsi="Times New Roman Bold" w:cs="Times New Roman Bold" w:eastAsiaTheme="minorEastAsia"/>
          <w:b/>
          <w:bCs w:val="0"/>
          <w:lang w:val="en-US" w:eastAsia="zh-CN"/>
        </w:rPr>
      </w:pPr>
      <w:r>
        <w:rPr>
          <w:rFonts w:hint="default" w:ascii="Times New Roman Bold" w:hAnsi="Times New Roman Bold" w:cs="Times New Roman Bold" w:eastAsiaTheme="minorEastAsia"/>
          <w:b/>
          <w:bCs w:val="0"/>
          <w:lang w:eastAsia="zh-CN"/>
        </w:rPr>
        <w:t>Figure S</w:t>
      </w:r>
      <w:r>
        <w:rPr>
          <w:rFonts w:hint="default" w:ascii="Times New Roman Bold" w:hAnsi="Times New Roman Bold" w:cs="Times New Roman Bold"/>
          <w:b/>
          <w:bCs w:val="0"/>
          <w:lang w:val="en-US" w:eastAsia="zh-CN"/>
        </w:rPr>
        <w:t>3</w:t>
      </w:r>
      <w:r>
        <w:rPr>
          <w:rFonts w:hint="default" w:ascii="Times New Roman Bold" w:hAnsi="Times New Roman Bold" w:cs="Times New Roman Bold" w:eastAsiaTheme="minorEastAsia"/>
          <w:b/>
          <w:bCs w:val="0"/>
          <w:lang w:eastAsia="zh-CN"/>
        </w:rPr>
        <w:t xml:space="preserve">. The scatter plot for MR analyses of causal associations between hysterectomy and </w:t>
      </w:r>
      <w:r>
        <w:rPr>
          <w:rFonts w:hint="default" w:ascii="Times New Roman Bold" w:hAnsi="Times New Roman Bold" w:cs="Times New Roman Bold"/>
          <w:b/>
          <w:bCs w:val="0"/>
          <w:lang w:val="en-US" w:eastAsia="zh-CN"/>
        </w:rPr>
        <w:t>hypertension(A), systolic blood pressure(B), diastolic blood pressure(C).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83100" cy="7369810"/>
            <wp:effectExtent l="0" t="0" r="12700" b="21590"/>
            <wp:docPr id="1" name="图片 1" descr="散点图汇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散点图汇总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736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both"/>
        <w:rPr>
          <w:rFonts w:hint="default" w:ascii="Times New Roman Bold" w:hAnsi="Times New Roman Bold" w:cs="Times New Roman Bold"/>
          <w:b/>
          <w:bCs w:val="0"/>
          <w:sz w:val="21"/>
          <w:szCs w:val="21"/>
          <w:lang w:val="en-US" w:eastAsia="zh-CN"/>
        </w:rPr>
      </w:pPr>
      <w:r>
        <w:rPr>
          <w:rFonts w:hint="default" w:ascii="Times New Roman Bold" w:hAnsi="Times New Roman Bold" w:cs="Times New Roman Bold" w:eastAsiaTheme="minorEastAsia"/>
          <w:b/>
          <w:bCs w:val="0"/>
          <w:sz w:val="21"/>
          <w:szCs w:val="21"/>
          <w:lang w:eastAsia="zh-CN"/>
        </w:rPr>
        <w:t>Figure S</w:t>
      </w:r>
      <w:r>
        <w:rPr>
          <w:rFonts w:hint="default" w:ascii="Times New Roman Bold" w:hAnsi="Times New Roman Bold" w:cs="Times New Roman Bold"/>
          <w:b/>
          <w:bCs w:val="0"/>
          <w:sz w:val="21"/>
          <w:szCs w:val="21"/>
          <w:lang w:val="en-US" w:eastAsia="zh-CN"/>
        </w:rPr>
        <w:t>4</w:t>
      </w:r>
      <w:r>
        <w:rPr>
          <w:rFonts w:hint="default" w:ascii="Times New Roman Bold" w:hAnsi="Times New Roman Bold" w:cs="Times New Roman Bold" w:eastAsiaTheme="minorEastAsia"/>
          <w:b/>
          <w:bCs w:val="0"/>
          <w:sz w:val="21"/>
          <w:szCs w:val="21"/>
          <w:lang w:eastAsia="zh-CN"/>
        </w:rPr>
        <w:t xml:space="preserve">. </w:t>
      </w:r>
      <w:r>
        <w:rPr>
          <w:rFonts w:hint="default" w:ascii="Times New Roman Bold" w:hAnsi="Times New Roman Bold" w:cs="Times New Roman Bold"/>
          <w:b/>
          <w:bCs w:val="0"/>
          <w:sz w:val="21"/>
          <w:szCs w:val="21"/>
        </w:rPr>
        <w:t>The funnel plot for MR analyses of causal associations between hysterectomy</w:t>
      </w:r>
      <w:r>
        <w:rPr>
          <w:rFonts w:hint="default" w:ascii="Times New Roman Bold" w:hAnsi="Times New Roman Bold" w:cs="Times New Roman Bold"/>
          <w:b/>
          <w:bCs w:val="0"/>
          <w:sz w:val="21"/>
          <w:szCs w:val="21"/>
          <w:lang w:val="en-US"/>
        </w:rPr>
        <w:t xml:space="preserve"> </w:t>
      </w:r>
      <w:r>
        <w:rPr>
          <w:rFonts w:hint="default" w:ascii="Times New Roman Bold" w:hAnsi="Times New Roman Bold" w:cs="Times New Roman Bold"/>
          <w:b/>
          <w:bCs w:val="0"/>
          <w:sz w:val="21"/>
          <w:szCs w:val="21"/>
        </w:rPr>
        <w:t xml:space="preserve">and </w:t>
      </w:r>
      <w:r>
        <w:rPr>
          <w:rFonts w:hint="default" w:ascii="Times New Roman Bold" w:hAnsi="Times New Roman Bold" w:cs="Times New Roman Bold"/>
          <w:b/>
          <w:bCs w:val="0"/>
          <w:sz w:val="21"/>
          <w:szCs w:val="21"/>
          <w:lang w:val="en-US" w:eastAsia="zh-CN"/>
        </w:rPr>
        <w:t>hypertension(A), systolic blood pressure(B), diastolic blood pressure(C).</w:t>
      </w:r>
    </w:p>
    <w:p>
      <w:pPr>
        <w:jc w:val="center"/>
        <w:rPr>
          <w:rFonts w:hint="default" w:ascii="Times New Roman Bold" w:hAnsi="Times New Roman Bold" w:cs="Times New Roman Bold"/>
          <w:b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 Bold" w:hAnsi="Times New Roman Bold" w:cs="Times New Roman Bold"/>
          <w:b/>
          <w:bCs w:val="0"/>
          <w:sz w:val="21"/>
          <w:szCs w:val="21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73780" cy="7739380"/>
            <wp:effectExtent l="0" t="0" r="7620" b="7620"/>
            <wp:docPr id="3" name="图片 3" descr="漏斗图汇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漏斗图汇总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73780" cy="773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P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E7110"/>
    <w:rsid w:val="7FEE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Office_6.0.0.8068_F1E327BC-269C-435d-A152-05C5408002CA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2024-08-06T22:39:00Z</dcterms:created>
  <dc:creator>严唯人</dc:creator>
  <cp:lastModifiedBy>严唯人</cp:lastModifiedBy>
  <dcterms:modified xsi:type="dcterms:W3CDTF">2024-08-06T22:41:52Z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2052-6.0.0.8068</vt:lpwstr>
  </property>
  <property fmtid="{D5CDD505-2E9C-101B-9397-08002B2CF9AE}" pid="3" name="ICV">
    <vt:lpwstr>C1E447F9D873D8D79335B266ADBF9295_41</vt:lpwstr>
  </property>
</Properties>
</file>