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F328">
      <w:pPr>
        <w:rPr>
          <w:rFonts w:hint="default" w:ascii="Times New Roman" w:hAnsi="Times New Roman" w:eastAsia="等线" w:cs="Times New Roman"/>
          <w:b/>
          <w:bCs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>S2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>Characteristics of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FET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cycles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according to different endometrial preparation protocols in patients without PCOS.</w:t>
      </w:r>
    </w:p>
    <w:tbl>
      <w:tblPr>
        <w:tblStyle w:val="2"/>
        <w:tblW w:w="7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895"/>
        <w:gridCol w:w="1718"/>
        <w:gridCol w:w="1173"/>
      </w:tblGrid>
      <w:tr w14:paraId="6B3D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1E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Group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A68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HRT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F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GnRHa-HRT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D4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</w:tr>
      <w:tr w14:paraId="13C6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57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umber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95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1E8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B6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D1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1C7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Female age (years)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0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32.49 ± 4.2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A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32.35 ± 3.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B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0.636</w:t>
            </w:r>
          </w:p>
        </w:tc>
      </w:tr>
      <w:tr w14:paraId="6D0E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74B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Male age (years)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A2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34.07 ± 5.29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4D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33.80 ± 4.87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76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0.463</w:t>
            </w:r>
          </w:p>
        </w:tc>
      </w:tr>
      <w:tr w14:paraId="2280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661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BMI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(kg/m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F2D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22.48 ± 3.12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233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22.35 ± 3.07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52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0.576</w:t>
            </w:r>
          </w:p>
        </w:tc>
      </w:tr>
      <w:tr w14:paraId="1C45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40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Duration of infertility (years)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A3B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4.11 ± 3.0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52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3.20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1E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0.938</w:t>
            </w:r>
          </w:p>
        </w:tc>
      </w:tr>
      <w:tr w14:paraId="6BDB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6DC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AMH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(ng/mL)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02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2.38 ± 1.30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76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2.57 ± 1.38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07F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0.347</w:t>
            </w:r>
          </w:p>
        </w:tc>
      </w:tr>
      <w:tr w14:paraId="547A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66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asic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FSH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(IU/L)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8E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2.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A3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2.5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44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0.981</w:t>
            </w:r>
          </w:p>
        </w:tc>
      </w:tr>
      <w:tr w14:paraId="5E53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C16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asic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LH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(IU/L)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58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4.39 ± 2.51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35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4.48 ± 2.2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1C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0.603</w:t>
            </w:r>
          </w:p>
        </w:tc>
      </w:tr>
      <w:tr w14:paraId="60AE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8DC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AFC (n)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D0C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10.23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4.12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18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10.44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5.19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7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0.578</w:t>
            </w:r>
          </w:p>
        </w:tc>
      </w:tr>
      <w:tr w14:paraId="5B5B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71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Endometrium thickness (mm)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2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1.33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03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9.97 ± 1.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1A4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71F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1D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Implanted embryo number (n)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602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 ± 0.67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1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0.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9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41F9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52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  <w:t>Fertilization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mode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AF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A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6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0.737</w:t>
            </w:r>
          </w:p>
        </w:tc>
      </w:tr>
      <w:tr w14:paraId="1130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41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IVF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0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618 (70.79%)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0F3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 (67.9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2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2A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FD0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ICSI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A2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 (21.3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2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 (24.6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F1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5D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1F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RICSI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7EB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 (2.86%)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2C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 (2.73%)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95F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38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8F9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TESA/PESA-ICSI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959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 (5.04%)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2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 (4.6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16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89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F7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Infertility type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C1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7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D0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0.537</w:t>
            </w:r>
          </w:p>
        </w:tc>
      </w:tr>
      <w:tr w14:paraId="4209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C91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Primary infertility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34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 (51.7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BB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 (53.9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18B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02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B4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  <w:t>Secondary infertility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1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 (48.28%)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87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 (46.09%)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B4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D1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9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Number of transferred embryos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3B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A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C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</w:tr>
      <w:tr w14:paraId="6958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5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D1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 (38.67%)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0B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 (33.20%)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9A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9D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E0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4B0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536 (61.3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4A4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 (66.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45A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38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18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Embryo quality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51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9C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9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</w:tr>
      <w:tr w14:paraId="20B7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37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3E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 (51.7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B8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 (48.0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CF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AF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C4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14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 (48.28%)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25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 (51.95%)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B9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4A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7A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Type of transferred embryos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F3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4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DA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</w:tr>
      <w:tr w14:paraId="3731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2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Cleavage-stage embryo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5E3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568 (64.9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B8B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 (57.81%)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00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BC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BF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lastocyst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5B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 (33.98%)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E1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 (40.6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51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16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6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  <w:t>Sequential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transfer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FD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 (1.03%)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A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 (1.56%)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0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2B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67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Clinical pregnancy rate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1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 (45.88%)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91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 (57.81%)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EF3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134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4F9E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Early miscarriage rate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85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 (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13.47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BB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(14.86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15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674</w:t>
            </w:r>
          </w:p>
        </w:tc>
      </w:tr>
    </w:tbl>
    <w:p w14:paraId="332D8A3E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zA2NDFkZmQ1OTVlNmE0MzhhOTFmMzVmN2JjZjQifQ=="/>
  </w:docVars>
  <w:rsids>
    <w:rsidRoot w:val="00000000"/>
    <w:rsid w:val="081D5251"/>
    <w:rsid w:val="16291D25"/>
    <w:rsid w:val="1A5D1491"/>
    <w:rsid w:val="1DD22107"/>
    <w:rsid w:val="29AA742B"/>
    <w:rsid w:val="2B311D45"/>
    <w:rsid w:val="413A3B34"/>
    <w:rsid w:val="49E65018"/>
    <w:rsid w:val="5A526B3B"/>
    <w:rsid w:val="6A7E0C8B"/>
    <w:rsid w:val="6B9F44A0"/>
    <w:rsid w:val="6D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1140</Characters>
  <Lines>0</Lines>
  <Paragraphs>0</Paragraphs>
  <TotalTime>0</TotalTime>
  <ScaleCrop>false</ScaleCrop>
  <LinksUpToDate>false</LinksUpToDate>
  <CharactersWithSpaces>1261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2024-03-20T15:18:00Z</dcterms:created>
  <dc:creator>pc</dc:creator>
  <cp:lastModifiedBy>黄晨阳</cp:lastModifiedBy>
  <dcterms:modified xsi:type="dcterms:W3CDTF">2024-08-06T14:50:55Z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821CC099896E472197FCA283C7CD33D2_13</vt:lpwstr>
  </property>
</Properties>
</file>