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777"/>
        <w:tblOverlap w:val="never"/>
        <w:tblW w:w="7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684"/>
        <w:gridCol w:w="2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Statistics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Clinical pregnancy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Female age (years)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31.89 ± 4.1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0.953 (0.931, 0.977)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Male age (years)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33.49 ± 5.0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0.972 (0.953, 0.991)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GnRHa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1283 (80.0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319 (19.91%)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1.594 (1.243, 2.044)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  <w:t>BMI (kg/m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  <w:t>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22.61 ± 3.15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1.001 (0.970, 1.033) 0.951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Infertility type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Primary infertility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869 (54.25%)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  <w:t>Secondary infertility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733 (45.75%)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0.873 (0.717, 1.063) 0.17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Duration of infertility (years)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2.9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0.974 (0.942, 1.008) 0.136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AMH (ng/mL)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2.4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1.104 (1.000, 1.218) 0.04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Basic FSH (IU/L)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7.36 ± 2.5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0.971 (0.933, 1.011) 0.156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Basic LH (IU/L)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5.01 ± 3.4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1.008 (0.979, 1.038) 0.57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AFC (n)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7.7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, 1.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) 0.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PCOS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1130 (70.5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472 (29.46%)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1.212 (0.978, 1.503) 0.0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Endometrium thickness (mm)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1.4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1.132 (1.049, 1.220) 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Number of transferred embryos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577 (36.02%)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1025 (63.98%)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1.76 (1.43, 2.16) 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Embryo quality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789 (49.25%)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813 (50.75%)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1.49 (1.22, 1.81) 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Type of transferred embryos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Cleavage-stage embryo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988 (61.67%)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  <w:lang w:val="en-US"/>
              </w:rPr>
              <w:t>lastocyst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595 (37.14%)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1.28 (1.05, 1.57) 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  <w:t>Sequential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 xml:space="preserve"> transfer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 (1.19%)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3.11 (1.11, 8.70) 0.03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Univariate analysis of total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sz w:val="24"/>
          <w:szCs w:val="24"/>
        </w:rPr>
        <w:t xml:space="preserve"> cycles.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zk5MTg2YWZmOGU5ODVkMjMwMDdjNzYyYzRiNTAifQ=="/>
  </w:docVars>
  <w:rsids>
    <w:rsidRoot w:val="00000000"/>
    <w:rsid w:val="10365087"/>
    <w:rsid w:val="22267867"/>
    <w:rsid w:val="2D2C76B3"/>
    <w:rsid w:val="30C414A3"/>
    <w:rsid w:val="30EE2ED1"/>
    <w:rsid w:val="4557299B"/>
    <w:rsid w:val="49BF6D61"/>
    <w:rsid w:val="603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2024-03-20T14:22:00Z</dcterms:created>
  <dc:creator>pc</dc:creator>
  <cp:lastModifiedBy>黄晨阳</cp:lastModifiedBy>
  <dcterms:modified xsi:type="dcterms:W3CDTF">2024-04-30T15:11:14Z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20BB0F5A1E6C4904B2D354C1F3624E20_12</vt:lpwstr>
  </property>
</Properties>
</file>