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S1 Mendelian randomization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Leave-one-out analysis.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)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Leave-one-out plots for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UC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on anxiety</w:t>
      </w:r>
      <w:r>
        <w:rPr>
          <w:rFonts w:hint="default" w:ascii="Times New Roman" w:hAnsi="Times New Roman" w:cs="Times New Roma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B</w:t>
      </w:r>
      <w:r>
        <w:rPr>
          <w:rFonts w:hint="eastAsia" w:ascii="Times New Roman" w:hAnsi="Times New Roman" w:cs="Times New Roman"/>
          <w:lang w:val="en-US" w:eastAsia="zh-CN"/>
        </w:rPr>
        <w:t xml:space="preserve">)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Leave-one-out plots for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anxiety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on UC</w:t>
      </w:r>
      <w:r>
        <w:rPr>
          <w:rFonts w:hint="eastAsia" w:ascii="Times New Roman" w:hAnsi="Times New Roman" w:cs="Times New Roman"/>
          <w:lang w:val="en-US" w:eastAsia="zh-CN"/>
        </w:rPr>
        <w:t>.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</w:t>
      </w:r>
      <w:r>
        <w:rPr>
          <w:rFonts w:hint="eastAsia" w:ascii="Times New Roman" w:hAnsi="Times New Roman" w:cs="Times New Roman"/>
          <w:lang w:val="en-US" w:eastAsia="zh-CN"/>
        </w:rPr>
        <w:t xml:space="preserve">)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Leave-one-out plots for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UC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on depression</w:t>
      </w:r>
      <w:r>
        <w:rPr>
          <w:rFonts w:hint="eastAsia" w:ascii="Times New Roman" w:hAnsi="Times New Roman" w:cs="Times New Roman"/>
          <w:lang w:val="en-US" w:eastAsia="zh-CN"/>
        </w:rPr>
        <w:t>.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</w:t>
      </w:r>
      <w:r>
        <w:rPr>
          <w:rFonts w:hint="eastAsia" w:ascii="Times New Roman" w:hAnsi="Times New Roman" w:cs="Times New Roman"/>
          <w:lang w:val="en-US" w:eastAsia="zh-CN"/>
        </w:rPr>
        <w:t xml:space="preserve">)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Leave-one-out plots for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depression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on UC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267960" cy="4061460"/>
            <wp:effectExtent l="0" t="0" r="0" b="0"/>
            <wp:docPr id="1" name="图片 1" descr="Fig. S1-留一法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-留一法_00"/>
                    <pic:cNvPicPr>
                      <a:picLocks noChangeAspect="1"/>
                    </pic:cNvPicPr>
                  </pic:nvPicPr>
                  <pic:blipFill>
                    <a:blip r:embed="rId4"/>
                    <a:srcRect b="4550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06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spacing w:line="240" w:lineRule="auto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S2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>Magnoflorine affected mice behavior.</w:t>
      </w:r>
      <w:r>
        <w:rPr>
          <w:rFonts w:hint="default" w:ascii="Times New Roman" w:hAnsi="Times New Roman" w:cs="Times New Roman"/>
        </w:rPr>
        <w:t xml:space="preserve"> Magnoflorine increased the times enter in open arms of EPT experiments, but not affected immobility time in TST and FST experiments. Statistical significance was determined using one-way ANOVA, followed by Tukey test. 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 xml:space="preserve">0.05, </w:t>
      </w:r>
      <w:r>
        <w:rPr>
          <w:rFonts w:hint="eastAsia" w:ascii="Times New Roman" w:hAnsi="Times New Roman" w:cs="Times New Roman"/>
          <w:lang w:val="en-US" w:eastAsia="zh-CN"/>
        </w:rPr>
        <w:t>ns, not significant</w:t>
      </w:r>
      <w:r>
        <w:rPr>
          <w:rFonts w:hint="default" w:ascii="Times New Roman" w:hAnsi="Times New Roman" w:cs="Times New Roman"/>
        </w:rPr>
        <w:t>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267960" cy="2106295"/>
            <wp:effectExtent l="0" t="0" r="0" b="0"/>
            <wp:docPr id="2" name="图片 2" descr="S-fig2-行为学及炎症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-fig2-行为学及炎症_00"/>
                    <pic:cNvPicPr>
                      <a:picLocks noChangeAspect="1"/>
                    </pic:cNvPicPr>
                  </pic:nvPicPr>
                  <pic:blipFill>
                    <a:blip r:embed="rId5"/>
                    <a:srcRect b="7173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Fig. S3 Magnoflorine regulated colitis microbiota and WGCNA analysis.</w:t>
      </w:r>
      <w:r>
        <w:rPr>
          <w:rFonts w:hint="eastAsia" w:ascii="Times New Roman" w:hAnsi="Times New Roman" w:cs="Times New Roman"/>
          <w:lang w:val="en-US" w:eastAsia="zh-CN"/>
        </w:rPr>
        <w:t xml:space="preserve"> (A) α-diversity upon magnoflorine therapy represented by the Shannon index, *P &lt; 0.05. (B) The PCoA plots upon magnoflorine therapy. (C) STAMP analysis of microbiota at family level between DSS group and Mag+DSS group. (D) By STAMP analysis, 16sRNA sequencing data analyzed by PICRUSt prediction yielded that K15873 was enriched in the Mag+DSS group. K15873: baiH, NAD+-dependent 7beta-hydroxy-3-oxo bile acid-CoA-ester 4-dehydrogenase. (E) WGCNA analysis. The left diagram showed clustering sampletree and cutHeight = 42, the right diagram showed network topology analysis for different soft-threshold power. The green arrow indicates the selected power value. (F) Venn diagram showing the common part of red and blue ME.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267960" cy="7452360"/>
            <wp:effectExtent l="0" t="0" r="8890" b="5715"/>
            <wp:docPr id="3" name="图片 3" descr="S-fig3-菌群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-fig3-菌群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S4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</w:rPr>
        <w:t>Magnoflorine alleviated colitis depending on microbiota</w:t>
      </w:r>
      <w:r>
        <w:rPr>
          <w:rFonts w:hint="eastAsia" w:ascii="Times New Roman" w:hAnsi="Times New Roman" w:cs="Times New Roman"/>
          <w:color w:val="auto"/>
        </w:rPr>
        <w:t>.</w:t>
      </w:r>
      <w:r>
        <w:rPr>
          <w:rFonts w:hint="eastAsia" w:ascii="Times New Roman" w:hAnsi="Times New Roman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b/>
          <w:bCs/>
        </w:rPr>
        <w:t>A</w:t>
      </w:r>
      <w:r>
        <w:rPr>
          <w:rFonts w:hint="default" w:ascii="Times New Roman" w:hAnsi="Times New Roman" w:cs="Times New Roman"/>
        </w:rPr>
        <w:t>) Daily body weight change throughout the DSS treatment duration of the ABx experiment. (</w:t>
      </w:r>
      <w:r>
        <w:rPr>
          <w:rFonts w:hint="default" w:ascii="Times New Roman" w:hAnsi="Times New Roman" w:cs="Times New Roman"/>
          <w:b/>
          <w:bCs/>
        </w:rPr>
        <w:t>B</w:t>
      </w:r>
      <w:r>
        <w:rPr>
          <w:rFonts w:hint="default" w:ascii="Times New Roman" w:hAnsi="Times New Roman" w:cs="Times New Roman"/>
        </w:rPr>
        <w:t>) H&amp;E stained colon sections and Pathological scores of colons of the ABx experiment. (</w:t>
      </w:r>
      <w:r>
        <w:rPr>
          <w:rFonts w:hint="default" w:ascii="Times New Roman" w:hAnsi="Times New Roman" w:cs="Times New Roman"/>
          <w:b/>
          <w:bCs/>
        </w:rPr>
        <w:t>C</w:t>
      </w:r>
      <w:r>
        <w:rPr>
          <w:rFonts w:hint="default" w:ascii="Times New Roman" w:hAnsi="Times New Roman" w:cs="Times New Roman"/>
        </w:rPr>
        <w:t>) Daily body weight change throughout the DSS treatment duration of the FMT experiment. (</w:t>
      </w:r>
      <w:r>
        <w:rPr>
          <w:rFonts w:hint="default" w:ascii="Times New Roman" w:hAnsi="Times New Roman" w:cs="Times New Roman"/>
          <w:b/>
          <w:bCs/>
        </w:rPr>
        <w:t>D</w:t>
      </w:r>
      <w:r>
        <w:rPr>
          <w:rFonts w:hint="default" w:ascii="Times New Roman" w:hAnsi="Times New Roman" w:cs="Times New Roman"/>
        </w:rPr>
        <w:t>) H&amp;E stained colon sections and Pathological scores of colons of the FMT experiment.(</w:t>
      </w:r>
      <w:r>
        <w:rPr>
          <w:rFonts w:hint="default" w:ascii="Times New Roman" w:hAnsi="Times New Roman" w:cs="Times New Roman"/>
          <w:b/>
          <w:bCs/>
        </w:rPr>
        <w:t>E</w:t>
      </w:r>
      <w:r>
        <w:rPr>
          <w:rFonts w:hint="default" w:ascii="Times New Roman" w:hAnsi="Times New Roman" w:cs="Times New Roman"/>
        </w:rPr>
        <w:t>) Daily body weight change throughout the DSS treatment duration of the SFF experiment. (</w:t>
      </w:r>
      <w:r>
        <w:rPr>
          <w:rFonts w:hint="default" w:ascii="Times New Roman" w:hAnsi="Times New Roman" w:cs="Times New Roman"/>
          <w:b/>
          <w:bCs/>
        </w:rPr>
        <w:t>F</w:t>
      </w:r>
      <w:r>
        <w:rPr>
          <w:rFonts w:hint="default" w:ascii="Times New Roman" w:hAnsi="Times New Roman" w:cs="Times New Roman"/>
        </w:rPr>
        <w:t>) H&amp;E stained colon sections and Pathological scores of colons of the SFF experiment.. Data were presented as means±SEM. Statistical significance was determined using Tukey test. 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0.01, ***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0.001, ****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0.0001.</w:t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5267960" cy="5320030"/>
            <wp:effectExtent l="0" t="0" r="0" b="0"/>
            <wp:docPr id="4" name="图片 4" descr="S-Fig4-ABX-FMT-SFF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-Fig4-ABX-FMT-SFF_00"/>
                    <pic:cNvPicPr>
                      <a:picLocks noChangeAspect="1"/>
                    </pic:cNvPicPr>
                  </pic:nvPicPr>
                  <pic:blipFill>
                    <a:blip r:embed="rId7"/>
                    <a:srcRect b="286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2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S5</w:t>
      </w:r>
      <w:r>
        <w:rPr>
          <w:rFonts w:hint="default" w:ascii="Times New Roman" w:hAnsi="Times New Roman" w:cs="Times New Roman"/>
          <w:b/>
          <w:bCs/>
        </w:rPr>
        <w:t xml:space="preserve"> GO and KEGG analysis based on DEG between DSS group and Mag+DSS group.</w:t>
      </w:r>
      <w:r>
        <w:rPr>
          <w:rFonts w:hint="default" w:ascii="Times New Roman" w:hAnsi="Times New Roman" w:cs="Times New Roman"/>
        </w:rPr>
        <w:t xml:space="preserve"> (</w:t>
      </w:r>
      <w:r>
        <w:rPr>
          <w:rFonts w:hint="default" w:ascii="Times New Roman" w:hAnsi="Times New Roman" w:cs="Times New Roman"/>
          <w:b/>
          <w:bCs/>
        </w:rPr>
        <w:t>A</w:t>
      </w:r>
      <w:r>
        <w:rPr>
          <w:rFonts w:hint="default" w:ascii="Times New Roman" w:hAnsi="Times New Roman" w:cs="Times New Roman"/>
        </w:rPr>
        <w:t>) GO functional enrichment analysis, including BP, CC, and MF. (</w:t>
      </w:r>
      <w:r>
        <w:rPr>
          <w:rFonts w:hint="default" w:ascii="Times New Roman" w:hAnsi="Times New Roman" w:cs="Times New Roman"/>
          <w:b/>
          <w:bCs/>
        </w:rPr>
        <w:t>B</w:t>
      </w:r>
      <w:r>
        <w:rPr>
          <w:rFonts w:hint="default" w:ascii="Times New Roman" w:hAnsi="Times New Roman" w:cs="Times New Roman"/>
        </w:rPr>
        <w:t>) KEGG functional enrichment analysis.</w:t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5267960" cy="7452360"/>
            <wp:effectExtent l="0" t="0" r="8890" b="5715"/>
            <wp:docPr id="5" name="图片 5" descr="S-Fig5-转录组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-Fig5-转录组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S6</w:t>
      </w:r>
      <w:r>
        <w:rPr>
          <w:rFonts w:hint="default" w:ascii="Times New Roman" w:hAnsi="Times New Roman" w:cs="Times New Roman"/>
          <w:b/>
          <w:bCs/>
        </w:rPr>
        <w:t xml:space="preserve"> HDCA alleviated colitis and neuroinfalmmation.</w:t>
      </w:r>
      <w:r>
        <w:rPr>
          <w:rFonts w:hint="default" w:ascii="Times New Roman" w:hAnsi="Times New Roman" w:cs="Times New Roman"/>
        </w:rPr>
        <w:t xml:space="preserve"> (</w:t>
      </w:r>
      <w:r>
        <w:rPr>
          <w:rFonts w:hint="default" w:ascii="Times New Roman" w:hAnsi="Times New Roman" w:cs="Times New Roman"/>
          <w:b/>
          <w:bCs/>
        </w:rPr>
        <w:t>A</w:t>
      </w:r>
      <w:r>
        <w:rPr>
          <w:rFonts w:hint="default" w:ascii="Times New Roman" w:hAnsi="Times New Roman" w:cs="Times New Roman"/>
        </w:rPr>
        <w:t>) Daily body weight and DAI scores change throughout the DSS treatment duration of the HDCA treatment experiment. (</w:t>
      </w:r>
      <w:r>
        <w:rPr>
          <w:rFonts w:hint="default" w:ascii="Times New Roman" w:hAnsi="Times New Roman" w:cs="Times New Roman"/>
          <w:b/>
          <w:bCs/>
        </w:rPr>
        <w:t>B</w:t>
      </w:r>
      <w:r>
        <w:rPr>
          <w:rFonts w:hint="default" w:ascii="Times New Roman" w:hAnsi="Times New Roman" w:cs="Times New Roman"/>
        </w:rPr>
        <w:t>) Images of the colon and the colon length in HDCA treatment experiment. (</w:t>
      </w:r>
      <w:r>
        <w:rPr>
          <w:rFonts w:hint="default" w:ascii="Times New Roman" w:hAnsi="Times New Roman" w:cs="Times New Roman"/>
          <w:b/>
          <w:bCs/>
        </w:rPr>
        <w:t>C</w:t>
      </w:r>
      <w:r>
        <w:rPr>
          <w:rFonts w:hint="default" w:ascii="Times New Roman" w:hAnsi="Times New Roman" w:cs="Times New Roman"/>
        </w:rPr>
        <w:t>) Concentrations of three representative pro-infammatory cytokines at mRNA level in BV2 cells. 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</w:t>
      </w:r>
      <w:r>
        <w:rPr>
          <w:rFonts w:hint="default" w:ascii="Times New Roman" w:hAnsi="Times New Roman" w:cs="Times New Roman"/>
        </w:rPr>
        <w:t xml:space="preserve">) Representative immunofluorescence images of IBA-1 in BV2 cells. Magnification: 200×, Scale bars: 50μm. Data were presented as means±SEM. Statistical </w:t>
      </w:r>
      <w:r>
        <w:rPr>
          <w:rFonts w:hint="eastAsia" w:ascii="Times New Roman" w:hAnsi="Times New Roman" w:cs="Times New Roman"/>
          <w:lang w:eastAsia="zh-CN"/>
        </w:rPr>
        <w:t>significance</w:t>
      </w:r>
      <w:bookmarkStart w:id="0" w:name="_GoBack"/>
      <w:bookmarkEnd w:id="0"/>
      <w:r>
        <w:rPr>
          <w:rFonts w:hint="default" w:ascii="Times New Roman" w:hAnsi="Times New Roman" w:cs="Times New Roman"/>
        </w:rPr>
        <w:t xml:space="preserve"> was determined using Tukey test.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0.05, 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0.01, ***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0.001, ****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&lt; </w:t>
      </w:r>
      <w:r>
        <w:rPr>
          <w:rFonts w:hint="default" w:ascii="Times New Roman" w:hAnsi="Times New Roman" w:cs="Times New Roman"/>
        </w:rPr>
        <w:t>0.0001.</w:t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5088255" cy="7198995"/>
            <wp:effectExtent l="0" t="0" r="7620" b="1905"/>
            <wp:docPr id="6" name="图片 6" descr="S-Fig6-代谢组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-Fig6-代谢组_00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8255" cy="719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ZWYxZTQ5ZjQ1ZmQwN2ZmNmM1NTM0ODkwNmFjMjUifQ=="/>
  </w:docVars>
  <w:rsids>
    <w:rsidRoot w:val="00000000"/>
    <w:rsid w:val="16C61447"/>
    <w:rsid w:val="252B4744"/>
    <w:rsid w:val="51354198"/>
    <w:rsid w:val="53F94037"/>
    <w:rsid w:val="582166BE"/>
    <w:rsid w:val="6CC97A01"/>
    <w:rsid w:val="7512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2024-07-16T12:20:00Z</dcterms:created>
  <dc:creator>Lenovo</dc:creator>
  <cp:lastModifiedBy>iceworld</cp:lastModifiedBy>
  <dcterms:modified xsi:type="dcterms:W3CDTF">2024-08-01T12:44:51Z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0E32D28C264F4D569ACAC22E85A9161B_12</vt:lpwstr>
  </property>
</Properties>
</file>