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A410F" w14:textId="77777777" w:rsidR="00F33433" w:rsidRDefault="00F33433" w:rsidP="00F675AA">
      <w:pPr>
        <w:rPr>
          <w:rFonts w:ascii="Times New Roman" w:hAnsi="Times New Roman" w:cs="Times New Roman"/>
          <w:sz w:val="20"/>
          <w:szCs w:val="20"/>
        </w:rPr>
      </w:pPr>
    </w:p>
    <w:p w14:paraId="2B9D2F28" w14:textId="43E1361E" w:rsidR="00F33433" w:rsidRDefault="00F33433" w:rsidP="00F33433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/>
          <w:b/>
          <w:bCs/>
          <w:sz w:val="20"/>
          <w:szCs w:val="20"/>
        </w:rPr>
        <w:t>Table 1.</w:t>
      </w:r>
      <w:r w:rsidRPr="00F33433">
        <w:rPr>
          <w:rFonts w:ascii="Times New Roman" w:hAnsi="Times New Roman" w:cs="Times New Roman"/>
          <w:sz w:val="20"/>
          <w:szCs w:val="20"/>
        </w:rPr>
        <w:t xml:space="preserve"> Contents of Psychoeducation for inpatients with schi</w:t>
      </w:r>
      <w:r>
        <w:rPr>
          <w:rFonts w:ascii="Times New Roman" w:hAnsi="Times New Roman" w:cs="Times New Roman"/>
          <w:sz w:val="20"/>
          <w:szCs w:val="20"/>
        </w:rPr>
        <w:t>zo</w:t>
      </w:r>
      <w:r w:rsidRPr="00F33433">
        <w:rPr>
          <w:rFonts w:ascii="Times New Roman" w:hAnsi="Times New Roman" w:cs="Times New Roman"/>
          <w:sz w:val="20"/>
          <w:szCs w:val="20"/>
        </w:rPr>
        <w:t>phrenia on Shin-Abuyama Hospital</w:t>
      </w:r>
    </w:p>
    <w:p w14:paraId="26CBDD2C" w14:textId="308126E6" w:rsidR="00F33433" w:rsidRPr="002864A6" w:rsidRDefault="00F33433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65BE1EDE" wp14:editId="600E4720">
            <wp:extent cx="5396230" cy="2698115"/>
            <wp:effectExtent l="0" t="0" r="1270" b="0"/>
            <wp:docPr id="5210465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46586" name="図 5210465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3EC76" w14:textId="77777777" w:rsidR="00F675AA" w:rsidRPr="002864A6" w:rsidRDefault="00000000" w:rsidP="00F675AA">
      <w:pPr>
        <w:rPr>
          <w:rFonts w:ascii="Times New Roman" w:hAnsi="Times New Roman" w:cs="Times New Roman"/>
          <w:sz w:val="20"/>
          <w:szCs w:val="20"/>
        </w:rPr>
      </w:pPr>
      <w:r w:rsidRPr="002864A6">
        <w:rPr>
          <w:rFonts w:ascii="Times New Roman" w:hAnsi="Times New Roman" w:cs="Times New Roman"/>
          <w:sz w:val="20"/>
          <w:szCs w:val="20"/>
        </w:rPr>
        <w:t xml:space="preserve"> </w:t>
      </w:r>
      <w:r w:rsidRPr="002864A6">
        <w:rPr>
          <w:rFonts w:ascii="Times New Roman" w:hAnsi="Times New Roman" w:cs="Times New Roman"/>
          <w:sz w:val="20"/>
          <w:szCs w:val="20"/>
        </w:rPr>
        <w:tab/>
      </w:r>
      <w:r w:rsidRPr="002864A6">
        <w:rPr>
          <w:rFonts w:ascii="Times New Roman" w:hAnsi="Times New Roman" w:cs="Times New Roman"/>
          <w:sz w:val="20"/>
          <w:szCs w:val="20"/>
        </w:rPr>
        <w:tab/>
      </w:r>
    </w:p>
    <w:p w14:paraId="1FA3005F" w14:textId="77777777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</w:p>
    <w:p w14:paraId="2519A46C" w14:textId="697B4130" w:rsidR="00417517" w:rsidRPr="002864A6" w:rsidRDefault="00417517" w:rsidP="00417517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/>
          <w:b/>
          <w:bCs/>
          <w:sz w:val="20"/>
          <w:szCs w:val="20"/>
        </w:rPr>
        <w:t>Table 2.</w:t>
      </w:r>
      <w:r w:rsidRPr="00417517">
        <w:rPr>
          <w:rFonts w:ascii="Times New Roman" w:hAnsi="Times New Roman" w:cs="Times New Roman"/>
          <w:sz w:val="20"/>
          <w:szCs w:val="20"/>
        </w:rPr>
        <w:t xml:space="preserve"> Comparison of Characteristics of the program completion group and the program noncompletion group</w:t>
      </w:r>
    </w:p>
    <w:p w14:paraId="318EB4E7" w14:textId="29654343" w:rsidR="00F675AA" w:rsidRDefault="00417517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D22454" wp14:editId="2C269AD2">
            <wp:extent cx="5396230" cy="2355850"/>
            <wp:effectExtent l="0" t="0" r="1270" b="6350"/>
            <wp:docPr id="9484044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04450" name="図 9484044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446AB" w14:textId="3161F484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/>
          <w:sz w:val="20"/>
          <w:szCs w:val="20"/>
        </w:rPr>
        <w:t>CG: program completion group; NG: program non</w:t>
      </w:r>
      <w:r w:rsidR="00A571FC">
        <w:rPr>
          <w:rFonts w:ascii="Times New Roman" w:hAnsi="Times New Roman" w:cs="Times New Roman"/>
          <w:sz w:val="20"/>
          <w:szCs w:val="20"/>
        </w:rPr>
        <w:t>-</w:t>
      </w:r>
      <w:r w:rsidRPr="00417517">
        <w:rPr>
          <w:rFonts w:ascii="Times New Roman" w:hAnsi="Times New Roman" w:cs="Times New Roman"/>
          <w:sz w:val="20"/>
          <w:szCs w:val="20"/>
        </w:rPr>
        <w:t>completion group; S.D: standard deviation</w:t>
      </w:r>
    </w:p>
    <w:p w14:paraId="0D5DFC95" w14:textId="264290A1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 w:hint="eastAsia"/>
          <w:sz w:val="20"/>
          <w:szCs w:val="20"/>
        </w:rPr>
        <w:t>¶</w:t>
      </w:r>
      <w:r w:rsidRPr="00417517">
        <w:rPr>
          <w:rFonts w:ascii="Times New Roman" w:hAnsi="Times New Roman" w:cs="Times New Roman"/>
          <w:sz w:val="20"/>
          <w:szCs w:val="20"/>
        </w:rPr>
        <w:t>: Fisher's exact test was used, §: The Welch's t-test was used as used because homoscedasticity could not be confirmed by Levene's test.</w:t>
      </w:r>
    </w:p>
    <w:p w14:paraId="0D9CEAB9" w14:textId="77777777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</w:p>
    <w:p w14:paraId="51626B95" w14:textId="6846D164" w:rsidR="00417517" w:rsidRDefault="00417517" w:rsidP="00417517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/>
          <w:b/>
          <w:bCs/>
          <w:sz w:val="20"/>
          <w:szCs w:val="20"/>
        </w:rPr>
        <w:t xml:space="preserve">Table 3. </w:t>
      </w:r>
      <w:r w:rsidRPr="00417517">
        <w:rPr>
          <w:rFonts w:ascii="Times New Roman" w:hAnsi="Times New Roman" w:cs="Times New Roman"/>
          <w:sz w:val="20"/>
          <w:szCs w:val="20"/>
        </w:rPr>
        <w:t>List of program attendance for participants in this study</w:t>
      </w:r>
    </w:p>
    <w:p w14:paraId="1B3AFA10" w14:textId="4DA37623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12F7EE77" wp14:editId="387AB9B5">
            <wp:extent cx="5396230" cy="2823210"/>
            <wp:effectExtent l="0" t="0" r="1270" b="0"/>
            <wp:docPr id="102701181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11810" name="図 10270118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AFC4" w14:textId="15EE475E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/>
          <w:sz w:val="20"/>
          <w:szCs w:val="20"/>
        </w:rPr>
        <w:t>CG: program completion group; NG: program non</w:t>
      </w:r>
      <w:r w:rsidR="00A571FC">
        <w:rPr>
          <w:rFonts w:ascii="Times New Roman" w:hAnsi="Times New Roman" w:cs="Times New Roman"/>
          <w:sz w:val="20"/>
          <w:szCs w:val="20"/>
        </w:rPr>
        <w:t>-</w:t>
      </w:r>
      <w:r w:rsidRPr="00417517">
        <w:rPr>
          <w:rFonts w:ascii="Times New Roman" w:hAnsi="Times New Roman" w:cs="Times New Roman"/>
          <w:sz w:val="20"/>
          <w:szCs w:val="20"/>
        </w:rPr>
        <w:t>completion group; DOT: duration of outpatient treatment</w:t>
      </w:r>
    </w:p>
    <w:p w14:paraId="45232854" w14:textId="624A2797" w:rsidR="00417517" w:rsidRDefault="00417517" w:rsidP="00F675AA">
      <w:pPr>
        <w:rPr>
          <w:rFonts w:ascii="Times New Roman" w:hAnsi="Times New Roman" w:cs="Times New Roman"/>
          <w:sz w:val="20"/>
          <w:szCs w:val="20"/>
        </w:rPr>
      </w:pPr>
      <w:r w:rsidRPr="00417517">
        <w:rPr>
          <w:rFonts w:ascii="Times New Roman" w:hAnsi="Times New Roman" w:cs="Times New Roman" w:hint="eastAsia"/>
          <w:sz w:val="20"/>
          <w:szCs w:val="20"/>
        </w:rPr>
        <w:t>¶</w:t>
      </w:r>
      <w:r w:rsidRPr="00417517">
        <w:rPr>
          <w:rFonts w:ascii="Times New Roman" w:hAnsi="Times New Roman" w:cs="Times New Roman"/>
          <w:sz w:val="20"/>
          <w:szCs w:val="20"/>
        </w:rPr>
        <w:t>: Maximum follow-up period (DOT) in this study is 5 years (1825 days).</w:t>
      </w:r>
    </w:p>
    <w:p w14:paraId="4EF52E69" w14:textId="77777777" w:rsidR="00417517" w:rsidRPr="002864A6" w:rsidRDefault="00417517" w:rsidP="00F675AA">
      <w:pPr>
        <w:rPr>
          <w:rFonts w:ascii="Times New Roman" w:hAnsi="Times New Roman" w:cs="Times New Roman"/>
          <w:sz w:val="20"/>
          <w:szCs w:val="20"/>
        </w:rPr>
      </w:pPr>
    </w:p>
    <w:p w14:paraId="28065E66" w14:textId="77777777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</w:p>
    <w:p w14:paraId="62975959" w14:textId="591D0E31" w:rsidR="003A0F1A" w:rsidRDefault="003A0F1A" w:rsidP="003A0F1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b/>
          <w:bCs/>
          <w:sz w:val="20"/>
          <w:szCs w:val="20"/>
        </w:rPr>
        <w:t>Table 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F1A">
        <w:rPr>
          <w:rFonts w:ascii="Times New Roman" w:hAnsi="Times New Roman" w:cs="Times New Roman"/>
          <w:sz w:val="20"/>
          <w:szCs w:val="20"/>
        </w:rPr>
        <w:t>Univariate and multivariate Cox proportional regression analysis of all-cause discontinuation</w:t>
      </w:r>
    </w:p>
    <w:p w14:paraId="2DA737A4" w14:textId="6F8764AF" w:rsidR="00417517" w:rsidRDefault="003A0F1A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2E9306" wp14:editId="27385DFF">
            <wp:extent cx="5396230" cy="2182495"/>
            <wp:effectExtent l="0" t="0" r="1270" b="1905"/>
            <wp:docPr id="211342707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27079" name="図 21134270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0E93" w14:textId="260FA166" w:rsidR="00417517" w:rsidRDefault="003A0F1A" w:rsidP="00F675A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sz w:val="20"/>
          <w:szCs w:val="20"/>
        </w:rPr>
        <w:t>Survival variable: duration of outpatient treatment (DOT), days (up to 1825 days)</w:t>
      </w:r>
    </w:p>
    <w:p w14:paraId="27F87B05" w14:textId="54137C8A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sz w:val="20"/>
          <w:szCs w:val="20"/>
        </w:rPr>
        <w:t xml:space="preserve">HR: hazard ratio; ME: motivation / energy; PS: psychological / social relations; SS: symptoms / side effects; *: </w:t>
      </w:r>
      <w:r w:rsidRPr="003A0F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A0F1A">
        <w:rPr>
          <w:rFonts w:ascii="Times New Roman" w:hAnsi="Times New Roman" w:cs="Times New Roman"/>
          <w:sz w:val="20"/>
          <w:szCs w:val="20"/>
        </w:rPr>
        <w:t xml:space="preserve"> &lt; 0.05; **: </w:t>
      </w:r>
      <w:r w:rsidRPr="003A0F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A0F1A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44860352" w14:textId="77777777" w:rsidR="008B4870" w:rsidRDefault="008B4870" w:rsidP="00F675AA">
      <w:pPr>
        <w:rPr>
          <w:rFonts w:ascii="Times New Roman" w:hAnsi="Times New Roman" w:cs="Times New Roman"/>
          <w:sz w:val="20"/>
          <w:szCs w:val="20"/>
        </w:rPr>
      </w:pPr>
    </w:p>
    <w:p w14:paraId="2B5D87D7" w14:textId="77777777" w:rsidR="008B4870" w:rsidRDefault="008B4870" w:rsidP="00F675AA">
      <w:pPr>
        <w:rPr>
          <w:rFonts w:ascii="Times New Roman" w:hAnsi="Times New Roman" w:cs="Times New Roman"/>
          <w:sz w:val="20"/>
          <w:szCs w:val="20"/>
        </w:rPr>
      </w:pPr>
    </w:p>
    <w:p w14:paraId="7A19C526" w14:textId="77777777" w:rsidR="008B4870" w:rsidRDefault="008B4870" w:rsidP="00F675AA">
      <w:pPr>
        <w:rPr>
          <w:rFonts w:ascii="Times New Roman" w:hAnsi="Times New Roman" w:cs="Times New Roman"/>
          <w:sz w:val="20"/>
          <w:szCs w:val="20"/>
        </w:rPr>
      </w:pPr>
    </w:p>
    <w:p w14:paraId="58AC3ADB" w14:textId="77777777" w:rsidR="00417517" w:rsidRPr="002864A6" w:rsidRDefault="00417517" w:rsidP="00F675AA">
      <w:pPr>
        <w:rPr>
          <w:rFonts w:ascii="Times New Roman" w:hAnsi="Times New Roman" w:cs="Times New Roman"/>
          <w:sz w:val="20"/>
          <w:szCs w:val="20"/>
        </w:rPr>
      </w:pPr>
    </w:p>
    <w:p w14:paraId="5987B189" w14:textId="77777777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</w:p>
    <w:p w14:paraId="75810F07" w14:textId="429F0E24" w:rsidR="003A0F1A" w:rsidRDefault="003A0F1A" w:rsidP="003A0F1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b/>
          <w:bCs/>
          <w:sz w:val="20"/>
          <w:szCs w:val="20"/>
        </w:rPr>
        <w:t xml:space="preserve">Table 5. </w:t>
      </w:r>
      <w:r w:rsidRPr="003A0F1A">
        <w:rPr>
          <w:rFonts w:ascii="Times New Roman" w:hAnsi="Times New Roman" w:cs="Times New Roman"/>
          <w:sz w:val="20"/>
          <w:szCs w:val="20"/>
        </w:rPr>
        <w:t>Comparison of the percentage of event occurrences by year</w:t>
      </w:r>
    </w:p>
    <w:p w14:paraId="542FD1C1" w14:textId="42554374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5C099BE5" wp14:editId="17EC679B">
            <wp:extent cx="5396230" cy="1314450"/>
            <wp:effectExtent l="0" t="0" r="1270" b="6350"/>
            <wp:docPr id="42901525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15258" name="図 4290152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888E7" w14:textId="68D59C52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sz w:val="20"/>
          <w:szCs w:val="20"/>
        </w:rPr>
        <w:t xml:space="preserve">CG: program completion group; NG: program non-completion group; *: </w:t>
      </w:r>
      <w:r w:rsidRPr="003A0F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A0F1A">
        <w:rPr>
          <w:rFonts w:ascii="Times New Roman" w:hAnsi="Times New Roman" w:cs="Times New Roman"/>
          <w:sz w:val="20"/>
          <w:szCs w:val="20"/>
        </w:rPr>
        <w:t xml:space="preserve"> &lt; 0.05; **: </w:t>
      </w:r>
      <w:r w:rsidRPr="003A0F1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A0F1A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1C4CC0C0" w14:textId="1C2383FA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 w:hint="eastAsia"/>
          <w:sz w:val="20"/>
          <w:szCs w:val="20"/>
        </w:rPr>
        <w:t>¶</w:t>
      </w:r>
      <w:r w:rsidRPr="003A0F1A">
        <w:rPr>
          <w:rFonts w:ascii="Times New Roman" w:hAnsi="Times New Roman" w:cs="Times New Roman"/>
          <w:sz w:val="20"/>
          <w:szCs w:val="20"/>
        </w:rPr>
        <w:t>: 1 participant was censored during the period due to inability to contact. Hence, the population of CG had been reduced to 17.</w:t>
      </w:r>
    </w:p>
    <w:p w14:paraId="0E429A50" w14:textId="77777777" w:rsidR="00C70808" w:rsidRDefault="00C70808" w:rsidP="00C70808">
      <w:pPr>
        <w:rPr>
          <w:rFonts w:ascii="Times New Roman" w:hAnsi="Times New Roman" w:cs="Times New Roman"/>
          <w:sz w:val="20"/>
          <w:szCs w:val="20"/>
        </w:rPr>
      </w:pPr>
      <w:r w:rsidRPr="003A0F1A">
        <w:rPr>
          <w:rFonts w:ascii="Times New Roman" w:hAnsi="Times New Roman" w:cs="Times New Roman"/>
          <w:sz w:val="20"/>
          <w:szCs w:val="20"/>
        </w:rPr>
        <w:t>Fisher's exact test was used to compare the percentage of event occurrences by year.</w:t>
      </w:r>
    </w:p>
    <w:p w14:paraId="5C6EC780" w14:textId="77777777" w:rsidR="003A0F1A" w:rsidRDefault="003A0F1A" w:rsidP="00F675AA">
      <w:pPr>
        <w:rPr>
          <w:rFonts w:ascii="Times New Roman" w:hAnsi="Times New Roman" w:cs="Times New Roman"/>
          <w:sz w:val="20"/>
          <w:szCs w:val="20"/>
        </w:rPr>
      </w:pPr>
    </w:p>
    <w:p w14:paraId="3C2E66DC" w14:textId="77777777" w:rsidR="00A571FC" w:rsidRDefault="00A571FC" w:rsidP="00F675AA">
      <w:pPr>
        <w:rPr>
          <w:rFonts w:ascii="Times New Roman" w:hAnsi="Times New Roman" w:cs="Times New Roman"/>
          <w:sz w:val="20"/>
          <w:szCs w:val="20"/>
        </w:rPr>
      </w:pPr>
    </w:p>
    <w:p w14:paraId="64154790" w14:textId="0CABE7F8" w:rsidR="00A571FC" w:rsidRPr="002864A6" w:rsidRDefault="00A571FC" w:rsidP="00A571FC">
      <w:pPr>
        <w:rPr>
          <w:rFonts w:ascii="Times New Roman" w:hAnsi="Times New Roman" w:cs="Times New Roman"/>
          <w:sz w:val="20"/>
          <w:szCs w:val="20"/>
        </w:rPr>
      </w:pPr>
      <w:r w:rsidRPr="00A571FC">
        <w:rPr>
          <w:rFonts w:ascii="Times New Roman" w:hAnsi="Times New Roman" w:cs="Times New Roman"/>
          <w:b/>
          <w:bCs/>
          <w:sz w:val="20"/>
          <w:szCs w:val="20"/>
        </w:rPr>
        <w:t>Table 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71FC">
        <w:rPr>
          <w:rFonts w:ascii="Times New Roman" w:hAnsi="Times New Roman" w:cs="Times New Roman"/>
          <w:sz w:val="20"/>
          <w:szCs w:val="20"/>
        </w:rPr>
        <w:t>The mean values subscale scores for the complet</w:t>
      </w:r>
      <w:r>
        <w:rPr>
          <w:rFonts w:ascii="Times New Roman" w:hAnsi="Times New Roman" w:cs="Times New Roman"/>
          <w:sz w:val="20"/>
          <w:szCs w:val="20"/>
        </w:rPr>
        <w:t>ion</w:t>
      </w:r>
      <w:r w:rsidRPr="00A571FC">
        <w:rPr>
          <w:rFonts w:ascii="Times New Roman" w:hAnsi="Times New Roman" w:cs="Times New Roman"/>
          <w:sz w:val="20"/>
          <w:szCs w:val="20"/>
        </w:rPr>
        <w:t xml:space="preserve"> and non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571FC">
        <w:rPr>
          <w:rFonts w:ascii="Times New Roman" w:hAnsi="Times New Roman" w:cs="Times New Roman"/>
          <w:sz w:val="20"/>
          <w:szCs w:val="20"/>
        </w:rPr>
        <w:t>complet</w:t>
      </w:r>
      <w:r>
        <w:rPr>
          <w:rFonts w:ascii="Times New Roman" w:hAnsi="Times New Roman" w:cs="Times New Roman"/>
          <w:sz w:val="20"/>
          <w:szCs w:val="20"/>
        </w:rPr>
        <w:t>ion</w:t>
      </w:r>
      <w:r w:rsidRPr="00A571FC">
        <w:rPr>
          <w:rFonts w:ascii="Times New Roman" w:hAnsi="Times New Roman" w:cs="Times New Roman"/>
          <w:sz w:val="20"/>
          <w:szCs w:val="20"/>
        </w:rPr>
        <w:t xml:space="preserve"> groups of J-SQLS scores.</w:t>
      </w:r>
    </w:p>
    <w:p w14:paraId="62254548" w14:textId="4C106A2E" w:rsidR="00F675AA" w:rsidRDefault="00A571FC" w:rsidP="00F675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C650A9" wp14:editId="135C9D26">
            <wp:extent cx="5396230" cy="1962785"/>
            <wp:effectExtent l="0" t="0" r="1270" b="5715"/>
            <wp:docPr id="3022791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7910" name="図 302279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4739" w14:textId="4CD8A8E3" w:rsidR="00A571FC" w:rsidRDefault="00A571FC" w:rsidP="00F675AA">
      <w:pPr>
        <w:rPr>
          <w:rFonts w:ascii="Times New Roman" w:hAnsi="Times New Roman" w:cs="Times New Roman"/>
          <w:sz w:val="20"/>
          <w:szCs w:val="20"/>
        </w:rPr>
      </w:pPr>
      <w:r w:rsidRPr="00A571FC">
        <w:rPr>
          <w:rFonts w:ascii="Times New Roman" w:hAnsi="Times New Roman" w:cs="Times New Roman"/>
          <w:sz w:val="20"/>
          <w:szCs w:val="20"/>
        </w:rPr>
        <w:t xml:space="preserve">CG: program completion group; NG: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A571FC">
        <w:rPr>
          <w:rFonts w:ascii="Times New Roman" w:hAnsi="Times New Roman" w:cs="Times New Roman"/>
          <w:sz w:val="20"/>
          <w:szCs w:val="20"/>
        </w:rPr>
        <w:t xml:space="preserve">rogram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A571FC">
        <w:rPr>
          <w:rFonts w:ascii="Times New Roman" w:hAnsi="Times New Roman" w:cs="Times New Roman"/>
          <w:sz w:val="20"/>
          <w:szCs w:val="20"/>
        </w:rPr>
        <w:t>on-completion group; S.D: standard deviation</w:t>
      </w:r>
    </w:p>
    <w:p w14:paraId="573A53A2" w14:textId="36F8C406" w:rsidR="00A571FC" w:rsidRDefault="00A571FC" w:rsidP="00F675AA">
      <w:pPr>
        <w:rPr>
          <w:rFonts w:ascii="Times New Roman" w:hAnsi="Times New Roman" w:cs="Times New Roman"/>
          <w:sz w:val="20"/>
          <w:szCs w:val="20"/>
        </w:rPr>
      </w:pPr>
      <w:r w:rsidRPr="00A571FC">
        <w:rPr>
          <w:rFonts w:ascii="Times New Roman" w:hAnsi="Times New Roman" w:cs="Times New Roman"/>
          <w:sz w:val="20"/>
          <w:szCs w:val="20"/>
        </w:rPr>
        <w:t xml:space="preserve">ME: motivation / energy; PS: psychological / social relations; SS: symptoms / side effects; *: </w:t>
      </w:r>
      <w:r w:rsidRPr="00A571F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571FC"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74115BFC" w14:textId="050EC696" w:rsidR="00A571FC" w:rsidRDefault="006604F9" w:rsidP="00F675AA">
      <w:pPr>
        <w:rPr>
          <w:rFonts w:ascii="Times New Roman" w:hAnsi="Times New Roman" w:cs="Times New Roman"/>
          <w:sz w:val="20"/>
          <w:szCs w:val="20"/>
        </w:rPr>
      </w:pPr>
      <w:r w:rsidRPr="006604F9">
        <w:rPr>
          <w:rFonts w:ascii="Times New Roman" w:hAnsi="Times New Roman" w:cs="Times New Roman" w:hint="eastAsia"/>
          <w:sz w:val="20"/>
          <w:szCs w:val="20"/>
        </w:rPr>
        <w:t>¶</w:t>
      </w:r>
      <w:r w:rsidRPr="006604F9">
        <w:rPr>
          <w:rFonts w:ascii="Times New Roman" w:hAnsi="Times New Roman" w:cs="Times New Roman"/>
          <w:sz w:val="20"/>
          <w:szCs w:val="20"/>
        </w:rPr>
        <w:t>: Paired t-tests were used to analyze within-group comparisons</w:t>
      </w:r>
    </w:p>
    <w:p w14:paraId="2C9C373E" w14:textId="0B665A7A" w:rsidR="006604F9" w:rsidRDefault="006604F9" w:rsidP="00F675AA">
      <w:pPr>
        <w:rPr>
          <w:rFonts w:ascii="Times New Roman" w:hAnsi="Times New Roman" w:cs="Times New Roman"/>
          <w:sz w:val="20"/>
          <w:szCs w:val="20"/>
        </w:rPr>
      </w:pPr>
      <w:r w:rsidRPr="006604F9">
        <w:rPr>
          <w:rFonts w:ascii="Times New Roman" w:hAnsi="Times New Roman" w:cs="Times New Roman" w:hint="eastAsia"/>
          <w:sz w:val="20"/>
          <w:szCs w:val="20"/>
        </w:rPr>
        <w:t>§</w:t>
      </w:r>
      <w:r w:rsidRPr="006604F9">
        <w:rPr>
          <w:rFonts w:ascii="Times New Roman" w:hAnsi="Times New Roman" w:cs="Times New Roman"/>
          <w:sz w:val="20"/>
          <w:szCs w:val="20"/>
        </w:rPr>
        <w:t>: The amount of change means the improvements obtained by subtracting the before value from the after value.</w:t>
      </w:r>
    </w:p>
    <w:p w14:paraId="4A6BEAE5" w14:textId="77777777" w:rsidR="006604F9" w:rsidRPr="002864A6" w:rsidRDefault="006604F9" w:rsidP="00F675AA">
      <w:pPr>
        <w:rPr>
          <w:rFonts w:ascii="Times New Roman" w:hAnsi="Times New Roman" w:cs="Times New Roman"/>
          <w:sz w:val="20"/>
          <w:szCs w:val="20"/>
        </w:rPr>
      </w:pPr>
    </w:p>
    <w:p w14:paraId="27FEE252" w14:textId="77777777" w:rsidR="00E128A4" w:rsidRPr="002864A6" w:rsidRDefault="00E128A4">
      <w:pPr>
        <w:rPr>
          <w:rFonts w:ascii="Times New Roman" w:hAnsi="Times New Roman" w:cs="Times New Roman"/>
          <w:sz w:val="20"/>
          <w:szCs w:val="20"/>
        </w:rPr>
      </w:pPr>
    </w:p>
    <w:sectPr w:rsidR="00E128A4" w:rsidRPr="002864A6" w:rsidSect="007A1776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AA"/>
    <w:rsid w:val="002864A6"/>
    <w:rsid w:val="003A0F1A"/>
    <w:rsid w:val="003C6060"/>
    <w:rsid w:val="00417517"/>
    <w:rsid w:val="006604F9"/>
    <w:rsid w:val="007A1776"/>
    <w:rsid w:val="008B4870"/>
    <w:rsid w:val="008E6565"/>
    <w:rsid w:val="008F7231"/>
    <w:rsid w:val="009536BB"/>
    <w:rsid w:val="009D7B0A"/>
    <w:rsid w:val="00A571FC"/>
    <w:rsid w:val="00AE28E9"/>
    <w:rsid w:val="00B21BCF"/>
    <w:rsid w:val="00C34BC8"/>
    <w:rsid w:val="00C70808"/>
    <w:rsid w:val="00D16F33"/>
    <w:rsid w:val="00E07A4E"/>
    <w:rsid w:val="00E128A4"/>
    <w:rsid w:val="00EB4D42"/>
    <w:rsid w:val="00F33433"/>
    <w:rsid w:val="00F6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499B3"/>
  <w15:chartTrackingRefBased/>
  <w15:docId w15:val="{E2E927BC-BEF3-3D4B-90CE-5CC36374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675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5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5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5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5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5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5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5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5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5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5AA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F675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5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5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5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5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5A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樽谷 精一郎</dc:creator>
  <cp:lastModifiedBy>Trupti Sudge</cp:lastModifiedBy>
  <cp:revision>3</cp:revision>
  <cp:lastPrinted>2024-09-02T05:35:00Z</cp:lastPrinted>
  <dcterms:created xsi:type="dcterms:W3CDTF">2024-09-02T05:40:00Z</dcterms:created>
  <dcterms:modified xsi:type="dcterms:W3CDTF">2024-09-02T05:41:00Z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2024-08-03T07:56:44Z</vt:filetime>
  </property>
</Properties>
</file>