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b/>
          <w:bCs/>
          <w:lang w:val="en-US" w:eastAsia="zh-CN"/>
        </w:rPr>
      </w:pPr>
      <w:bookmarkStart w:id="0" w:name="_GoBack"/>
      <w:r>
        <w:rPr>
          <w:rFonts w:hint="eastAsia"/>
          <w:b/>
          <w:bCs/>
          <w:lang w:val="en-US" w:eastAsia="zh-CN"/>
        </w:rPr>
        <w:t>Supplement dada 1:</w:t>
      </w:r>
    </w:p>
    <w:bookmarkEnd w:id="0"/>
    <w:p>
      <w:pPr>
        <w:rPr>
          <w:rFonts w:hint="default"/>
          <w:lang w:val="en-US" w:eastAsia="zh-CN"/>
        </w:rPr>
      </w:pPr>
    </w:p>
    <w:p>
      <w:pPr>
        <w:rPr>
          <w:rFonts w:hint="eastAsia"/>
        </w:rPr>
      </w:pPr>
      <w:r>
        <w:rPr>
          <w:rFonts w:hint="eastAsia"/>
        </w:rPr>
        <w:t>This study investigates predictors of post-PCI ventricular fibrillation (VF) in acute myocardial infarction (AMI) patients by analyzing comprehensive clinical data. Our findings reveal significant differences between the VF and non-VF groups across various parameters:</w:t>
      </w:r>
    </w:p>
    <w:p>
      <w:pPr>
        <w:rPr>
          <w:rFonts w:hint="eastAsia"/>
        </w:rPr>
      </w:pPr>
    </w:p>
    <w:p>
      <w:pPr>
        <w:rPr>
          <w:rFonts w:hint="eastAsia"/>
        </w:rPr>
      </w:pPr>
      <w:r>
        <w:rPr>
          <w:rFonts w:hint="eastAsia"/>
        </w:rPr>
        <w:t>Hemodynamics and Morphology: Patients experiencing VF exhibited significantly lower left ventricle ejection fraction (LVEF) and higher left ventricular end-diastolic volume (LVEDV) indicating poorer left ventricular systolic function and potential heart enlargement. They also had a larger left atrium diameter (LADd) suggesting left atrial enlargement, a common consequence of chronic heart failure.</w:t>
      </w:r>
    </w:p>
    <w:p>
      <w:pPr>
        <w:rPr>
          <w:rFonts w:hint="eastAsia"/>
        </w:rPr>
      </w:pPr>
    </w:p>
    <w:p>
      <w:pPr>
        <w:rPr>
          <w:rFonts w:hint="eastAsia"/>
        </w:rPr>
      </w:pPr>
      <w:r>
        <w:rPr>
          <w:rFonts w:hint="eastAsia"/>
        </w:rPr>
        <w:t>Biochemistry: The VF group presented with higher uric acid and total bilirubin levels, implying potential kidney and liver dysfunction, respectively. Conversely, they had lower albumin and red blood cell count, which could indicate malnutrition or anemia, conditions often associated with poorer outcomes in cardiac patients.</w:t>
      </w:r>
    </w:p>
    <w:p>
      <w:pPr>
        <w:rPr>
          <w:rFonts w:hint="eastAsia"/>
        </w:rPr>
      </w:pPr>
    </w:p>
    <w:p>
      <w:pPr>
        <w:rPr>
          <w:rFonts w:hint="eastAsia"/>
        </w:rPr>
      </w:pPr>
      <w:r>
        <w:rPr>
          <w:rFonts w:hint="eastAsia"/>
        </w:rPr>
        <w:t>Inflammatory Markers: Although not statistically significant, the VF group showed a trend toward higher gamma-glutamyl transferase (GGT), a marker of liver stress, and lower absolute eosinophil count (AEC), potentially reflecting increased inflammation and immune dysregulation.</w:t>
      </w:r>
    </w:p>
    <w:p>
      <w:pPr>
        <w:rPr>
          <w:rFonts w:hint="eastAsia"/>
        </w:rPr>
      </w:pPr>
    </w:p>
    <w:p>
      <w:pPr>
        <w:rPr>
          <w:rFonts w:hint="eastAsia"/>
        </w:rPr>
      </w:pPr>
      <w:r>
        <w:rPr>
          <w:rFonts w:hint="eastAsia"/>
        </w:rPr>
        <w:t>Coronary Angiography: Notably, the VF group had a significantly higher prevalence of left circumflex artery occlusion (LCxo), suggesting that the location of coronary artery disease might play a role in VF risk.</w:t>
      </w:r>
    </w:p>
    <w:p>
      <w:pPr>
        <w:rPr>
          <w:rFonts w:hint="eastAsia"/>
        </w:rPr>
      </w:pPr>
    </w:p>
    <w:p>
      <w:pPr>
        <w:rPr>
          <w:rFonts w:hint="eastAsia"/>
        </w:rPr>
      </w:pPr>
      <w:r>
        <w:rPr>
          <w:rFonts w:hint="eastAsia"/>
        </w:rPr>
        <w:t>Echocardiography: The VF group demonstrated a higher prevalence of pulmonary hypertension and larger right ventricle end-diastolic diameter (RVEDd), pointing towards a possible association between right ventricular dysfunction and VF risk.</w:t>
      </w:r>
    </w:p>
    <w:p>
      <w:pPr>
        <w:rPr>
          <w:rFonts w:hint="eastAsia"/>
        </w:rPr>
      </w:pPr>
    </w:p>
    <w:p>
      <w:r>
        <w:rPr>
          <w:rFonts w:hint="eastAsia"/>
        </w:rPr>
        <w:t>These findings suggest that pre-existing organ dysfunction (heart, liver, kidney), specific coronary anatomy (LCxo), and hematological abnormalities might contribute to VF development after PCI in AMI patients. This emphasizes the need for a comprehensive assessment of these parameters to identify high-risk individuals and guide targeted interventions for improved outcomes.</w:t>
      </w:r>
    </w:p>
    <w:p/>
    <w:p>
      <w:r>
        <w:rPr>
          <w:rFonts w:hint="eastAsia"/>
          <w:b/>
          <w:bCs/>
          <w:lang w:val="en-US" w:eastAsia="zh-CN"/>
        </w:rPr>
        <w:t>Table supplement. Characters for all enrolled subjects</w:t>
      </w:r>
    </w:p>
    <w:tbl>
      <w:tblPr>
        <w:tblW w:w="804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2912"/>
        <w:gridCol w:w="1543"/>
        <w:gridCol w:w="1544"/>
        <w:gridCol w:w="1544"/>
        <w:gridCol w:w="8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95" w:hRule="atLeast"/>
        </w:trPr>
        <w:tc>
          <w:tcPr>
            <w:tcW w:w="3720" w:type="dxa"/>
            <w:tcBorders>
              <w:top w:val="single" w:color="000000" w:sz="8" w:space="0"/>
              <w:left w:val="nil"/>
              <w:bottom w:val="single" w:color="000000" w:sz="8" w:space="0"/>
              <w:right w:val="nil"/>
            </w:tcBorders>
            <w:shd w:val="clear" w:color="auto" w:fill="FFFFFF"/>
            <w:noWrap/>
            <w:vAlign w:val="bottom"/>
          </w:tcPr>
          <w:p>
            <w:pPr>
              <w:keepNext w:val="0"/>
              <w:keepLines w:val="0"/>
              <w:widowControl/>
              <w:suppressLineNumbers w:val="0"/>
              <w:jc w:val="left"/>
              <w:textAlignment w:val="bottom"/>
              <w:rPr>
                <w:rFonts w:ascii="Arial" w:hAnsi="Arial" w:eastAsia="宋体" w:cs="Arial"/>
                <w:b/>
                <w:bCs/>
                <w:i w:val="0"/>
                <w:iCs w:val="0"/>
                <w:color w:val="000000"/>
                <w:sz w:val="15"/>
                <w:szCs w:val="15"/>
                <w:u w:val="none"/>
              </w:rPr>
            </w:pPr>
            <w:r>
              <w:rPr>
                <w:rFonts w:hint="default" w:ascii="Arial" w:hAnsi="Arial" w:eastAsia="宋体" w:cs="Arial"/>
                <w:b/>
                <w:bCs/>
                <w:i w:val="0"/>
                <w:iCs w:val="0"/>
                <w:color w:val="000000"/>
                <w:kern w:val="0"/>
                <w:sz w:val="15"/>
                <w:szCs w:val="15"/>
                <w:u w:val="none"/>
                <w:bdr w:val="none" w:color="auto" w:sz="0" w:space="0"/>
                <w:lang w:val="en-US" w:eastAsia="zh-CN" w:bidi="ar"/>
              </w:rPr>
              <w:t>Characteristic</w:t>
            </w:r>
          </w:p>
        </w:tc>
        <w:tc>
          <w:tcPr>
            <w:tcW w:w="1080" w:type="dxa"/>
            <w:tcBorders>
              <w:top w:val="single" w:color="000000" w:sz="8" w:space="0"/>
              <w:left w:val="nil"/>
              <w:bottom w:val="single" w:color="000000" w:sz="8" w:space="0"/>
              <w:right w:val="nil"/>
            </w:tcBorders>
            <w:shd w:val="clear" w:color="auto" w:fill="FFFFFF"/>
            <w:noWrap/>
            <w:vAlign w:val="bottom"/>
          </w:tcPr>
          <w:p>
            <w:pPr>
              <w:keepNext w:val="0"/>
              <w:keepLines w:val="0"/>
              <w:widowControl/>
              <w:suppressLineNumbers w:val="0"/>
              <w:jc w:val="left"/>
              <w:textAlignment w:val="bottom"/>
              <w:rPr>
                <w:rFonts w:hint="default" w:ascii="Arial" w:hAnsi="Arial" w:eastAsia="宋体" w:cs="Arial"/>
                <w:b/>
                <w:bCs/>
                <w:i w:val="0"/>
                <w:iCs w:val="0"/>
                <w:color w:val="000000"/>
                <w:sz w:val="15"/>
                <w:szCs w:val="15"/>
                <w:u w:val="none"/>
              </w:rPr>
            </w:pPr>
            <w:r>
              <w:rPr>
                <w:rFonts w:hint="default" w:ascii="Arial" w:hAnsi="Arial" w:eastAsia="宋体" w:cs="Arial"/>
                <w:b/>
                <w:bCs/>
                <w:i w:val="0"/>
                <w:iCs w:val="0"/>
                <w:color w:val="000000"/>
                <w:kern w:val="0"/>
                <w:sz w:val="15"/>
                <w:szCs w:val="15"/>
                <w:u w:val="none"/>
                <w:bdr w:val="none" w:color="auto" w:sz="0" w:space="0"/>
                <w:lang w:val="en-US" w:eastAsia="zh-CN" w:bidi="ar"/>
              </w:rPr>
              <w:t>Toral</w:t>
            </w:r>
          </w:p>
        </w:tc>
        <w:tc>
          <w:tcPr>
            <w:tcW w:w="1080" w:type="dxa"/>
            <w:tcBorders>
              <w:top w:val="single" w:color="000000" w:sz="8" w:space="0"/>
              <w:left w:val="nil"/>
              <w:bottom w:val="single" w:color="000000" w:sz="8" w:space="0"/>
              <w:right w:val="nil"/>
            </w:tcBorders>
            <w:shd w:val="clear" w:color="auto" w:fill="FFFFFF"/>
            <w:noWrap/>
            <w:vAlign w:val="bottom"/>
          </w:tcPr>
          <w:p>
            <w:pPr>
              <w:keepNext w:val="0"/>
              <w:keepLines w:val="0"/>
              <w:widowControl/>
              <w:suppressLineNumbers w:val="0"/>
              <w:jc w:val="left"/>
              <w:textAlignment w:val="bottom"/>
              <w:rPr>
                <w:rFonts w:hint="default" w:ascii="Arial" w:hAnsi="Arial" w:eastAsia="宋体" w:cs="Arial"/>
                <w:b/>
                <w:bCs/>
                <w:i w:val="0"/>
                <w:iCs w:val="0"/>
                <w:color w:val="000000"/>
                <w:sz w:val="15"/>
                <w:szCs w:val="15"/>
                <w:u w:val="none"/>
              </w:rPr>
            </w:pPr>
            <w:r>
              <w:rPr>
                <w:rFonts w:hint="default" w:ascii="Arial" w:hAnsi="Arial" w:eastAsia="宋体" w:cs="Arial"/>
                <w:b/>
                <w:bCs/>
                <w:i w:val="0"/>
                <w:iCs w:val="0"/>
                <w:color w:val="000000"/>
                <w:kern w:val="0"/>
                <w:sz w:val="15"/>
                <w:szCs w:val="15"/>
                <w:u w:val="none"/>
                <w:bdr w:val="none" w:color="auto" w:sz="0" w:space="0"/>
                <w:lang w:val="en-US" w:eastAsia="zh-CN" w:bidi="ar"/>
              </w:rPr>
              <w:t>non-VF group, n= 128</w:t>
            </w:r>
          </w:p>
        </w:tc>
        <w:tc>
          <w:tcPr>
            <w:tcW w:w="1080" w:type="dxa"/>
            <w:tcBorders>
              <w:top w:val="single" w:color="000000" w:sz="8" w:space="0"/>
              <w:left w:val="nil"/>
              <w:bottom w:val="single" w:color="000000" w:sz="8" w:space="0"/>
              <w:right w:val="nil"/>
            </w:tcBorders>
            <w:shd w:val="clear" w:color="auto" w:fill="FFFFFF"/>
            <w:noWrap/>
            <w:vAlign w:val="bottom"/>
          </w:tcPr>
          <w:p>
            <w:pPr>
              <w:keepNext w:val="0"/>
              <w:keepLines w:val="0"/>
              <w:widowControl/>
              <w:suppressLineNumbers w:val="0"/>
              <w:jc w:val="left"/>
              <w:textAlignment w:val="bottom"/>
              <w:rPr>
                <w:rFonts w:hint="default" w:ascii="Arial" w:hAnsi="Arial" w:eastAsia="宋体" w:cs="Arial"/>
                <w:b/>
                <w:bCs/>
                <w:i w:val="0"/>
                <w:iCs w:val="0"/>
                <w:color w:val="000000"/>
                <w:sz w:val="15"/>
                <w:szCs w:val="15"/>
                <w:u w:val="none"/>
              </w:rPr>
            </w:pPr>
            <w:r>
              <w:rPr>
                <w:rFonts w:hint="default" w:ascii="Arial" w:hAnsi="Arial" w:eastAsia="宋体" w:cs="Arial"/>
                <w:b/>
                <w:bCs/>
                <w:i w:val="0"/>
                <w:iCs w:val="0"/>
                <w:color w:val="000000"/>
                <w:kern w:val="0"/>
                <w:sz w:val="15"/>
                <w:szCs w:val="15"/>
                <w:u w:val="none"/>
                <w:bdr w:val="none" w:color="auto" w:sz="0" w:space="0"/>
                <w:lang w:val="en-US" w:eastAsia="zh-CN" w:bidi="ar"/>
              </w:rPr>
              <w:t xml:space="preserve">VF group, </w:t>
            </w:r>
            <w:r>
              <w:rPr>
                <w:rStyle w:val="4"/>
                <w:rFonts w:eastAsia="宋体"/>
                <w:bdr w:val="none" w:color="auto" w:sz="0" w:space="0"/>
                <w:lang w:val="en-US" w:eastAsia="zh-CN" w:bidi="ar"/>
              </w:rPr>
              <w:t>n = 34</w:t>
            </w:r>
          </w:p>
        </w:tc>
        <w:tc>
          <w:tcPr>
            <w:tcW w:w="1080" w:type="dxa"/>
            <w:tcBorders>
              <w:top w:val="single" w:color="000000" w:sz="8" w:space="0"/>
              <w:left w:val="nil"/>
              <w:bottom w:val="single" w:color="000000" w:sz="8" w:space="0"/>
              <w:right w:val="nil"/>
            </w:tcBorders>
            <w:shd w:val="clear" w:color="auto" w:fill="FFFFFF"/>
            <w:noWrap/>
            <w:vAlign w:val="bottom"/>
          </w:tcPr>
          <w:p>
            <w:pPr>
              <w:keepNext w:val="0"/>
              <w:keepLines w:val="0"/>
              <w:widowControl/>
              <w:suppressLineNumbers w:val="0"/>
              <w:jc w:val="left"/>
              <w:textAlignment w:val="bottom"/>
              <w:rPr>
                <w:rFonts w:hint="default" w:ascii="Arial" w:hAnsi="Arial" w:eastAsia="宋体" w:cs="Arial"/>
                <w:b/>
                <w:bCs/>
                <w:i w:val="0"/>
                <w:iCs w:val="0"/>
                <w:color w:val="000000"/>
                <w:sz w:val="15"/>
                <w:szCs w:val="15"/>
                <w:u w:val="none"/>
              </w:rPr>
            </w:pPr>
            <w:r>
              <w:rPr>
                <w:rFonts w:hint="default" w:ascii="Arial" w:hAnsi="Arial" w:eastAsia="宋体" w:cs="Arial"/>
                <w:b/>
                <w:bCs/>
                <w:i w:val="0"/>
                <w:iCs w:val="0"/>
                <w:color w:val="000000"/>
                <w:kern w:val="0"/>
                <w:sz w:val="15"/>
                <w:szCs w:val="15"/>
                <w:u w:val="none"/>
                <w:bdr w:val="none" w:color="auto" w:sz="0" w:space="0"/>
                <w:lang w:val="en-US" w:eastAsia="zh-CN" w:bidi="ar"/>
              </w:rPr>
              <w:t xml:space="preserve">P </w:t>
            </w:r>
            <w:r>
              <w:rPr>
                <w:rStyle w:val="4"/>
                <w:rFonts w:eastAsia="宋体"/>
                <w:bdr w:val="none" w:color="auto" w:sz="0" w:space="0"/>
                <w:lang w:val="en-US" w:eastAsia="zh-CN" w:bidi="ar"/>
              </w:rPr>
              <w:t>value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Uric Acid (mmol/L)</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354.45 (291.58, 413.73)</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342.70 (287.85, 401.02)</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392.65 (348.98, 495.22)</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ALP(U/L)</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27.50 (19.00, 41.25)</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28.00 (21.00, 41.00)</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26.00 (17.00, 41.50)</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0.684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GGT (U/L)</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27.00 (17.00, 41.00)</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26.00 (17.00, 37.00)</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32.00 (21.00, 62.25)</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Total Protein (g/L)</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26.10 (23.90, 28.10)</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25.90 (23.65, 27.95)</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27.10 (25.50, 29.10)</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0.083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Globulin (g/L)</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36.90 (34.30, 39.20)</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36.80 (34.35, 38.95)</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37.75 (33.02, 40.20)</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0.654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Albumin (g/L)</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7.62 (6.28, 8.80)</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7.65 (6.52, 9.04)</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6.63 (5.27, 8.32)</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0.026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Cholinesterase (U/L)</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13.03 (9.50, 18.36)</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12.62 (9.39, 18.11)</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14.59 (12.29, 19.69)</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0.048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Total Bilirubin (mmol/L)</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2.49 (1.73, 3.57)</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2.30 (1.70, 3.46)</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3.54 (1.96, 6.02)</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Direct Bilirubin (mmol/L)</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10.45 (7.69, 14.63)</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10.22 (7.65, 14.40)</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11.07 (8.35, 15.77)</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0.514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Indirect Bilirubin (mmol/L)</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4.53 (3.61, 5.28)</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4.57 (3.74, 5.28)</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4.08 (3.28, 5.15)</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0.106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WBC(10^9/L)</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8.98 (7.29, 11.25)</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8.98 (7.35, 10.91)</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9.25 (6.85, 12.73)</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0.369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RBC(10^12/L)</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4.53 (4.17, 4.81)</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4.59 (4.27, 4.83)</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4.14 (3.80, 4.51)</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HCT(%)</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41.70 (38.65, 44.75)</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42.10 (39.35, 44.85)</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38.40 (34.25, 43.70)</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MCV(fL)</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92.40 (89.95, 95.65)</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92.60 (90.20, 96.00)</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90.85 (89.15, 94.47)</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0.251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MCH(pg)</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30.80 (29.70, 32.05)</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30.90 (29.75, 32.05)</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30.75 (29.27, 31.75)</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0.498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MCHC(g/L)</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332.88 ± 15.19</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332.70 ± 15.72</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333.66 ± 12.89</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0.749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PLT(10^9/L)</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216.00 (174.50, 258.50)</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220.00 (177.50, 260.50)</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202.50 (170.00, 225.00)</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AMC(10^9/L)</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0.46 (0.33, 0.63)</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0.44 (0.33, 0.58)</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0.56 (0.30, 0.72)</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RDW(fL)</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13.00 (12.40, 13.70)</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13.00 (12.50, 13.60)</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12.65 (12.17, 13.90)</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0.511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ALC(10^9/L)</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1.59 (1.11, 2.39)</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1.65 (1.19, 2.42)</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1.23 (0.93, 2.22)</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0.055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MPV(fL)</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9.60 (8.60, 10.62)</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9.60 (8.40, 10.62)</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9.90 (9.05, 10.62)</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0.257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ABC(10^9/L)</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0.02 (0.01, 0.03)</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0.02 (0.01, 0.03)</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0.02 (0.01, 0.03)</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0.881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AEC(10^9/L)</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0.09 (0.04, 0.15)</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0.10 (0.06, 0.15)</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0.04 (0.01, 0.11)</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Hb(g/L)</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139.00 (128.00, 150.00)</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140.00 (132.00, 150.50)</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127.50 (113.50, 145.25)</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PDW(%)</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13.30 (11.05, 15.30)</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12.80 (10.80, 14.55)</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15.95 (14.30, 16.32)</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PCT(%)</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0.21 (0.17, 0.25)</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0.21 (0.17, 0.26)</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0.20 (0.18, 0.21)</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0.139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ANC(10^9/L)</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6.58 (4.96, 8.64)</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6.40 (4.96, 8.20)</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7.40 (4.91, 10.08)</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0.142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AWMI(n, %)</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53 (31.18%)</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35 (25.74%)</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18 (52.94%)</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0.255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ASMI(n, %)</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6 (3.53%)</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3 (2.21%)</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3 (8.82%)</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0.795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IWMI(n, %)</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49 (28.82%)</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40 (29.41%)</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9 (26.47%)</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PWMI(n, %)</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18 (10.59%)</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16 (11.76%)</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2 (5.88%)</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LWMI(n, %)</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7 (4.12%)</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6 (4.41%)</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 (2.94%)</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RVMI(n, %)</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 (0.59%)</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 (0.00%)</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 (2.94%)</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LADd(mm)</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3.70 (3.45, 4.07)</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3.70 (3.40, 4.00)</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3.95 (3.65, 4.25)</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0.016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LADs(mm)</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5.20 (4.80, 5.66)</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5.20 (4.80, 5.60)</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5.60 (5.15, 5.80)</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0.047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LVEDd(mm)</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3.60 (3.10, 4.20)</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3.50 (3.00, 4.00)</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4.10 (3.94, 4.40)</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LVEDs(mm)</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129.51 (107.52, 153.66)</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129.51 (107.52, 153.66)</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141.31 (125.23, 158.92)</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0.203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LVEDV(mL)</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54.43 (37.92, 78.58)</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50.87 (35.00, 72.11)</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74.29 (66.72, 87.69)</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LVESV(mL)</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74.85 ± 15.88</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76.54 ± 15.62</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64.50 ± 13.68</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0.001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SV(mL)</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0.59 (0.47, 0.66)</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0.61 (0.53, 0.67)</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0.46 (0.41, 0.53)</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FS(%)</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1.69 (1.50, 1.90)</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1.60 (1.50, 1.80)</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1.90 (1.70, 2.20)</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RVEDd(mm)</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77.75 ± 19.30</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77.26 ± 19.25</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80.19 ± 19.74</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0.491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RVEDs(mm)</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79.00 (66.25, 95.00)</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79.00 (69.00, 95.00)</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72.30 (53.00, 94.00)</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0.091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Mitral Regurgitation(n, %)</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91.00 (77.50, 102.00)</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94.00 (80.00, 104.50)</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84.00 (66.75, 95.00)</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AtrioVentricular Forward(n, %)</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238.00 (207.00, 271.00)</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235.00 (205.00, 259.50)</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276.00 (221.50, 317.50)</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LVOTd(mm)</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18 (10.59%)</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2 (1.47%)</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16 (47.06%)</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Tricuspid Regurgitation(n, %)</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8 (4.71%)</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3 (2.21%)</w:t>
            </w:r>
          </w:p>
        </w:tc>
        <w:tc>
          <w:tcPr>
            <w:tcW w:w="0" w:type="auto"/>
            <w:tcBorders>
              <w:top w:val="nil"/>
              <w:left w:val="nil"/>
              <w:bottom w:val="nil"/>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5 (14.71%)</w:t>
            </w:r>
          </w:p>
        </w:tc>
        <w:tc>
          <w:tcPr>
            <w:tcW w:w="0" w:type="auto"/>
            <w:tcBorders>
              <w:top w:val="nil"/>
              <w:left w:val="nil"/>
              <w:bottom w:val="nil"/>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0.268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nil"/>
              <w:left w:val="nil"/>
              <w:bottom w:val="single" w:color="000000" w:sz="4" w:space="0"/>
              <w:right w:val="nil"/>
            </w:tcBorders>
            <w:shd w:val="clear"/>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15"/>
                <w:szCs w:val="15"/>
                <w:u w:val="none"/>
              </w:rPr>
            </w:pPr>
            <w:r>
              <w:rPr>
                <w:rFonts w:hint="eastAsia" w:ascii="宋体" w:hAnsi="宋体" w:eastAsia="宋体" w:cs="宋体"/>
                <w:b/>
                <w:bCs/>
                <w:i w:val="0"/>
                <w:iCs w:val="0"/>
                <w:color w:val="000000"/>
                <w:kern w:val="0"/>
                <w:sz w:val="15"/>
                <w:szCs w:val="15"/>
                <w:u w:val="none"/>
                <w:bdr w:val="none" w:color="auto" w:sz="0" w:space="0"/>
                <w:lang w:val="en-US" w:eastAsia="zh-CN" w:bidi="ar"/>
              </w:rPr>
              <w:t>Pulmonary Hypertension(n, %)</w:t>
            </w:r>
          </w:p>
        </w:tc>
        <w:tc>
          <w:tcPr>
            <w:tcW w:w="0" w:type="auto"/>
            <w:tcBorders>
              <w:top w:val="nil"/>
              <w:left w:val="nil"/>
              <w:bottom w:val="single" w:color="000000" w:sz="4" w:space="0"/>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129 (75.88%)</w:t>
            </w:r>
          </w:p>
        </w:tc>
        <w:tc>
          <w:tcPr>
            <w:tcW w:w="0" w:type="auto"/>
            <w:tcBorders>
              <w:top w:val="nil"/>
              <w:left w:val="nil"/>
              <w:bottom w:val="single" w:color="000000" w:sz="4" w:space="0"/>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100 (73.53%)</w:t>
            </w:r>
          </w:p>
        </w:tc>
        <w:tc>
          <w:tcPr>
            <w:tcW w:w="0" w:type="auto"/>
            <w:tcBorders>
              <w:top w:val="nil"/>
              <w:left w:val="nil"/>
              <w:bottom w:val="single" w:color="000000" w:sz="4" w:space="0"/>
              <w:right w:val="nil"/>
            </w:tcBorders>
            <w:shd w:val="clear"/>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29 (85.29%)</w:t>
            </w:r>
          </w:p>
        </w:tc>
        <w:tc>
          <w:tcPr>
            <w:tcW w:w="0" w:type="auto"/>
            <w:tcBorders>
              <w:top w:val="nil"/>
              <w:left w:val="nil"/>
              <w:bottom w:val="single" w:color="000000" w:sz="4" w:space="0"/>
              <w:right w:val="nil"/>
            </w:tcBorders>
            <w:shd w:val="clear"/>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bdr w:val="none" w:color="auto" w:sz="0" w:space="0"/>
                <w:lang w:val="en-US" w:eastAsia="zh-CN" w:bidi="ar"/>
              </w:rPr>
              <w:t>0.034</w:t>
            </w:r>
          </w:p>
        </w:tc>
      </w:tr>
    </w:tbl>
    <w:p>
      <w:pPr>
        <w:rPr>
          <w:rFonts w:hint="eastAsia" w:eastAsiaTheme="minorEastAsia"/>
          <w:lang w:val="en-US" w:eastAsia="zh-CN"/>
        </w:rPr>
      </w:pPr>
      <w:r>
        <w:rPr>
          <w:rFonts w:hint="eastAsia"/>
        </w:rPr>
        <w:t>ALP, Alkaline Phosphatase; GGT, Gamma Glutamyl Transferase; WBC, White Blood Cells; RBC, Red Blood Cells; HCT, Hematocrit; MCV, Mean Corpuscular Volume; MCH, Mean Corpuscular Hemoglobin; MCHC, Mean Corpuscular Hemoglobin Concentration; PLT, Platelets; AMC, Absolute Monocyte Count; RDW, Red Cell Distribution Width; ALC, Absolute Lymphocyte Count; MPV, Mean Platelet Volume; ABC, Absolute Basophil Count; AEC, Absolute Eosinophil Count; Hb, Hemoglobin; PDW, Platelet Distribution Width; PCT, Plateletcrit; ANC, Absolute Neutrophil Count; AWMI, Anterior Wall Myocardial Infarction; ASMI, Anterior Septal Myocardial Infarction; IWMI, Inferior Wall Myocardial Infarction; PWMI, Posterior Wall Myocardial Infarction; LWMI, Lateral Wall Myocardial Infarction; RVMI, Right Ventricular Myocardial Infarction; LADd, Left Atrium - End Diastolic Diameter; LADs, Left Atrium - End Systolic Diameter; LVEDd, Left Ventricle - End Diastolic Diameter; LVEDs, Left Ventricle - End Systolic Diameter; LVEDV, Left Ventricle - End Diastolic Volume; LVESV, Left Ventricle - End Systolic Volume; SV, Stroke Volume; FS, Fractional Shortening; RVEDd, Right Ventricle - End Diastolic Diameter; RVEDs, Right Ventricle - End Systolic Diameter; LVOTd, Left Ventricular Outflow Tract - Diameter</w:t>
      </w:r>
      <w:r>
        <w:rPr>
          <w:rFonts w:hint="eastAsia"/>
          <w:lang w:val="en-US"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VmNTg1MmJkM2FjZmRmZTk2N2RlMGE3Yzk5NTdhYjIifQ=="/>
  </w:docVars>
  <w:rsids>
    <w:rsidRoot w:val="00000000"/>
    <w:rsid w:val="3E640126"/>
    <w:rsid w:val="67321A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customStyle="1" w:styleId="4">
    <w:name w:val="font11"/>
    <w:basedOn w:val="3"/>
    <w:uiPriority w:val="0"/>
    <w:rPr>
      <w:rFonts w:hint="default" w:ascii="Arial" w:hAnsi="Arial" w:cs="Arial"/>
      <w:b/>
      <w:bCs/>
      <w:color w:val="000000"/>
      <w:sz w:val="15"/>
      <w:szCs w:val="15"/>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2</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2024-07-20T00:17:00Z</dcterms:created>
  <dc:creator>fengz</dc:creator>
  <cp:lastModifiedBy>风华三少</cp:lastModifiedBy>
  <dcterms:modified xsi:type="dcterms:W3CDTF">2024-07-20T00:30:58Z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A7B50B0BE6EA4E629E2E36A5B2FB604F_12</vt:lpwstr>
  </property>
</Properties>
</file>