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13BA8"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color w:val="231F20"/>
          <w:kern w:val="0"/>
          <w:sz w:val="36"/>
          <w:szCs w:val="36"/>
          <w:lang w:val="en-US" w:eastAsia="zh-CN" w:bidi="ar"/>
        </w:rPr>
      </w:pPr>
      <w:bookmarkStart w:id="0" w:name="OLE_LINK38"/>
      <w:bookmarkStart w:id="1" w:name="OLE_LINK17"/>
      <w:bookmarkStart w:id="2" w:name="OLE_LINK1"/>
      <w:r>
        <w:rPr>
          <w:rFonts w:hint="default" w:ascii="Times New Roman" w:hAnsi="Times New Roman" w:eastAsia="宋体" w:cs="Times New Roman"/>
          <w:b/>
          <w:bCs/>
          <w:color w:val="231F20"/>
          <w:kern w:val="0"/>
          <w:sz w:val="36"/>
          <w:szCs w:val="36"/>
          <w:lang w:val="en-US" w:eastAsia="zh-CN" w:bidi="ar"/>
        </w:rPr>
        <w:t>The effect of 5-item modified frailty index on clinical outcomes in elderly rectal cancer patients</w:t>
      </w:r>
      <w:bookmarkEnd w:id="0"/>
      <w:r>
        <w:rPr>
          <w:rFonts w:hint="default" w:ascii="Times New Roman" w:hAnsi="Times New Roman" w:eastAsia="宋体" w:cs="Times New Roman"/>
          <w:b/>
          <w:bCs/>
          <w:color w:val="231F20"/>
          <w:kern w:val="0"/>
          <w:sz w:val="36"/>
          <w:szCs w:val="36"/>
          <w:lang w:val="en-US" w:eastAsia="zh-CN" w:bidi="ar"/>
        </w:rPr>
        <w:t xml:space="preserve"> after curative surgery</w:t>
      </w:r>
    </w:p>
    <w:p w14:paraId="0FDFA82D"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color w:val="231F20"/>
          <w:kern w:val="0"/>
          <w:sz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231F20"/>
          <w:kern w:val="0"/>
          <w:sz w:val="24"/>
          <w:lang w:val="en-US" w:eastAsia="zh-CN" w:bidi="ar"/>
        </w:rPr>
        <w:t>Wu et al.</w:t>
      </w:r>
    </w:p>
    <w:p w14:paraId="68DBC0B2"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color w:val="231F20"/>
          <w:kern w:val="0"/>
          <w:sz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231F20"/>
          <w:kern w:val="0"/>
          <w:sz w:val="24"/>
          <w:lang w:val="en-US" w:eastAsia="zh-CN" w:bidi="ar"/>
        </w:rPr>
        <w:t>(Supplementary materials)</w:t>
      </w:r>
      <w:bookmarkEnd w:id="1"/>
    </w:p>
    <w:p w14:paraId="5FC3AE3A">
      <w:pPr>
        <w:jc w:val="both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4F16EFE">
      <w:pPr>
        <w:jc w:val="both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 Table 1</w:t>
      </w:r>
      <w:bookmarkEnd w:id="2"/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Unadjusted postoperative outcomes stratified by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 xml:space="preserve"> 5-item modified frailty index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W w:w="118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1"/>
        <w:gridCol w:w="1176"/>
        <w:gridCol w:w="1788"/>
        <w:gridCol w:w="1768"/>
        <w:gridCol w:w="1738"/>
        <w:gridCol w:w="1028"/>
      </w:tblGrid>
      <w:tr w14:paraId="4CD6A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321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 w14:paraId="7123A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Outcome, n (%)</w:t>
            </w:r>
          </w:p>
        </w:tc>
        <w:tc>
          <w:tcPr>
            <w:tcW w:w="1176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 w14:paraId="0ED60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Category</w:t>
            </w:r>
          </w:p>
        </w:tc>
        <w:tc>
          <w:tcPr>
            <w:tcW w:w="178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6D513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Frailty Index=0</w:t>
            </w:r>
          </w:p>
          <w:p w14:paraId="194B7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(n = 318)</w:t>
            </w:r>
          </w:p>
        </w:tc>
        <w:tc>
          <w:tcPr>
            <w:tcW w:w="176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3A8D0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Frailty Index=1</w:t>
            </w:r>
          </w:p>
          <w:p w14:paraId="2BA82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(n = 404)</w:t>
            </w:r>
          </w:p>
        </w:tc>
        <w:tc>
          <w:tcPr>
            <w:tcW w:w="173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5A99F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Frailty Index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  <w:p w14:paraId="1645A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(n = 312)</w:t>
            </w:r>
          </w:p>
        </w:tc>
        <w:tc>
          <w:tcPr>
            <w:tcW w:w="1028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 w14:paraId="44773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231F20"/>
                <w:kern w:val="0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231F20"/>
                <w:kern w:val="0"/>
                <w:sz w:val="24"/>
                <w:szCs w:val="24"/>
                <w:lang w:val="en-US" w:eastAsia="zh-CN" w:bidi="ar"/>
              </w:rPr>
              <w:t>-value</w:t>
            </w:r>
          </w:p>
        </w:tc>
      </w:tr>
      <w:tr w14:paraId="314F6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321" w:type="dxa"/>
            <w:tcBorders>
              <w:top w:val="single" w:color="auto" w:sz="8" w:space="0"/>
              <w:bottom w:val="nil"/>
            </w:tcBorders>
            <w:vAlign w:val="center"/>
          </w:tcPr>
          <w:p w14:paraId="542EDF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bookmarkStart w:id="3" w:name="OLE_LINK2" w:colFirst="2" w:colLast="4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Age group</w:t>
            </w:r>
          </w:p>
        </w:tc>
        <w:tc>
          <w:tcPr>
            <w:tcW w:w="1176" w:type="dxa"/>
            <w:tcBorders>
              <w:top w:val="single" w:color="auto" w:sz="8" w:space="0"/>
              <w:bottom w:val="nil"/>
            </w:tcBorders>
            <w:vAlign w:val="center"/>
          </w:tcPr>
          <w:p w14:paraId="6AC46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70-74</w:t>
            </w:r>
          </w:p>
        </w:tc>
        <w:tc>
          <w:tcPr>
            <w:tcW w:w="1788" w:type="dxa"/>
            <w:tcBorders>
              <w:top w:val="single" w:color="auto" w:sz="8" w:space="0"/>
              <w:bottom w:val="nil"/>
            </w:tcBorders>
            <w:vAlign w:val="center"/>
          </w:tcPr>
          <w:p w14:paraId="0D3EE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61.0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68" w:type="dxa"/>
            <w:tcBorders>
              <w:top w:val="single" w:color="auto" w:sz="8" w:space="0"/>
              <w:bottom w:val="nil"/>
            </w:tcBorders>
            <w:vAlign w:val="center"/>
          </w:tcPr>
          <w:p w14:paraId="518F5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48.8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8" w:type="dxa"/>
            <w:tcBorders>
              <w:top w:val="single" w:color="auto" w:sz="8" w:space="0"/>
              <w:bottom w:val="nil"/>
            </w:tcBorders>
            <w:vAlign w:val="center"/>
          </w:tcPr>
          <w:p w14:paraId="648FA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89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28.5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028" w:type="dxa"/>
            <w:tcBorders>
              <w:top w:val="single" w:color="auto" w:sz="8" w:space="0"/>
              <w:bottom w:val="nil"/>
            </w:tcBorders>
            <w:vAlign w:val="center"/>
          </w:tcPr>
          <w:p w14:paraId="35AF05ED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＜0.001</w:t>
            </w:r>
          </w:p>
        </w:tc>
      </w:tr>
      <w:bookmarkEnd w:id="3"/>
      <w:tr w14:paraId="08855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1A2F0D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bookmarkStart w:id="4" w:name="OLE_LINK3" w:colFirst="2" w:colLast="4"/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2922F6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≥75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032F1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39.0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17A4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51.2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3CC44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223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71.5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538262AC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</w:p>
        </w:tc>
      </w:tr>
      <w:bookmarkEnd w:id="4"/>
      <w:tr w14:paraId="006ED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03902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Overall morbidity</w:t>
            </w: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309051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70-74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5E7FA97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39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20.1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18D54B1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25.9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52B81564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41.6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6994530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＜0.001</w:t>
            </w:r>
          </w:p>
        </w:tc>
      </w:tr>
      <w:tr w14:paraId="426EF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18C552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bookmarkStart w:id="5" w:name="OLE_LINK35" w:colFirst="4" w:colLast="4"/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3EC8F9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≥75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4770C094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25.8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2B11066B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34.8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1102E143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98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43.9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6BBFA187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0.003</w:t>
            </w:r>
          </w:p>
        </w:tc>
      </w:tr>
      <w:tr w14:paraId="3A561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4524D429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Major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morbidity</w:t>
            </w: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4F594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70-74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111731B9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12.4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1230CBB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18.3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59EB0CA9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24.7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3DE8193E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0.032</w:t>
            </w:r>
          </w:p>
        </w:tc>
      </w:tr>
      <w:tr w14:paraId="4C4F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587242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11455F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≥75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69423EF3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6.6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0854AD7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51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(13.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42578877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55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(18.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4E77F181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0.036</w:t>
            </w:r>
          </w:p>
        </w:tc>
      </w:tr>
      <w:bookmarkEnd w:id="5"/>
      <w:tr w14:paraId="5A8D7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5B27C0ED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-day readmission rate</w:t>
            </w: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4D5E39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70-74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403CCC8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2.6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776EAA3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3.6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08C67282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6.7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5945D9B2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</w:tr>
      <w:tr w14:paraId="4EC2C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38E2F4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5CF989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≥75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13F63B0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4.8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0CCF3AF0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4.3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7272050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4.1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01E9137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841</w:t>
            </w:r>
          </w:p>
        </w:tc>
      </w:tr>
      <w:tr w14:paraId="1C136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nil"/>
            </w:tcBorders>
            <w:vAlign w:val="center"/>
          </w:tcPr>
          <w:p w14:paraId="7C064707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 xml:space="preserve">Total 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medical costs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 xml:space="preserve"> (</w:t>
            </w:r>
            <w:bookmarkStart w:id="6" w:name="OLE_LINK21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thousand CNY</w:t>
            </w:r>
            <w:bookmarkEnd w:id="6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, median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IQR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176" w:type="dxa"/>
            <w:tcBorders>
              <w:top w:val="nil"/>
              <w:bottom w:val="nil"/>
            </w:tcBorders>
            <w:vAlign w:val="center"/>
          </w:tcPr>
          <w:p w14:paraId="4DCE52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70-74</w:t>
            </w:r>
          </w:p>
        </w:tc>
        <w:tc>
          <w:tcPr>
            <w:tcW w:w="1788" w:type="dxa"/>
            <w:tcBorders>
              <w:top w:val="nil"/>
              <w:bottom w:val="nil"/>
            </w:tcBorders>
            <w:vAlign w:val="center"/>
          </w:tcPr>
          <w:p w14:paraId="7528BCBE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73 (62, 83)</w:t>
            </w:r>
          </w:p>
        </w:tc>
        <w:tc>
          <w:tcPr>
            <w:tcW w:w="1768" w:type="dxa"/>
            <w:tcBorders>
              <w:top w:val="nil"/>
              <w:bottom w:val="nil"/>
            </w:tcBorders>
            <w:vAlign w:val="center"/>
          </w:tcPr>
          <w:p w14:paraId="369ADE20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77 (63, 88)</w:t>
            </w:r>
          </w:p>
        </w:tc>
        <w:tc>
          <w:tcPr>
            <w:tcW w:w="1738" w:type="dxa"/>
            <w:tcBorders>
              <w:top w:val="nil"/>
              <w:bottom w:val="nil"/>
            </w:tcBorders>
            <w:vAlign w:val="center"/>
          </w:tcPr>
          <w:p w14:paraId="7A8F0FE6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80 (67, 93)</w:t>
            </w:r>
          </w:p>
        </w:tc>
        <w:tc>
          <w:tcPr>
            <w:tcW w:w="1028" w:type="dxa"/>
            <w:tcBorders>
              <w:top w:val="nil"/>
              <w:bottom w:val="nil"/>
            </w:tcBorders>
            <w:vAlign w:val="center"/>
          </w:tcPr>
          <w:p w14:paraId="1B8EBF2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14:paraId="4DC5C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tcBorders>
              <w:top w:val="nil"/>
              <w:bottom w:val="single" w:color="auto" w:sz="12" w:space="0"/>
            </w:tcBorders>
            <w:vAlign w:val="center"/>
          </w:tcPr>
          <w:p w14:paraId="774D1A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240" w:firstLineChars="100"/>
              <w:jc w:val="left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6" w:type="dxa"/>
            <w:tcBorders>
              <w:top w:val="nil"/>
              <w:bottom w:val="single" w:color="auto" w:sz="12" w:space="0"/>
            </w:tcBorders>
            <w:vAlign w:val="center"/>
          </w:tcPr>
          <w:p w14:paraId="72C801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≥75</w:t>
            </w:r>
          </w:p>
        </w:tc>
        <w:tc>
          <w:tcPr>
            <w:tcW w:w="1788" w:type="dxa"/>
            <w:tcBorders>
              <w:top w:val="nil"/>
              <w:bottom w:val="single" w:color="auto" w:sz="12" w:space="0"/>
            </w:tcBorders>
            <w:vAlign w:val="center"/>
          </w:tcPr>
          <w:p w14:paraId="32B34C75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75 (61, 85)</w:t>
            </w:r>
          </w:p>
        </w:tc>
        <w:tc>
          <w:tcPr>
            <w:tcW w:w="1768" w:type="dxa"/>
            <w:tcBorders>
              <w:top w:val="nil"/>
              <w:bottom w:val="single" w:color="auto" w:sz="12" w:space="0"/>
            </w:tcBorders>
            <w:vAlign w:val="center"/>
          </w:tcPr>
          <w:p w14:paraId="65FAE96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79 (66, 90)</w:t>
            </w:r>
          </w:p>
        </w:tc>
        <w:tc>
          <w:tcPr>
            <w:tcW w:w="1738" w:type="dxa"/>
            <w:tcBorders>
              <w:top w:val="nil"/>
              <w:bottom w:val="single" w:color="auto" w:sz="12" w:space="0"/>
            </w:tcBorders>
            <w:vAlign w:val="center"/>
          </w:tcPr>
          <w:p w14:paraId="3C04626B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81 (70, 98)</w:t>
            </w:r>
          </w:p>
        </w:tc>
        <w:tc>
          <w:tcPr>
            <w:tcW w:w="1028" w:type="dxa"/>
            <w:tcBorders>
              <w:top w:val="nil"/>
              <w:bottom w:val="single" w:color="auto" w:sz="12" w:space="0"/>
            </w:tcBorders>
            <w:vAlign w:val="center"/>
          </w:tcPr>
          <w:p w14:paraId="7B0A6AF1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Franklin Gothic Book" w:cs="Times New Roman"/>
                <w:b w:val="0"/>
                <w:bCs w:val="0"/>
                <w:color w:val="231F20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231F20"/>
                <w:kern w:val="0"/>
                <w:sz w:val="24"/>
                <w:szCs w:val="24"/>
                <w:lang w:val="en-US" w:eastAsia="zh-CN" w:bidi="ar"/>
              </w:rPr>
              <w:t>031</w:t>
            </w:r>
          </w:p>
        </w:tc>
      </w:tr>
    </w:tbl>
    <w:p w14:paraId="48D95465">
      <w:pPr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5BC9CE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</w:rPr>
      </w:pPr>
    </w:p>
    <w:p w14:paraId="22AC8E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</w:rPr>
      </w:pPr>
    </w:p>
    <w:p w14:paraId="0337A2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drawing>
          <wp:inline distT="0" distB="0" distL="114300" distR="114300">
            <wp:extent cx="5264150" cy="1932940"/>
            <wp:effectExtent l="0" t="0" r="6350" b="10160"/>
            <wp:docPr id="5" name="图片 5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4F7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Times New Roman"/>
          <w:sz w:val="24"/>
          <w:lang w:val="en-US" w:eastAsia="zh-CN"/>
        </w:rPr>
      </w:pPr>
      <w:bookmarkStart w:id="7" w:name="OLE_LINK5"/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1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Overall survival curves (A) and cancer-specific curves (B) </w:t>
      </w:r>
      <w:bookmarkStart w:id="8" w:name="OLE_LINK18"/>
      <w:r>
        <w:rPr>
          <w:rFonts w:hint="eastAsia" w:ascii="Times New Roman" w:hAnsi="Times New Roman" w:eastAsia="宋体" w:cs="Times New Roman"/>
          <w:sz w:val="24"/>
        </w:rPr>
        <w:t xml:space="preserve">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elderly </w:t>
      </w:r>
      <w:r>
        <w:rPr>
          <w:rFonts w:hint="eastAsia" w:ascii="Times New Roman" w:hAnsi="Times New Roman" w:eastAsia="宋体" w:cs="Times New Roman"/>
          <w:sz w:val="24"/>
        </w:rPr>
        <w:t xml:space="preserve">rectal cancer patients </w:t>
      </w:r>
      <w:bookmarkStart w:id="9" w:name="OLE_LINK19"/>
      <w:r>
        <w:rPr>
          <w:rFonts w:hint="eastAsia" w:ascii="Times New Roman" w:hAnsi="Times New Roman" w:eastAsia="宋体" w:cs="Times New Roman"/>
          <w:sz w:val="24"/>
        </w:rPr>
        <w:t xml:space="preserve">with </w:t>
      </w:r>
      <w:bookmarkEnd w:id="9"/>
      <w:r>
        <w:rPr>
          <w:rFonts w:hint="eastAsia" w:ascii="Times New Roman" w:hAnsi="Times New Roman" w:eastAsia="宋体" w:cs="Times New Roman"/>
          <w:sz w:val="24"/>
          <w:lang w:val="en-US" w:eastAsia="zh-CN"/>
        </w:rPr>
        <w:t>I stage</w:t>
      </w:r>
      <w:r>
        <w:rPr>
          <w:rFonts w:hint="eastAsia" w:eastAsia="宋体" w:cs="Times New Roman"/>
          <w:sz w:val="24"/>
          <w:lang w:val="en-US" w:eastAsia="zh-CN"/>
        </w:rPr>
        <w:t>.</w:t>
      </w:r>
      <w:bookmarkEnd w:id="7"/>
      <w:bookmarkEnd w:id="8"/>
    </w:p>
    <w:p w14:paraId="40AC36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Times New Roman"/>
          <w:sz w:val="24"/>
          <w:lang w:val="en-US" w:eastAsia="zh-CN"/>
        </w:rPr>
      </w:pPr>
      <w:r>
        <w:rPr>
          <w:rFonts w:hint="eastAsia" w:eastAsia="宋体" w:cs="Times New Roman"/>
          <w:sz w:val="24"/>
          <w:lang w:val="en-US" w:eastAsia="zh-CN"/>
        </w:rPr>
        <w:drawing>
          <wp:inline distT="0" distB="0" distL="114300" distR="114300">
            <wp:extent cx="5264150" cy="1932940"/>
            <wp:effectExtent l="0" t="0" r="6350" b="10160"/>
            <wp:docPr id="6" name="图片 6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A7A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2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Overall survival curves (A) and cancer-specific curves (B) </w:t>
      </w:r>
      <w:r>
        <w:rPr>
          <w:rFonts w:hint="eastAsia" w:ascii="Times New Roman" w:hAnsi="Times New Roman" w:eastAsia="宋体" w:cs="Times New Roman"/>
          <w:sz w:val="24"/>
        </w:rPr>
        <w:t xml:space="preserve">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elderly </w:t>
      </w:r>
      <w:r>
        <w:rPr>
          <w:rFonts w:hint="eastAsia" w:ascii="Times New Roman" w:hAnsi="Times New Roman" w:eastAsia="宋体" w:cs="Times New Roman"/>
          <w:sz w:val="24"/>
        </w:rPr>
        <w:t xml:space="preserve">rectal cancer patients with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II stage</w:t>
      </w:r>
      <w:r>
        <w:rPr>
          <w:rFonts w:hint="eastAsia" w:eastAsia="宋体" w:cs="Times New Roman"/>
          <w:sz w:val="24"/>
          <w:lang w:val="en-US" w:eastAsia="zh-CN"/>
        </w:rPr>
        <w:t>.</w:t>
      </w:r>
    </w:p>
    <w:p w14:paraId="63BD4D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Times New Roman"/>
          <w:sz w:val="24"/>
          <w:lang w:val="en-US" w:eastAsia="zh-CN"/>
        </w:rPr>
      </w:pPr>
      <w:r>
        <w:rPr>
          <w:rFonts w:hint="eastAsia" w:eastAsia="宋体" w:cs="Times New Roman"/>
          <w:sz w:val="24"/>
          <w:lang w:val="en-US" w:eastAsia="zh-CN"/>
        </w:rPr>
        <w:drawing>
          <wp:inline distT="0" distB="0" distL="114300" distR="114300">
            <wp:extent cx="5264150" cy="1932940"/>
            <wp:effectExtent l="0" t="0" r="6350" b="10160"/>
            <wp:docPr id="7" name="图片 7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E61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3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 xml:space="preserve">Overall survival curves (A) and cancer-specific curves (B) </w:t>
      </w:r>
      <w:r>
        <w:rPr>
          <w:rFonts w:hint="eastAsia" w:ascii="Times New Roman" w:hAnsi="Times New Roman" w:eastAsia="宋体" w:cs="Times New Roman"/>
          <w:sz w:val="24"/>
        </w:rPr>
        <w:t xml:space="preserve">of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elderly </w:t>
      </w:r>
      <w:bookmarkStart w:id="12" w:name="_GoBack"/>
      <w:bookmarkEnd w:id="12"/>
      <w:r>
        <w:rPr>
          <w:rFonts w:hint="eastAsia" w:ascii="Times New Roman" w:hAnsi="Times New Roman" w:eastAsia="宋体" w:cs="Times New Roman"/>
          <w:sz w:val="24"/>
        </w:rPr>
        <w:t xml:space="preserve">rectal cancer patients with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III stage</w:t>
      </w:r>
      <w:r>
        <w:rPr>
          <w:rFonts w:hint="eastAsia" w:eastAsia="宋体" w:cs="Times New Roman"/>
          <w:sz w:val="24"/>
          <w:lang w:val="en-US" w:eastAsia="zh-CN"/>
        </w:rPr>
        <w:t>.</w:t>
      </w:r>
      <w:r>
        <w:rPr>
          <w:rFonts w:ascii="Times New Roman" w:hAnsi="Times New Roman" w:eastAsia="宋体" w:cs="Times New Roman"/>
          <w:sz w:val="24"/>
        </w:rPr>
        <w:t xml:space="preserve"> </w:t>
      </w:r>
    </w:p>
    <w:p w14:paraId="0F472E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drawing>
          <wp:inline distT="0" distB="0" distL="114300" distR="114300">
            <wp:extent cx="5252720" cy="1476375"/>
            <wp:effectExtent l="0" t="0" r="5080" b="952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6AA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bookmarkStart w:id="10" w:name="OLE_LINK4"/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4</w:t>
      </w:r>
      <w:bookmarkEnd w:id="10"/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>The 1-year R</w:t>
      </w:r>
      <w:r>
        <w:rPr>
          <w:rFonts w:hint="default" w:ascii="Times New Roman" w:hAnsi="Times New Roman" w:eastAsia="宋体" w:cs="Times New Roman"/>
          <w:sz w:val="24"/>
        </w:rPr>
        <w:t>OC curve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</w:rPr>
        <w:t xml:space="preserve">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>), calibration curves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</w:rPr>
        <w:t>) and DCA curves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</w:rPr>
        <w:t xml:space="preserve">) </w:t>
      </w:r>
      <w:bookmarkStart w:id="11" w:name="OLE_LINK6"/>
      <w:r>
        <w:rPr>
          <w:rFonts w:hint="default" w:ascii="Times New Roman" w:hAnsi="Times New Roman" w:eastAsia="宋体" w:cs="Times New Roman"/>
          <w:sz w:val="24"/>
        </w:rPr>
        <w:t xml:space="preserve">for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CSS prediction nomogram</w:t>
      </w:r>
      <w:bookmarkEnd w:id="11"/>
      <w:r>
        <w:rPr>
          <w:rFonts w:hint="default" w:ascii="Times New Roman" w:hAnsi="Times New Roman" w:eastAsia="宋体" w:cs="Times New Roman"/>
          <w:sz w:val="24"/>
        </w:rPr>
        <w:t>.</w:t>
      </w:r>
    </w:p>
    <w:p w14:paraId="048525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51450" cy="1494155"/>
            <wp:effectExtent l="0" t="0" r="6350" b="4445"/>
            <wp:docPr id="3" name="图片 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EDF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The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>-year R</w:t>
      </w:r>
      <w:r>
        <w:rPr>
          <w:rFonts w:hint="default" w:ascii="Times New Roman" w:hAnsi="Times New Roman" w:eastAsia="宋体" w:cs="Times New Roman"/>
          <w:sz w:val="24"/>
        </w:rPr>
        <w:t>OC curve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</w:rPr>
        <w:t xml:space="preserve">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>), calibration curves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</w:rPr>
        <w:t>) and DCA curves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</w:rPr>
        <w:t xml:space="preserve">) for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CSS prediction nomogram</w:t>
      </w:r>
      <w:r>
        <w:rPr>
          <w:rFonts w:hint="default" w:ascii="Times New Roman" w:hAnsi="Times New Roman" w:eastAsia="宋体" w:cs="Times New Roman"/>
          <w:sz w:val="24"/>
        </w:rPr>
        <w:t>.</w:t>
      </w:r>
    </w:p>
    <w:p w14:paraId="689A2C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60340" cy="1508125"/>
            <wp:effectExtent l="0" t="0" r="10160" b="3175"/>
            <wp:docPr id="4" name="图片 4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D07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</w:rPr>
        <w:t xml:space="preserve">Figure.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 xml:space="preserve">The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lang w:val="en-US" w:eastAsia="zh-CN"/>
        </w:rPr>
        <w:t>-year R</w:t>
      </w:r>
      <w:r>
        <w:rPr>
          <w:rFonts w:hint="default" w:ascii="Times New Roman" w:hAnsi="Times New Roman" w:eastAsia="宋体" w:cs="Times New Roman"/>
          <w:sz w:val="24"/>
        </w:rPr>
        <w:t>OC curve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4"/>
        </w:rPr>
        <w:t xml:space="preserve">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>), calibration curves 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</w:rPr>
        <w:t>) and DCA curves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(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</w:rPr>
        <w:t xml:space="preserve">) for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CSS prediction nomogram</w:t>
      </w:r>
      <w:r>
        <w:rPr>
          <w:rFonts w:hint="default" w:ascii="Times New Roman" w:hAnsi="Times New Roman" w:eastAsia="宋体" w:cs="Times New Roman"/>
          <w:sz w:val="24"/>
        </w:rPr>
        <w:t>.</w:t>
      </w:r>
    </w:p>
    <w:p w14:paraId="1E755328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ranklin Gothic Book">
    <w:panose1 w:val="020B0503020102020204"/>
    <w:charset w:val="00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YWY2YTJmYTA0NjQ2YmQ5YzVkMThiNmY0MmJhMTEifQ=="/>
  </w:docVars>
  <w:rsids>
    <w:rsidRoot w:val="3D8E0332"/>
    <w:rsid w:val="0FD65ABA"/>
    <w:rsid w:val="1A7D4D49"/>
    <w:rsid w:val="3D8E0332"/>
    <w:rsid w:val="728A4D66"/>
    <w:rsid w:val="77A33DD6"/>
    <w:rsid w:val="7CEB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274</Words>
  <Characters>1367</Characters>
  <Lines>0</Lines>
  <Paragraphs>0</Paragraphs>
  <TotalTime>0</TotalTime>
  <ScaleCrop>false</ScaleCrop>
  <LinksUpToDate>false</LinksUpToDate>
  <CharactersWithSpaces>1563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2024-07-18T05:38:00Z</dcterms:created>
  <dc:creator>纫信究艺扯</dc:creator>
  <cp:lastModifiedBy>zl</cp:lastModifiedBy>
  <dcterms:modified xsi:type="dcterms:W3CDTF">2024-08-06T07:32:47Z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8B93F25FF5EC4A249FFE856A8D6E6779_11</vt:lpwstr>
  </property>
</Properties>
</file>